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framePr w:wrap="around"/>
        <w:rPr>
          <w:rFonts w:hint="eastAsia" w:eastAsia="宋体"/>
          <w:lang w:eastAsia="zh-CN"/>
        </w:rPr>
      </w:pPr>
      <w:r>
        <w:rPr>
          <w:rFonts w:hint="eastAsia"/>
          <w:lang w:eastAsia="zh-CN"/>
        </w:rPr>
        <w:t>Q/ND</w:t>
      </w:r>
    </w:p>
    <w:p>
      <w:pPr>
        <w:pStyle w:val="104"/>
        <w:framePr w:wrap="around"/>
      </w:pPr>
      <w:r>
        <w:rPr>
          <w:rFonts w:hint="eastAsia"/>
          <w:lang w:eastAsia="zh-CN"/>
        </w:rPr>
        <w:t>内蒙古电力（集团）有限责任公司</w:t>
      </w:r>
      <w:r>
        <w:rPr>
          <w:rFonts w:hint="eastAsia"/>
        </w:rPr>
        <w:t>企业标准</w:t>
      </w:r>
    </w:p>
    <w:p>
      <w:pPr>
        <w:pStyle w:val="83"/>
        <w:framePr w:h="1197" w:hRule="exact" w:wrap="around"/>
        <w:rPr>
          <w:rFonts w:hint="default" w:hAnsi="黑体" w:eastAsia="黑体"/>
          <w:shd w:val="pct10" w:color="auto" w:fill="FFFFFF"/>
          <w:lang w:val="en-US" w:eastAsia="zh-CN"/>
        </w:rPr>
      </w:pPr>
      <w:bookmarkStart w:id="0" w:name="fp_standardcode"/>
      <w:r>
        <w:rPr>
          <w:rFonts w:hint="eastAsia" w:hAnsi="黑体"/>
          <w:shd w:val="pct10" w:color="auto" w:fill="FFFFFF"/>
          <w:lang w:val="en-US" w:eastAsia="zh-CN"/>
        </w:rPr>
        <w:t>Q/ND 10311 02—2025</w:t>
      </w:r>
    </w:p>
    <w:bookmarkEnd w:id="0"/>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87"/>
              <w:framePr w:h="1197" w:hRule="exact" w:wrap="around"/>
            </w:pPr>
          </w:p>
        </w:tc>
      </w:tr>
    </w:tbl>
    <w:p>
      <w:pPr>
        <w:pStyle w:val="83"/>
        <w:framePr w:h="1197" w:hRule="exact" w:wrap="around"/>
        <w:jc w:val="both"/>
        <w:rPr>
          <w:rFonts w:hAnsi="黑体"/>
        </w:rPr>
      </w:pPr>
    </w:p>
    <w:p>
      <w:pPr>
        <w:pStyle w:val="83"/>
        <w:framePr w:h="1197" w:hRule="exact" w:wrap="around"/>
        <w:rPr>
          <w:rFonts w:hAnsi="黑体"/>
        </w:rPr>
      </w:pPr>
    </w:p>
    <w:p>
      <w:pPr>
        <w:pStyle w:val="88"/>
        <w:framePr w:wrap="around"/>
        <w:rPr>
          <w:rFonts w:hint="eastAsia" w:eastAsia="黑体"/>
          <w:lang w:eastAsia="zh-CN"/>
        </w:rPr>
      </w:pPr>
      <w:bookmarkStart w:id="1" w:name="fp_standardname"/>
      <w:r>
        <w:rPr>
          <w:rFonts w:hint="eastAsia"/>
          <w:lang w:eastAsia="zh-CN"/>
        </w:rPr>
        <w:t>生产设备电子标签技术要求与检测规范</w:t>
      </w:r>
    </w:p>
    <w:bookmarkEnd w:id="1"/>
    <w:p>
      <w:pPr>
        <w:pStyle w:val="89"/>
        <w:framePr w:wrap="around"/>
      </w:pPr>
    </w:p>
    <w:p>
      <w:pPr>
        <w:pStyle w:val="90"/>
        <w:framePr w:wrap="around"/>
      </w:pP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shd w:val="clear" w:color="auto" w:fill="auto"/>
          </w:tcPr>
          <w:p>
            <w:pPr>
              <w:pStyle w:val="91"/>
              <w:framePr w:wrap="around"/>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14" name="矩形 14"/>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f1/fg1wAAAAsBAAAP&#10;AAAAAAAAAAEAIAAAACIAAABkcnMvZG93bnJldi54bWxQSwECFAAUAAAACACHTuJALgqwZxkCAAAo&#10;BAAADgAAAAAAAAABACAAAAAmAQAAZHJzL2Uyb0RvYy54bWxQSwUGAAAAAAYABgBZAQAAsQUAAAAA&#10;">
                      <v:fill on="t" focussize="0,0"/>
                      <v:stroke on="f"/>
                      <v:imagedata o:title=""/>
                      <o:lock v:ext="edit" aspectratio="f"/>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92"/>
              <w:framePr w:wrap="around"/>
            </w:pPr>
            <w:bookmarkStart w:id="2" w:name="WCRQ"/>
            <w:r>
              <w:fldChar w:fldCharType="begin">
                <w:ffData>
                  <w:name w:val="WCRQ"/>
                  <w:enabled/>
                  <w:calcOnExit w:val="0"/>
                  <w:textInput/>
                </w:ffData>
              </w:fldChar>
            </w:r>
            <w:r>
              <w:instrText xml:space="preserve"> FORMTEXT </w:instrText>
            </w:r>
            <w:r>
              <w:fldChar w:fldCharType="separate"/>
            </w:r>
            <w:r>
              <w:t>     </w:t>
            </w:r>
            <w:r>
              <w:fldChar w:fldCharType="end"/>
            </w:r>
            <w:bookmarkEnd w:id="2"/>
          </w:p>
        </w:tc>
      </w:tr>
    </w:tbl>
    <w:p>
      <w:pPr>
        <w:pStyle w:val="107"/>
        <w:framePr w:wrap="around" w:x="1313" w:y="13887"/>
        <w:rPr>
          <w:rFonts w:hint="default"/>
          <w:lang w:val="en-US"/>
        </w:rPr>
      </w:pPr>
      <w:bookmarkStart w:id="3" w:name="fp_fbdate"/>
      <w:r>
        <w:rPr>
          <w:rFonts w:hint="eastAsia"/>
        </w:rPr>
        <w:t>xx-xx-xx</w:t>
      </w:r>
      <w:bookmarkEnd w:id="3"/>
      <w:r>
        <w:rPr>
          <w:rFonts w:hint="eastAsia"/>
          <w:lang w:val="en-US" w:eastAsia="zh-CN"/>
        </w:rPr>
        <w:t>发布</w:t>
      </w:r>
    </w:p>
    <w:p>
      <w:pPr>
        <w:pStyle w:val="108"/>
        <w:framePr w:wrap="around" w:x="6674" w:y="13831"/>
        <w:jc w:val="center"/>
        <w:rPr>
          <w:rFonts w:hint="default" w:eastAsia="黑体"/>
          <w:lang w:val="en-US" w:eastAsia="zh-CN"/>
        </w:rPr>
      </w:pPr>
      <w:bookmarkStart w:id="4" w:name="fp_ssdate"/>
      <w:r>
        <w:rPr>
          <w:rFonts w:hint="eastAsia"/>
        </w:rPr>
        <w:t>xx-xx-xx</w:t>
      </w:r>
      <w:bookmarkEnd w:id="4"/>
      <w:r>
        <w:rPr>
          <w:rFonts w:hint="eastAsia"/>
          <w:lang w:val="en-US" w:eastAsia="zh-CN"/>
        </w:rPr>
        <w:t>实施</w:t>
      </w:r>
    </w:p>
    <w:p>
      <w:pPr>
        <w:pStyle w:val="105"/>
        <w:framePr w:wrap="around" w:x="2117" w:y="14905"/>
      </w:pPr>
      <w:r>
        <w:rPr>
          <w:rFonts w:hint="eastAsia"/>
          <w:lang w:eastAsia="zh-CN"/>
        </w:rPr>
        <w:t>内蒙古电力（集团）有限责任公司</w:t>
      </w:r>
      <w:r>
        <w:t>  </w:t>
      </w:r>
      <w:r>
        <w:rPr>
          <w:rStyle w:val="86"/>
          <w:rFonts w:hint="eastAsia"/>
        </w:rPr>
        <w:t>发布</w:t>
      </w:r>
    </w:p>
    <w:p>
      <w:pPr>
        <w:pStyle w:val="18"/>
        <w:sectPr>
          <w:headerReference r:id="rId4" w:type="first"/>
          <w:footerReference r:id="rId6" w:type="first"/>
          <w:headerReference r:id="rId3" w:type="even"/>
          <w:footerReference r:id="rId5" w:type="even"/>
          <w:pgSz w:w="11906" w:h="16838"/>
          <w:pgMar w:top="567" w:right="1134" w:bottom="1134" w:left="1417" w:header="0" w:footer="0" w:gutter="0"/>
          <w:pgNumType w:fmt="upperRoman" w:start="1"/>
          <w:cols w:space="425" w:num="1"/>
          <w:docGrid w:type="lines" w:linePitch="312" w:charSpace="0"/>
        </w:sectPr>
      </w:pPr>
      <w:bookmarkStart w:id="73" w:name="_GoBack"/>
      <w:bookmarkEnd w:id="73"/>
      <w:r>
        <w:rPr>
          <w:sz w:val="21"/>
        </w:rPr>
        <mc:AlternateContent>
          <mc:Choice Requires="wps">
            <w:drawing>
              <wp:anchor distT="0" distB="0" distL="114300" distR="114300" simplePos="0" relativeHeight="251660288" behindDoc="0" locked="0" layoutInCell="1" allowOverlap="1">
                <wp:simplePos x="0" y="0"/>
                <wp:positionH relativeFrom="column">
                  <wp:posOffset>-67310</wp:posOffset>
                </wp:positionH>
                <wp:positionV relativeFrom="paragraph">
                  <wp:posOffset>8945245</wp:posOffset>
                </wp:positionV>
                <wp:extent cx="6048375" cy="1905"/>
                <wp:effectExtent l="0" t="0" r="0" b="0"/>
                <wp:wrapNone/>
                <wp:docPr id="13" name="直接连接符 13"/>
                <wp:cNvGraphicFramePr/>
                <a:graphic xmlns:a="http://schemas.openxmlformats.org/drawingml/2006/main">
                  <a:graphicData uri="http://schemas.microsoft.com/office/word/2010/wordprocessingShape">
                    <wps:wsp>
                      <wps:cNvCnPr/>
                      <wps:spPr>
                        <a:xfrm>
                          <a:off x="822960" y="9295765"/>
                          <a:ext cx="6048375" cy="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3pt;margin-top:704.35pt;height:0.15pt;width:476.25pt;z-index:251660288;mso-width-relative:page;mso-height-relative:page;" filled="f" stroked="t" coordsize="21600,21600" o:gfxdata="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1YPQNkAAAANAQAADwAAAAAAAAABACAAAAAiAAAAZHJzL2Rvd25yZXYueG1sUEsB&#10;AhQAFAAAAAgAh07iQBbHGUv0AQAAwQMAAA4AAAAAAAAAAQAgAAAAKAEAAGRycy9lMm9Eb2MueG1s&#10;UEsFBgAAAAAGAAYAWQEAAI4FA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37465</wp:posOffset>
                </wp:positionH>
                <wp:positionV relativeFrom="paragraph">
                  <wp:posOffset>2492375</wp:posOffset>
                </wp:positionV>
                <wp:extent cx="6120130" cy="0"/>
                <wp:effectExtent l="0" t="0" r="1397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5pt;margin-top:196.25pt;height:0pt;width:481.9pt;z-index:251659264;mso-width-relative:page;mso-height-relative:page;" filled="f" stroked="t" coordsize="21600,21600" o:gfxdata="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m1OE5NcAAAAJ&#10;AQAADwAAAAAAAAABACAAAAAiAAAAZHJzL2Rvd25yZXYueG1sUEsBAhQAFAAAAAgAh07iQIp+Fynk&#10;AQAArAMAAA4AAAAAAAAAAQAgAAAAJgEAAGRycy9lMm9Eb2MueG1sUEsFBgAAAAAGAAYAWQEAAHwF&#10;AAAAAA==&#10;">
                <v:fill on="f" focussize="0,0"/>
                <v:stroke color="#000000" joinstyle="round"/>
                <v:imagedata o:title=""/>
                <o:lock v:ext="edit" aspectratio="f"/>
              </v:line>
            </w:pict>
          </mc:Fallback>
        </mc:AlternateContent>
      </w:r>
    </w:p>
    <w:p>
      <w:pPr>
        <w:pStyle w:val="120"/>
        <w:tabs>
          <w:tab w:val="right" w:leader="dot" w:pos="9354"/>
        </w:tabs>
        <w:spacing w:line="360" w:lineRule="auto"/>
        <w:jc w:val="center"/>
        <w:rPr>
          <w:rFonts w:hint="eastAsia" w:ascii="宋体" w:hAnsi="宋体" w:cs="宋体"/>
          <w:sz w:val="20"/>
          <w:szCs w:val="20"/>
        </w:rPr>
      </w:pPr>
      <w:r>
        <w:rPr>
          <w:rFonts w:hint="eastAsia" w:ascii="黑体" w:eastAsia="黑体"/>
          <w:sz w:val="32"/>
        </w:rPr>
        <w:t>目</w:t>
      </w:r>
      <w:bookmarkStart w:id="5" w:name="BKML"/>
      <w:r>
        <w:rPr>
          <w:rFonts w:hint="eastAsia" w:ascii="黑体" w:eastAsia="黑体"/>
          <w:sz w:val="32"/>
        </w:rPr>
        <w:t>  次</w:t>
      </w:r>
      <w:bookmarkEnd w:id="5"/>
      <w:r>
        <w:rPr>
          <w:rFonts w:hint="eastAsia" w:ascii="宋体" w:hAnsi="宋体" w:cs="宋体"/>
          <w:sz w:val="20"/>
          <w:szCs w:val="20"/>
        </w:rPr>
        <w:fldChar w:fldCharType="begin"/>
      </w:r>
      <w:r>
        <w:rPr>
          <w:rFonts w:hint="eastAsia" w:ascii="宋体" w:hAnsi="宋体" w:cs="宋体"/>
          <w:sz w:val="20"/>
          <w:szCs w:val="20"/>
        </w:rPr>
        <w:instrText xml:space="preserve">TOC \o "1-1" \h \u </w:instrText>
      </w:r>
      <w:r>
        <w:rPr>
          <w:rFonts w:hint="eastAsia" w:ascii="宋体" w:hAnsi="宋体" w:cs="宋体"/>
          <w:sz w:val="20"/>
          <w:szCs w:val="20"/>
        </w:rPr>
        <w:fldChar w:fldCharType="separate"/>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_Toc3263 </w:instrText>
      </w:r>
      <w:r>
        <w:rPr>
          <w:rFonts w:hint="eastAsia" w:hAnsi="宋体" w:cs="宋体"/>
          <w:sz w:val="20"/>
          <w:szCs w:val="20"/>
        </w:rPr>
        <w:fldChar w:fldCharType="separate"/>
      </w:r>
      <w:r>
        <w:rPr>
          <w:rFonts w:hint="eastAsia" w:hAnsi="宋体" w:cs="宋体"/>
          <w:kern w:val="0"/>
          <w:sz w:val="20"/>
          <w:szCs w:val="20"/>
        </w:rPr>
        <w:t>前  言</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_Toc3263 \h </w:instrText>
      </w:r>
      <w:r>
        <w:rPr>
          <w:rFonts w:hint="eastAsia" w:hAnsi="宋体" w:cs="宋体"/>
          <w:sz w:val="20"/>
          <w:szCs w:val="20"/>
        </w:rPr>
        <w:fldChar w:fldCharType="separate"/>
      </w:r>
      <w:r>
        <w:rPr>
          <w:rFonts w:hint="eastAsia" w:hAnsi="宋体" w:cs="宋体"/>
          <w:sz w:val="20"/>
          <w:szCs w:val="20"/>
        </w:rPr>
        <w:t>II</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_Toc29663 </w:instrText>
      </w:r>
      <w:r>
        <w:rPr>
          <w:rFonts w:hint="eastAsia" w:hAnsi="宋体" w:cs="宋体"/>
          <w:sz w:val="20"/>
          <w:szCs w:val="20"/>
        </w:rPr>
        <w:fldChar w:fldCharType="separate"/>
      </w:r>
      <w:r>
        <w:rPr>
          <w:rFonts w:hint="eastAsia" w:hAnsi="宋体" w:cs="宋体"/>
          <w:sz w:val="20"/>
          <w:szCs w:val="20"/>
        </w:rPr>
        <w:t>1 范围</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_Toc29663 \h </w:instrText>
      </w:r>
      <w:r>
        <w:rPr>
          <w:rFonts w:hint="eastAsia" w:hAnsi="宋体" w:cs="宋体"/>
          <w:sz w:val="20"/>
          <w:szCs w:val="20"/>
        </w:rPr>
        <w:fldChar w:fldCharType="separate"/>
      </w:r>
      <w:r>
        <w:rPr>
          <w:rFonts w:hint="eastAsia" w:hAnsi="宋体" w:cs="宋体"/>
          <w:sz w:val="20"/>
          <w:szCs w:val="20"/>
        </w:rPr>
        <w:t>1</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_Toc30239 </w:instrText>
      </w:r>
      <w:r>
        <w:rPr>
          <w:rFonts w:hint="eastAsia" w:hAnsi="宋体" w:cs="宋体"/>
          <w:sz w:val="20"/>
          <w:szCs w:val="20"/>
        </w:rPr>
        <w:fldChar w:fldCharType="separate"/>
      </w:r>
      <w:r>
        <w:rPr>
          <w:rFonts w:hint="eastAsia" w:hAnsi="宋体" w:cs="宋体"/>
          <w:sz w:val="20"/>
          <w:szCs w:val="20"/>
        </w:rPr>
        <w:t>2 规范性引用文件</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_Toc30239 \h </w:instrText>
      </w:r>
      <w:r>
        <w:rPr>
          <w:rFonts w:hint="eastAsia" w:hAnsi="宋体" w:cs="宋体"/>
          <w:sz w:val="20"/>
          <w:szCs w:val="20"/>
        </w:rPr>
        <w:fldChar w:fldCharType="separate"/>
      </w:r>
      <w:r>
        <w:rPr>
          <w:rFonts w:hint="eastAsia" w:hAnsi="宋体" w:cs="宋体"/>
          <w:sz w:val="20"/>
          <w:szCs w:val="20"/>
        </w:rPr>
        <w:t>1</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_Toc16773 </w:instrText>
      </w:r>
      <w:r>
        <w:rPr>
          <w:rFonts w:hint="eastAsia" w:hAnsi="宋体" w:cs="宋体"/>
          <w:sz w:val="20"/>
          <w:szCs w:val="20"/>
        </w:rPr>
        <w:fldChar w:fldCharType="separate"/>
      </w:r>
      <w:r>
        <w:rPr>
          <w:rFonts w:hint="eastAsia" w:hAnsi="宋体" w:cs="宋体"/>
          <w:sz w:val="20"/>
          <w:szCs w:val="20"/>
        </w:rPr>
        <w:t>3 术语和定义</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_Toc16773 \h </w:instrText>
      </w:r>
      <w:r>
        <w:rPr>
          <w:rFonts w:hint="eastAsia" w:hAnsi="宋体" w:cs="宋体"/>
          <w:sz w:val="20"/>
          <w:szCs w:val="20"/>
        </w:rPr>
        <w:fldChar w:fldCharType="separate"/>
      </w:r>
      <w:r>
        <w:rPr>
          <w:rFonts w:hint="eastAsia" w:hAnsi="宋体" w:cs="宋体"/>
          <w:sz w:val="20"/>
          <w:szCs w:val="20"/>
        </w:rPr>
        <w:t>2</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_Toc10956 </w:instrText>
      </w:r>
      <w:r>
        <w:rPr>
          <w:rFonts w:hint="eastAsia" w:hAnsi="宋体" w:cs="宋体"/>
          <w:sz w:val="20"/>
          <w:szCs w:val="20"/>
        </w:rPr>
        <w:fldChar w:fldCharType="separate"/>
      </w:r>
      <w:r>
        <w:rPr>
          <w:rFonts w:hint="eastAsia" w:hAnsi="宋体" w:cs="宋体"/>
          <w:sz w:val="20"/>
          <w:szCs w:val="20"/>
        </w:rPr>
        <w:t>4 标签规格要求</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_Toc10956 \h </w:instrText>
      </w:r>
      <w:r>
        <w:rPr>
          <w:rFonts w:hint="eastAsia" w:hAnsi="宋体" w:cs="宋体"/>
          <w:sz w:val="20"/>
          <w:szCs w:val="20"/>
        </w:rPr>
        <w:fldChar w:fldCharType="separate"/>
      </w:r>
      <w:r>
        <w:rPr>
          <w:rFonts w:hint="eastAsia" w:hAnsi="宋体" w:cs="宋体"/>
          <w:sz w:val="20"/>
          <w:szCs w:val="20"/>
        </w:rPr>
        <w:t>3</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_Toc1726 </w:instrText>
      </w:r>
      <w:r>
        <w:rPr>
          <w:rFonts w:hint="eastAsia" w:hAnsi="宋体" w:cs="宋体"/>
          <w:sz w:val="20"/>
          <w:szCs w:val="20"/>
        </w:rPr>
        <w:fldChar w:fldCharType="separate"/>
      </w:r>
      <w:r>
        <w:rPr>
          <w:rFonts w:hint="eastAsia" w:hAnsi="宋体" w:cs="宋体"/>
          <w:sz w:val="20"/>
          <w:szCs w:val="20"/>
        </w:rPr>
        <w:t>5 技术要求</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_Toc1726 \h </w:instrText>
      </w:r>
      <w:r>
        <w:rPr>
          <w:rFonts w:hint="eastAsia" w:hAnsi="宋体" w:cs="宋体"/>
          <w:sz w:val="20"/>
          <w:szCs w:val="20"/>
        </w:rPr>
        <w:fldChar w:fldCharType="separate"/>
      </w:r>
      <w:r>
        <w:rPr>
          <w:rFonts w:hint="eastAsia" w:hAnsi="宋体" w:cs="宋体"/>
          <w:sz w:val="20"/>
          <w:szCs w:val="20"/>
        </w:rPr>
        <w:t>5</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_Toc32008 </w:instrText>
      </w:r>
      <w:r>
        <w:rPr>
          <w:rFonts w:hint="eastAsia" w:hAnsi="宋体" w:cs="宋体"/>
          <w:sz w:val="20"/>
          <w:szCs w:val="20"/>
        </w:rPr>
        <w:fldChar w:fldCharType="separate"/>
      </w:r>
      <w:r>
        <w:rPr>
          <w:rFonts w:hint="eastAsia" w:hAnsi="宋体" w:cs="宋体"/>
          <w:sz w:val="20"/>
          <w:szCs w:val="20"/>
        </w:rPr>
        <w:t>6 试验要求</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_Toc32008 \h </w:instrText>
      </w:r>
      <w:r>
        <w:rPr>
          <w:rFonts w:hint="eastAsia" w:hAnsi="宋体" w:cs="宋体"/>
          <w:sz w:val="20"/>
          <w:szCs w:val="20"/>
        </w:rPr>
        <w:fldChar w:fldCharType="separate"/>
      </w:r>
      <w:r>
        <w:rPr>
          <w:rFonts w:hint="eastAsia" w:hAnsi="宋体" w:cs="宋体"/>
          <w:sz w:val="20"/>
          <w:szCs w:val="20"/>
        </w:rPr>
        <w:t>8</w:t>
      </w:r>
      <w:r>
        <w:rPr>
          <w:rFonts w:hint="eastAsia" w:hAnsi="宋体" w:cs="宋体"/>
          <w:sz w:val="20"/>
          <w:szCs w:val="20"/>
        </w:rPr>
        <w:fldChar w:fldCharType="end"/>
      </w:r>
      <w:r>
        <w:rPr>
          <w:rFonts w:hint="eastAsia" w:hAnsi="宋体" w:cs="宋体"/>
          <w:sz w:val="20"/>
          <w:szCs w:val="20"/>
        </w:rPr>
        <w:fldChar w:fldCharType="end"/>
      </w:r>
    </w:p>
    <w:p>
      <w:pPr>
        <w:pStyle w:val="14"/>
        <w:tabs>
          <w:tab w:val="right" w:leader="dot" w:pos="8306"/>
          <w:tab w:val="clear" w:pos="9242"/>
        </w:tabs>
        <w:rPr>
          <w:rFonts w:hint="eastAsia" w:hAnsi="宋体" w:cs="宋体"/>
          <w:sz w:val="20"/>
          <w:szCs w:val="20"/>
        </w:rPr>
      </w:pPr>
      <w:r>
        <w:rPr>
          <w:rFonts w:hint="eastAsia" w:hAnsi="宋体" w:cs="宋体"/>
          <w:sz w:val="20"/>
          <w:szCs w:val="20"/>
        </w:rPr>
        <w:fldChar w:fldCharType="begin"/>
      </w:r>
      <w:r>
        <w:rPr>
          <w:rFonts w:hint="eastAsia" w:hAnsi="宋体" w:cs="宋体"/>
          <w:sz w:val="20"/>
          <w:szCs w:val="20"/>
        </w:rPr>
        <w:instrText xml:space="preserve"> HYPERLINK \l _Toc18301 </w:instrText>
      </w:r>
      <w:r>
        <w:rPr>
          <w:rFonts w:hint="eastAsia" w:hAnsi="宋体" w:cs="宋体"/>
          <w:sz w:val="20"/>
          <w:szCs w:val="20"/>
        </w:rPr>
        <w:fldChar w:fldCharType="separate"/>
      </w:r>
      <w:r>
        <w:rPr>
          <w:rFonts w:hint="eastAsia" w:hAnsi="宋体" w:cs="宋体"/>
          <w:sz w:val="20"/>
          <w:szCs w:val="20"/>
        </w:rPr>
        <w:t>7 检验规则</w:t>
      </w:r>
      <w:r>
        <w:rPr>
          <w:rFonts w:hint="eastAsia" w:hAnsi="宋体" w:cs="宋体"/>
          <w:sz w:val="20"/>
          <w:szCs w:val="20"/>
        </w:rPr>
        <w:tab/>
      </w:r>
      <w:r>
        <w:rPr>
          <w:rFonts w:hint="eastAsia" w:hAnsi="宋体" w:cs="宋体"/>
          <w:sz w:val="20"/>
          <w:szCs w:val="20"/>
        </w:rPr>
        <w:fldChar w:fldCharType="begin"/>
      </w:r>
      <w:r>
        <w:rPr>
          <w:rFonts w:hint="eastAsia" w:hAnsi="宋体" w:cs="宋体"/>
          <w:sz w:val="20"/>
          <w:szCs w:val="20"/>
        </w:rPr>
        <w:instrText xml:space="preserve"> PAGEREF _Toc18301 \h </w:instrText>
      </w:r>
      <w:r>
        <w:rPr>
          <w:rFonts w:hint="eastAsia" w:hAnsi="宋体" w:cs="宋体"/>
          <w:sz w:val="20"/>
          <w:szCs w:val="20"/>
        </w:rPr>
        <w:fldChar w:fldCharType="separate"/>
      </w:r>
      <w:r>
        <w:rPr>
          <w:rFonts w:hint="eastAsia" w:hAnsi="宋体" w:cs="宋体"/>
          <w:sz w:val="20"/>
          <w:szCs w:val="20"/>
        </w:rPr>
        <w:t>1</w:t>
      </w:r>
      <w:r>
        <w:rPr>
          <w:rFonts w:hint="eastAsia" w:hAnsi="宋体" w:cs="宋体"/>
          <w:sz w:val="20"/>
          <w:szCs w:val="20"/>
          <w:lang w:val="en-US" w:eastAsia="zh-CN"/>
        </w:rPr>
        <w:t>3</w:t>
      </w:r>
      <w:r>
        <w:rPr>
          <w:rFonts w:hint="eastAsia" w:hAnsi="宋体" w:cs="宋体"/>
          <w:sz w:val="20"/>
          <w:szCs w:val="20"/>
        </w:rPr>
        <w:fldChar w:fldCharType="end"/>
      </w:r>
      <w:r>
        <w:rPr>
          <w:rFonts w:hint="eastAsia" w:hAnsi="宋体" w:cs="宋体"/>
          <w:sz w:val="20"/>
          <w:szCs w:val="20"/>
        </w:rPr>
        <w:fldChar w:fldCharType="end"/>
      </w:r>
      <w:r>
        <w:rPr>
          <w:rFonts w:hint="eastAsia" w:hAnsi="宋体" w:cs="宋体"/>
          <w:sz w:val="20"/>
          <w:szCs w:val="20"/>
        </w:rPr>
        <w:fldChar w:fldCharType="end"/>
      </w:r>
    </w:p>
    <w:p>
      <w:pPr>
        <w:rPr>
          <w:szCs w:val="21"/>
        </w:rPr>
      </w:pPr>
    </w:p>
    <w:p>
      <w:pPr>
        <w:rPr>
          <w:szCs w:val="21"/>
        </w:rPr>
      </w:pPr>
    </w:p>
    <w:p>
      <w:pPr>
        <w:rPr>
          <w:szCs w:val="21"/>
        </w:rPr>
      </w:pPr>
    </w:p>
    <w:p>
      <w:pPr>
        <w:rPr>
          <w:rFonts w:hint="eastAsia"/>
          <w:szCs w:val="21"/>
        </w:rPr>
      </w:pPr>
    </w:p>
    <w:p>
      <w:pPr>
        <w:keepNext/>
        <w:pageBreakBefore/>
        <w:widowControl/>
        <w:shd w:val="clear" w:color="FFFFFF" w:fill="FFFFFF"/>
        <w:spacing w:before="640" w:after="560"/>
        <w:jc w:val="center"/>
        <w:outlineLvl w:val="0"/>
        <w:rPr>
          <w:rFonts w:ascii="黑体" w:hAnsi="Times New Roman" w:eastAsia="黑体"/>
          <w:kern w:val="0"/>
          <w:sz w:val="32"/>
          <w:szCs w:val="20"/>
        </w:rPr>
      </w:pPr>
      <w:bookmarkStart w:id="6" w:name="_Toc427266773"/>
      <w:bookmarkStart w:id="7" w:name="_Toc3263"/>
      <w:bookmarkStart w:id="8" w:name="_Toc9094"/>
      <w:bookmarkStart w:id="9" w:name="_Toc5612"/>
      <w:bookmarkStart w:id="10" w:name="_Toc86416984"/>
      <w:bookmarkStart w:id="11" w:name="_Toc5996"/>
      <w:bookmarkStart w:id="12" w:name="_Toc90385045"/>
      <w:r>
        <w:rPr>
          <w:rFonts w:hint="eastAsia" w:ascii="黑体" w:hAnsi="Times New Roman" w:eastAsia="黑体"/>
          <w:kern w:val="0"/>
          <w:sz w:val="32"/>
          <w:szCs w:val="20"/>
        </w:rPr>
        <w:t>前</w:t>
      </w:r>
      <w:bookmarkStart w:id="13" w:name="BKQY"/>
      <w:r>
        <w:rPr>
          <w:rFonts w:ascii="黑体" w:hAnsi="黑体" w:eastAsia="黑体"/>
          <w:kern w:val="0"/>
          <w:sz w:val="32"/>
          <w:szCs w:val="20"/>
        </w:rPr>
        <w:t>  </w:t>
      </w:r>
      <w:r>
        <w:rPr>
          <w:rFonts w:hint="eastAsia" w:ascii="黑体" w:hAnsi="Times New Roman" w:eastAsia="黑体"/>
          <w:kern w:val="0"/>
          <w:sz w:val="32"/>
          <w:szCs w:val="20"/>
        </w:rPr>
        <w:t>言</w:t>
      </w:r>
      <w:bookmarkEnd w:id="6"/>
      <w:bookmarkEnd w:id="7"/>
      <w:bookmarkEnd w:id="8"/>
      <w:bookmarkEnd w:id="9"/>
      <w:bookmarkEnd w:id="10"/>
      <w:bookmarkEnd w:id="11"/>
      <w:bookmarkEnd w:id="12"/>
      <w:bookmarkEnd w:id="13"/>
    </w:p>
    <w:p>
      <w:pPr>
        <w:pStyle w:val="18"/>
        <w:rPr>
          <w:rFonts w:ascii="宋体" w:hAnsi="宋体"/>
          <w:sz w:val="20"/>
          <w:szCs w:val="20"/>
        </w:rPr>
      </w:pPr>
      <w:r>
        <w:rPr>
          <w:rFonts w:hint="eastAsia"/>
          <w:sz w:val="20"/>
        </w:rPr>
        <w:t>本标准是按</w:t>
      </w:r>
      <w:r>
        <w:rPr>
          <w:rFonts w:hint="eastAsia" w:ascii="宋体" w:hAnsi="宋体" w:cs="宋体"/>
          <w:sz w:val="20"/>
        </w:rPr>
        <w:t>照DL/T 800—20</w:t>
      </w:r>
      <w:r>
        <w:rPr>
          <w:rFonts w:hint="eastAsia" w:ascii="宋体" w:hAnsi="宋体" w:cs="宋体"/>
          <w:sz w:val="20"/>
          <w:lang w:val="en-US" w:eastAsia="zh-CN"/>
        </w:rPr>
        <w:t>18</w:t>
      </w:r>
      <w:r>
        <w:rPr>
          <w:rFonts w:hint="eastAsia" w:ascii="宋体" w:hAnsi="宋体" w:cs="宋体"/>
          <w:sz w:val="20"/>
        </w:rPr>
        <w:t>标准编写规范</w:t>
      </w:r>
      <w:r>
        <w:rPr>
          <w:rFonts w:hint="eastAsia"/>
          <w:sz w:val="20"/>
        </w:rPr>
        <w:t>给出的规则起草。</w:t>
      </w:r>
    </w:p>
    <w:p>
      <w:pPr>
        <w:widowControl/>
        <w:tabs>
          <w:tab w:val="center" w:pos="4201"/>
          <w:tab w:val="right" w:leader="dot" w:pos="9298"/>
        </w:tabs>
        <w:autoSpaceDE w:val="0"/>
        <w:autoSpaceDN w:val="0"/>
        <w:ind w:firstLine="400" w:firstLineChars="200"/>
        <w:rPr>
          <w:rFonts w:hint="eastAsia"/>
          <w:sz w:val="20"/>
          <w:szCs w:val="20"/>
        </w:rPr>
      </w:pPr>
      <w:r>
        <w:rPr>
          <w:sz w:val="20"/>
          <w:szCs w:val="20"/>
        </w:rPr>
        <w:t>本标准由</w:t>
      </w:r>
      <w:r>
        <w:rPr>
          <w:rFonts w:hint="eastAsia"/>
          <w:sz w:val="20"/>
          <w:szCs w:val="20"/>
        </w:rPr>
        <w:t>内蒙古电力（集团）有限责任公司生产技术部归口。</w:t>
      </w:r>
    </w:p>
    <w:p>
      <w:pPr>
        <w:widowControl/>
        <w:tabs>
          <w:tab w:val="center" w:pos="4201"/>
          <w:tab w:val="right" w:leader="dot" w:pos="9298"/>
        </w:tabs>
        <w:autoSpaceDE w:val="0"/>
        <w:autoSpaceDN w:val="0"/>
        <w:ind w:firstLine="400" w:firstLineChars="200"/>
        <w:rPr>
          <w:rFonts w:ascii="宋体" w:hAnsi="宋体"/>
          <w:kern w:val="0"/>
          <w:sz w:val="20"/>
          <w:szCs w:val="20"/>
        </w:rPr>
      </w:pPr>
      <w:r>
        <w:rPr>
          <w:rFonts w:hint="eastAsia" w:ascii="宋体" w:hAnsi="宋体"/>
          <w:kern w:val="0"/>
          <w:sz w:val="20"/>
          <w:szCs w:val="20"/>
        </w:rPr>
        <w:t>本文件起草单位：</w:t>
      </w:r>
      <w:r>
        <w:rPr>
          <w:rFonts w:hint="eastAsia" w:ascii="宋体" w:hAnsi="宋体"/>
          <w:sz w:val="20"/>
          <w:szCs w:val="20"/>
        </w:rPr>
        <w:t>内蒙古电力(集团)有限责任公司</w:t>
      </w:r>
      <w:r>
        <w:rPr>
          <w:rFonts w:hint="eastAsia" w:ascii="宋体" w:hAnsi="宋体"/>
          <w:kern w:val="0"/>
          <w:sz w:val="20"/>
          <w:szCs w:val="20"/>
        </w:rPr>
        <w:t>生产技术部、内蒙古电力电能计量公司。</w:t>
      </w:r>
    </w:p>
    <w:p>
      <w:pPr>
        <w:widowControl/>
        <w:tabs>
          <w:tab w:val="center" w:pos="4201"/>
          <w:tab w:val="right" w:leader="dot" w:pos="9298"/>
        </w:tabs>
        <w:autoSpaceDE w:val="0"/>
        <w:autoSpaceDN w:val="0"/>
        <w:ind w:firstLine="400" w:firstLineChars="200"/>
        <w:rPr>
          <w:rFonts w:hint="eastAsia" w:ascii="宋体" w:hAnsi="宋体" w:eastAsia="宋体" w:cs="Times New Roman"/>
          <w:sz w:val="20"/>
          <w:szCs w:val="20"/>
        </w:rPr>
      </w:pPr>
      <w:r>
        <w:rPr>
          <w:rFonts w:hint="eastAsia" w:ascii="宋体" w:hAnsi="宋体" w:eastAsia="宋体" w:cs="Times New Roman"/>
          <w:sz w:val="20"/>
          <w:szCs w:val="20"/>
        </w:rPr>
        <w:t>本文件主要起草人：薄宏斌、吕晨宇、叶涛、胡耀东、鲁虎雄、呼日查、张炜、杜国伟</w:t>
      </w:r>
      <w:r>
        <w:rPr>
          <w:rFonts w:hint="eastAsia" w:ascii="宋体" w:hAnsi="宋体" w:eastAsia="宋体" w:cs="Times New Roman"/>
          <w:sz w:val="20"/>
          <w:szCs w:val="20"/>
          <w:lang w:eastAsia="zh-CN"/>
        </w:rPr>
        <w:t>、</w:t>
      </w:r>
      <w:r>
        <w:rPr>
          <w:rFonts w:hint="eastAsia" w:ascii="宋体" w:hAnsi="宋体" w:eastAsia="宋体" w:cs="Times New Roman"/>
          <w:sz w:val="20"/>
          <w:szCs w:val="20"/>
          <w:lang w:val="en-US" w:eastAsia="zh-CN"/>
        </w:rPr>
        <w:t>周菁、常沛昕、税旭、薛玮、付小平、赵永贵、刘惠文、梁发亮</w:t>
      </w:r>
      <w:r>
        <w:rPr>
          <w:rFonts w:hint="eastAsia" w:ascii="宋体" w:hAnsi="宋体" w:eastAsia="宋体" w:cs="Times New Roman"/>
          <w:sz w:val="20"/>
          <w:szCs w:val="20"/>
        </w:rPr>
        <w:t>。</w:t>
      </w:r>
    </w:p>
    <w:p>
      <w:pPr>
        <w:widowControl/>
        <w:tabs>
          <w:tab w:val="center" w:pos="4201"/>
          <w:tab w:val="right" w:leader="dot" w:pos="9298"/>
        </w:tabs>
        <w:autoSpaceDE w:val="0"/>
        <w:autoSpaceDN w:val="0"/>
        <w:ind w:firstLine="400" w:firstLineChars="200"/>
        <w:rPr>
          <w:rFonts w:ascii="宋体" w:hAnsi="宋体"/>
          <w:kern w:val="0"/>
          <w:sz w:val="20"/>
          <w:szCs w:val="20"/>
        </w:rPr>
      </w:pPr>
      <w:r>
        <w:rPr>
          <w:rFonts w:hint="eastAsia" w:ascii="宋体" w:hAnsi="宋体"/>
          <w:kern w:val="0"/>
          <w:sz w:val="20"/>
          <w:szCs w:val="20"/>
        </w:rPr>
        <w:t>本文件2025年</w:t>
      </w:r>
      <w:r>
        <w:rPr>
          <w:rFonts w:hint="eastAsia" w:ascii="宋体" w:hAnsi="宋体"/>
          <w:kern w:val="0"/>
          <w:sz w:val="20"/>
          <w:szCs w:val="20"/>
          <w:lang w:val="en-US" w:eastAsia="zh-CN"/>
        </w:rPr>
        <w:t>8</w:t>
      </w:r>
      <w:r>
        <w:rPr>
          <w:rFonts w:hint="eastAsia" w:ascii="宋体" w:hAnsi="宋体"/>
          <w:kern w:val="0"/>
          <w:sz w:val="20"/>
          <w:szCs w:val="20"/>
        </w:rPr>
        <w:t>月首次发布。</w:t>
      </w:r>
    </w:p>
    <w:p>
      <w:pPr>
        <w:pStyle w:val="18"/>
        <w:rPr>
          <w:rFonts w:hint="eastAsia"/>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widowControl/>
        <w:jc w:val="left"/>
        <w:rPr>
          <w:rFonts w:hint="eastAsia" w:ascii="黑体" w:hAnsi="宋体" w:eastAsia="黑体" w:cs="黑体"/>
          <w:color w:val="000000"/>
          <w:kern w:val="0"/>
          <w:sz w:val="31"/>
          <w:szCs w:val="31"/>
          <w:lang w:bidi="ar"/>
        </w:rPr>
      </w:pPr>
    </w:p>
    <w:p>
      <w:pPr>
        <w:pStyle w:val="40"/>
        <w:outlineLvl w:val="9"/>
        <w:rPr>
          <w:rFonts w:hint="eastAsia" w:hAnsi="Times New Roman"/>
        </w:rPr>
        <w:sectPr>
          <w:headerReference r:id="rId7" w:type="default"/>
          <w:footerReference r:id="rId9" w:type="default"/>
          <w:headerReference r:id="rId8" w:type="even"/>
          <w:pgSz w:w="11906" w:h="16838"/>
          <w:pgMar w:top="1440" w:right="1800" w:bottom="1440" w:left="1800" w:header="851" w:footer="992" w:gutter="0"/>
          <w:pgNumType w:fmt="upperRoman" w:start="1"/>
          <w:cols w:space="720" w:num="1"/>
          <w:docGrid w:type="lines" w:linePitch="312" w:charSpace="0"/>
        </w:sectPr>
      </w:pPr>
    </w:p>
    <w:p>
      <w:pPr>
        <w:pStyle w:val="40"/>
        <w:rPr>
          <w:rFonts w:hint="eastAsia" w:hAnsi="Times New Roman"/>
          <w:sz w:val="31"/>
          <w:szCs w:val="31"/>
        </w:rPr>
      </w:pPr>
      <w:bookmarkStart w:id="14" w:name="_Toc656"/>
      <w:bookmarkStart w:id="15" w:name="_Toc18869"/>
      <w:bookmarkStart w:id="16" w:name="_Toc9519"/>
      <w:r>
        <w:rPr>
          <w:rFonts w:hint="eastAsia" w:hAnsi="Times New Roman"/>
          <w:sz w:val="31"/>
          <w:szCs w:val="31"/>
        </w:rPr>
        <w:t>生产设备电子标签技术要求与检测规范</w:t>
      </w:r>
      <w:bookmarkEnd w:id="14"/>
      <w:bookmarkEnd w:id="15"/>
      <w:bookmarkEnd w:id="16"/>
      <w:r>
        <w:rPr>
          <w:rFonts w:hint="eastAsia" w:hAnsi="Times New Roman"/>
          <w:sz w:val="31"/>
          <w:szCs w:val="31"/>
        </w:rPr>
        <w:t xml:space="preserve"> </w:t>
      </w:r>
    </w:p>
    <w:p>
      <w:pPr>
        <w:pStyle w:val="36"/>
        <w:outlineLvl w:val="0"/>
        <w:rPr>
          <w:rFonts w:hint="eastAsia" w:hAnsi="Times New Roman" w:cs="Times New Roman"/>
          <w:sz w:val="21"/>
          <w:szCs w:val="21"/>
        </w:rPr>
      </w:pPr>
      <w:bookmarkStart w:id="17" w:name="_Toc22617"/>
      <w:bookmarkStart w:id="18" w:name="_Toc29663"/>
      <w:bookmarkStart w:id="19" w:name="_Toc2206"/>
      <w:r>
        <w:rPr>
          <w:rFonts w:hint="eastAsia" w:hAnsi="Times New Roman" w:cs="Times New Roman"/>
          <w:sz w:val="21"/>
          <w:szCs w:val="21"/>
        </w:rPr>
        <w:t>范围</w:t>
      </w:r>
      <w:bookmarkEnd w:id="17"/>
      <w:bookmarkEnd w:id="18"/>
      <w:bookmarkEnd w:id="19"/>
      <w:r>
        <w:rPr>
          <w:rFonts w:hint="eastAsia" w:hAnsi="Times New Roman" w:cs="Times New Roman"/>
          <w:sz w:val="21"/>
          <w:szCs w:val="21"/>
        </w:rPr>
        <w:t xml:space="preserve"> </w:t>
      </w:r>
    </w:p>
    <w:p>
      <w:pPr>
        <w:pStyle w:val="18"/>
        <w:rPr>
          <w:rFonts w:hint="eastAsia" w:hAnsi="宋体" w:cs="宋体"/>
          <w:sz w:val="21"/>
          <w:szCs w:val="21"/>
        </w:rPr>
      </w:pPr>
      <w:r>
        <w:rPr>
          <w:rFonts w:hint="eastAsia" w:hAnsi="宋体" w:cs="宋体"/>
          <w:sz w:val="21"/>
          <w:szCs w:val="21"/>
        </w:rPr>
        <w:t xml:space="preserve">本标准规定了内蒙古电力（集团）有限责任公司生产设备电子标签的种类及规格要求、技术要求、试验要求及检验规则。 </w:t>
      </w:r>
    </w:p>
    <w:p>
      <w:pPr>
        <w:pStyle w:val="18"/>
        <w:rPr>
          <w:rFonts w:hint="eastAsia" w:hAnsi="宋体" w:cs="宋体"/>
          <w:sz w:val="21"/>
          <w:szCs w:val="21"/>
        </w:rPr>
      </w:pPr>
      <w:r>
        <w:rPr>
          <w:rFonts w:hint="eastAsia" w:hAnsi="宋体" w:cs="宋体"/>
          <w:sz w:val="21"/>
          <w:szCs w:val="21"/>
        </w:rPr>
        <w:t xml:space="preserve">本标准适用于内蒙古电力（集团）有限责任公司内使用和管理的生产设备电子标签的制造、检验、使用和验收。 </w:t>
      </w:r>
    </w:p>
    <w:p>
      <w:pPr>
        <w:pStyle w:val="36"/>
        <w:outlineLvl w:val="0"/>
        <w:rPr>
          <w:rFonts w:hint="eastAsia" w:hAnsi="Times New Roman" w:cs="Times New Roman"/>
          <w:sz w:val="21"/>
          <w:szCs w:val="21"/>
        </w:rPr>
      </w:pPr>
      <w:bookmarkStart w:id="20" w:name="_Toc32040"/>
      <w:bookmarkStart w:id="21" w:name="_Toc30239"/>
      <w:bookmarkStart w:id="22" w:name="_Toc21361"/>
      <w:r>
        <w:rPr>
          <w:rFonts w:hint="eastAsia" w:hAnsi="Times New Roman" w:cs="Times New Roman"/>
          <w:sz w:val="21"/>
          <w:szCs w:val="21"/>
        </w:rPr>
        <w:t>规范性引用文件</w:t>
      </w:r>
      <w:bookmarkEnd w:id="20"/>
      <w:bookmarkEnd w:id="21"/>
      <w:bookmarkEnd w:id="22"/>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下列文件对于本文件的应用是必不可少的。凡是注日期的引用文件，仅注日期的版本适用于本文件。凡是不注日期的引用文件，其最新版本（包括所有的修改单）适用于本规范。</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35102-2017</w:t>
      </w:r>
      <w:r>
        <w:rPr>
          <w:rFonts w:hint="eastAsia" w:ascii="Times New Roman" w:hAnsi="宋体" w:eastAsia="宋体" w:cs="宋体"/>
          <w:sz w:val="21"/>
          <w:szCs w:val="21"/>
          <w:lang w:val="en-US" w:eastAsia="zh-CN"/>
        </w:rPr>
        <w:t xml:space="preserve"> 信息技术 射频识别 800/900MHz 空中接口符合性测试方法</w:t>
      </w:r>
      <w:r>
        <w:rPr>
          <w:rFonts w:hint="eastAsia" w:ascii="Times New Roman" w:hAnsi="宋体" w:eastAsia="宋体" w:cs="宋体"/>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2408—</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 xml:space="preserve"> 塑料 燃烧性能的测定 水平法和垂直法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GB/T 2423.1—2008 电工电子产品环境试验 第2部分：试验方法 试验A：低温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GB/T 2423.2—2008 电工电子产品环境试验 第2部分：试验方法 试验B：高温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2423.3—</w:t>
      </w:r>
      <w:r>
        <w:rPr>
          <w:rFonts w:hint="eastAsia" w:ascii="Times New Roman" w:hAnsi="宋体" w:eastAsia="宋体" w:cs="宋体"/>
          <w:sz w:val="21"/>
          <w:szCs w:val="21"/>
          <w:lang w:val="en-US" w:eastAsia="zh-CN"/>
        </w:rPr>
        <w:t>2016</w:t>
      </w:r>
      <w:r>
        <w:rPr>
          <w:rFonts w:hint="eastAsia" w:ascii="Times New Roman" w:hAnsi="宋体" w:eastAsia="宋体" w:cs="宋体"/>
          <w:sz w:val="21"/>
          <w:szCs w:val="21"/>
        </w:rPr>
        <w:t xml:space="preserve"> 环境试验 第2部分：试验方法 试验Cab：恒定湿热试验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GB/T 2423.5—2019 环境试验 第2部分：试验方法 试验Ea和导则：冲击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2423.10—20</w:t>
      </w:r>
      <w:r>
        <w:rPr>
          <w:rFonts w:hint="eastAsia" w:ascii="Times New Roman" w:hAnsi="宋体" w:eastAsia="宋体" w:cs="宋体"/>
          <w:sz w:val="21"/>
          <w:szCs w:val="21"/>
          <w:lang w:val="en-US" w:eastAsia="zh-CN"/>
        </w:rPr>
        <w:t>19</w:t>
      </w:r>
      <w:r>
        <w:rPr>
          <w:rFonts w:hint="eastAsia" w:ascii="Times New Roman" w:hAnsi="宋体" w:eastAsia="宋体" w:cs="宋体"/>
          <w:sz w:val="21"/>
          <w:szCs w:val="21"/>
        </w:rPr>
        <w:t xml:space="preserve"> 环境试验 第2部分：试验方法 试验Fc：振动（正弦）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2423.17—20</w:t>
      </w:r>
      <w:r>
        <w:rPr>
          <w:rFonts w:hint="eastAsia" w:ascii="Times New Roman" w:hAnsi="宋体" w:eastAsia="宋体" w:cs="宋体"/>
          <w:sz w:val="21"/>
          <w:szCs w:val="21"/>
          <w:lang w:val="en-US" w:eastAsia="zh-CN"/>
        </w:rPr>
        <w:t>24</w:t>
      </w:r>
      <w:r>
        <w:rPr>
          <w:rFonts w:hint="eastAsia" w:ascii="Times New Roman" w:hAnsi="宋体" w:eastAsia="宋体" w:cs="宋体"/>
          <w:sz w:val="21"/>
          <w:szCs w:val="21"/>
        </w:rPr>
        <w:t xml:space="preserve"> 环境试验 第2部分：试验方法 试验Ka盐雾试验方法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GB/T 2423.22—2012 环境试验 第2部分：试验方法 试验N：温度变化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2423.24—20</w:t>
      </w:r>
      <w:r>
        <w:rPr>
          <w:rFonts w:hint="eastAsia" w:ascii="Times New Roman" w:hAnsi="宋体" w:eastAsia="宋体" w:cs="宋体"/>
          <w:sz w:val="21"/>
          <w:szCs w:val="21"/>
          <w:lang w:val="en-US" w:eastAsia="zh-CN"/>
        </w:rPr>
        <w:t>22</w:t>
      </w:r>
      <w:r>
        <w:rPr>
          <w:rFonts w:hint="eastAsia" w:ascii="Times New Roman" w:hAnsi="宋体" w:eastAsia="宋体" w:cs="宋体"/>
          <w:sz w:val="21"/>
          <w:szCs w:val="21"/>
        </w:rPr>
        <w:t xml:space="preserve"> 环境试验 第2部分：试验方法 试验S：模拟地面上的太阳辐射及太阳辐射试验和气候老化试验导则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2828.1</w:t>
      </w:r>
      <w:r>
        <w:rPr>
          <w:rFonts w:hint="eastAsia" w:ascii="Times New Roman" w:hAnsi="宋体" w:eastAsia="宋体" w:cs="宋体"/>
          <w:sz w:val="21"/>
          <w:szCs w:val="21"/>
          <w:lang w:val="en-US" w:eastAsia="zh-CN"/>
        </w:rPr>
        <w:t>-2012</w:t>
      </w:r>
      <w:r>
        <w:rPr>
          <w:rFonts w:hint="eastAsia" w:ascii="Times New Roman" w:hAnsi="宋体" w:eastAsia="宋体" w:cs="宋体"/>
          <w:sz w:val="21"/>
          <w:szCs w:val="21"/>
        </w:rPr>
        <w:t xml:space="preserve"> 计数抽样检验程序 第1部分：按接收质量限（AQL）检索的逐批检验抽样计划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4208—20</w:t>
      </w:r>
      <w:r>
        <w:rPr>
          <w:rFonts w:hint="eastAsia" w:ascii="Times New Roman" w:hAnsi="宋体" w:eastAsia="宋体" w:cs="宋体"/>
          <w:sz w:val="21"/>
          <w:szCs w:val="21"/>
          <w:lang w:val="en-US" w:eastAsia="zh-CN"/>
        </w:rPr>
        <w:t>17/XG1-2024</w:t>
      </w:r>
      <w:r>
        <w:rPr>
          <w:rFonts w:hint="eastAsia" w:ascii="Times New Roman" w:hAnsi="宋体" w:eastAsia="宋体" w:cs="宋体"/>
          <w:sz w:val="21"/>
          <w:szCs w:val="21"/>
        </w:rPr>
        <w:t xml:space="preserve"> 外壳防护等级（IP代码）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17626.2—20</w:t>
      </w:r>
      <w:r>
        <w:rPr>
          <w:rFonts w:hint="eastAsia" w:ascii="Times New Roman" w:hAnsi="宋体" w:eastAsia="宋体" w:cs="宋体"/>
          <w:sz w:val="21"/>
          <w:szCs w:val="21"/>
          <w:lang w:val="en-US" w:eastAsia="zh-CN"/>
        </w:rPr>
        <w:t>18</w:t>
      </w:r>
      <w:r>
        <w:rPr>
          <w:rFonts w:hint="eastAsia" w:ascii="Times New Roman" w:hAnsi="宋体" w:eastAsia="宋体" w:cs="宋体"/>
          <w:sz w:val="21"/>
          <w:szCs w:val="21"/>
        </w:rPr>
        <w:t xml:space="preserve"> 电磁兼容 试验和测量技术 静电放电抗扰度试验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17626.3—20</w:t>
      </w:r>
      <w:r>
        <w:rPr>
          <w:rFonts w:hint="eastAsia" w:ascii="Times New Roman" w:hAnsi="宋体" w:eastAsia="宋体" w:cs="宋体"/>
          <w:sz w:val="21"/>
          <w:szCs w:val="21"/>
          <w:lang w:val="en-US" w:eastAsia="zh-CN"/>
        </w:rPr>
        <w:t>23</w:t>
      </w:r>
      <w:r>
        <w:rPr>
          <w:rFonts w:hint="eastAsia" w:ascii="Times New Roman" w:hAnsi="宋体" w:eastAsia="宋体" w:cs="宋体"/>
          <w:sz w:val="21"/>
          <w:szCs w:val="21"/>
        </w:rPr>
        <w:t xml:space="preserve"> 电磁兼容 试验和测量技术 第 3 部分：射频电磁场辐射抗扰度试验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GB/T 17626.8—2006 电磁兼容 试验和测量技术 工频磁场抗扰度试验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GB/T 17626.9—2011 电磁兼容 试验和测量技术 脉冲磁场抗扰度试验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17626.10—20</w:t>
      </w:r>
      <w:r>
        <w:rPr>
          <w:rFonts w:hint="eastAsia" w:ascii="Times New Roman" w:hAnsi="宋体" w:eastAsia="宋体" w:cs="宋体"/>
          <w:sz w:val="21"/>
          <w:szCs w:val="21"/>
          <w:lang w:val="en-US" w:eastAsia="zh-CN"/>
        </w:rPr>
        <w:t>17</w:t>
      </w:r>
      <w:r>
        <w:rPr>
          <w:rFonts w:hint="eastAsia" w:ascii="Times New Roman" w:hAnsi="宋体" w:eastAsia="宋体" w:cs="宋体"/>
          <w:sz w:val="21"/>
          <w:szCs w:val="21"/>
        </w:rPr>
        <w:t xml:space="preserve"> 电磁兼容 试验和测量技术 阻尼振荡磁场抗扰度试验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GB/T 23704</w:t>
      </w:r>
      <w:r>
        <w:rPr>
          <w:rFonts w:hint="eastAsia" w:ascii="Times New Roman" w:hAnsi="宋体" w:eastAsia="宋体" w:cs="宋体"/>
          <w:sz w:val="21"/>
          <w:szCs w:val="21"/>
          <w:lang w:val="en-US" w:eastAsia="zh-CN"/>
        </w:rPr>
        <w:t>-2017</w:t>
      </w:r>
      <w:r>
        <w:rPr>
          <w:rFonts w:hint="eastAsia" w:ascii="Times New Roman" w:hAnsi="宋体" w:eastAsia="宋体" w:cs="宋体"/>
          <w:sz w:val="21"/>
          <w:szCs w:val="21"/>
        </w:rPr>
        <w:t xml:space="preserve"> 二维条码符号印制质量的检验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HG/T 2406—2014 压敏胶标签纸 </w:t>
      </w:r>
    </w:p>
    <w:p>
      <w:pPr>
        <w:pStyle w:val="18"/>
        <w:rPr>
          <w:rFonts w:hint="eastAsia" w:ascii="Times New Roman" w:hAnsi="宋体" w:eastAsia="宋体" w:cs="宋体"/>
          <w:sz w:val="21"/>
          <w:szCs w:val="21"/>
          <w:lang w:val="en-US" w:eastAsia="zh-CN"/>
        </w:rPr>
      </w:pPr>
      <w:r>
        <w:rPr>
          <w:rFonts w:hint="eastAsia" w:ascii="Times New Roman" w:hAnsi="宋体" w:eastAsia="宋体" w:cs="宋体"/>
          <w:sz w:val="21"/>
          <w:szCs w:val="21"/>
        </w:rPr>
        <w:t>ISO/IEC 29158</w:t>
      </w:r>
      <w:r>
        <w:rPr>
          <w:rFonts w:hint="default" w:ascii="Times New Roman" w:hAnsi="宋体" w:eastAsia="宋体" w:cs="宋体"/>
          <w:sz w:val="21"/>
          <w:szCs w:val="21"/>
          <w:lang w:val="en-US"/>
        </w:rPr>
        <w:t>:</w:t>
      </w:r>
      <w:r>
        <w:rPr>
          <w:rFonts w:hint="eastAsia" w:ascii="Times New Roman" w:hAnsi="宋体" w:eastAsia="宋体" w:cs="宋体"/>
          <w:sz w:val="21"/>
          <w:szCs w:val="21"/>
          <w:lang w:val="en-US" w:eastAsia="zh-CN"/>
        </w:rPr>
        <w:t>2025 自动识别和数据捕获技术 条形码符号质量试验规范 直接零件标记（DPM）（</w:t>
      </w:r>
      <w:r>
        <w:rPr>
          <w:rFonts w:hint="eastAsia" w:ascii="Times New Roman" w:hAnsi="宋体" w:eastAsia="宋体" w:cs="宋体"/>
          <w:sz w:val="21"/>
          <w:szCs w:val="21"/>
        </w:rPr>
        <w:t xml:space="preserve"> Information technology  Automatic identification and data capture techniques - Direct Part Mark (DPMQuality Guideline</w:t>
      </w:r>
      <w:r>
        <w:rPr>
          <w:rFonts w:hint="eastAsia" w:ascii="Times New Roman" w:hAnsi="宋体" w:eastAsia="宋体" w:cs="宋体"/>
          <w:sz w:val="21"/>
          <w:szCs w:val="21"/>
          <w:lang w:eastAsia="zh-CN"/>
        </w:rPr>
        <w:t>）</w:t>
      </w:r>
      <w:r>
        <w:rPr>
          <w:rFonts w:hint="eastAsia" w:ascii="Times New Roman" w:hAnsi="宋体" w:eastAsia="宋体" w:cs="宋体"/>
          <w:sz w:val="21"/>
          <w:szCs w:val="21"/>
          <w:lang w:val="en-US" w:eastAsia="zh-CN"/>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ISO/IEC 18000-63</w:t>
      </w:r>
      <w:r>
        <w:rPr>
          <w:rFonts w:hint="default" w:ascii="Times New Roman" w:hAnsi="宋体" w:eastAsia="宋体" w:cs="宋体"/>
          <w:sz w:val="21"/>
          <w:szCs w:val="21"/>
          <w:lang w:val="en-US"/>
        </w:rPr>
        <w:t>:</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 xml:space="preserve"> 信息技术 物品管理用射频识别 第 63 部分：860MHz 至 960MHz C 型空中接口通信参数（Information technology–Radio frequency identification for item management-Part63：Parameters for air interface communications at 860MHz to 960MHz TypeC）</w:t>
      </w:r>
    </w:p>
    <w:p>
      <w:pPr>
        <w:pStyle w:val="18"/>
        <w:rPr>
          <w:rFonts w:hint="eastAsia" w:ascii="Times New Roman" w:hAnsi="宋体" w:eastAsia="宋体" w:cs="宋体"/>
          <w:sz w:val="21"/>
          <w:szCs w:val="21"/>
        </w:rPr>
      </w:pPr>
      <w:r>
        <w:rPr>
          <w:rFonts w:hint="eastAsia" w:ascii="Times New Roman" w:hAnsi="宋体" w:eastAsia="宋体" w:cs="宋体"/>
          <w:sz w:val="21"/>
          <w:szCs w:val="21"/>
        </w:rPr>
        <w:t>ISO/IEC 14443</w:t>
      </w:r>
      <w:r>
        <w:rPr>
          <w:rFonts w:hint="default" w:ascii="Times New Roman" w:hAnsi="宋体" w:eastAsia="宋体" w:cs="宋体"/>
          <w:sz w:val="21"/>
          <w:szCs w:val="21"/>
          <w:lang w:val="en-US" w:eastAsia="zh-CN"/>
        </w:rPr>
        <w:t>:</w:t>
      </w:r>
      <w:r>
        <w:rPr>
          <w:rFonts w:hint="eastAsia" w:ascii="Times New Roman" w:hAnsi="宋体" w:eastAsia="宋体" w:cs="宋体"/>
          <w:sz w:val="21"/>
          <w:szCs w:val="21"/>
          <w:lang w:val="en-US" w:eastAsia="zh-CN"/>
        </w:rPr>
        <w:t>2020</w:t>
      </w:r>
      <w:r>
        <w:rPr>
          <w:rFonts w:hint="eastAsia" w:ascii="Times New Roman" w:hAnsi="宋体" w:eastAsia="宋体" w:cs="宋体"/>
          <w:sz w:val="21"/>
          <w:szCs w:val="21"/>
        </w:rPr>
        <w:t xml:space="preserve">  识别卡无触点集成电路卡(Identification cards-Contactless integrated circuit(s) cards-Proximity cards)</w:t>
      </w:r>
    </w:p>
    <w:p>
      <w:pPr>
        <w:pStyle w:val="18"/>
        <w:rPr>
          <w:rFonts w:hint="eastAsia" w:ascii="Times New Roman" w:hAnsi="宋体" w:eastAsia="宋体" w:cs="宋体"/>
          <w:sz w:val="21"/>
          <w:szCs w:val="21"/>
        </w:rPr>
      </w:pPr>
      <w:r>
        <w:rPr>
          <w:rFonts w:hint="eastAsia" w:ascii="Times New Roman" w:hAnsi="宋体" w:eastAsia="宋体" w:cs="宋体"/>
          <w:sz w:val="21"/>
          <w:szCs w:val="21"/>
        </w:rPr>
        <w:t>ISO/IEC 18047-3:2022  信息技术 射频识别设备一致性测试方法 第3部分:13.56 MHz空中接口通信测试方法（Information technology — Radio frequency identification device conformance test methods — Part 3: Test methods for air interface communications at 13,56 MHz）</w:t>
      </w:r>
    </w:p>
    <w:p>
      <w:pPr>
        <w:pStyle w:val="18"/>
        <w:rPr>
          <w:rFonts w:hint="default" w:ascii="Times New Roman" w:hAnsi="宋体" w:eastAsia="宋体" w:cs="宋体"/>
          <w:sz w:val="21"/>
          <w:szCs w:val="21"/>
        </w:rPr>
      </w:pPr>
      <w:r>
        <w:rPr>
          <w:rFonts w:hint="default" w:ascii="Times New Roman" w:hAnsi="宋体" w:eastAsia="宋体" w:cs="宋体"/>
          <w:sz w:val="21"/>
          <w:szCs w:val="21"/>
        </w:rPr>
        <w:t>JESD22—A117</w:t>
      </w:r>
      <w:r>
        <w:rPr>
          <w:rFonts w:hint="eastAsia" w:ascii="Times New Roman" w:hAnsi="宋体" w:eastAsia="宋体" w:cs="宋体"/>
          <w:sz w:val="21"/>
          <w:szCs w:val="21"/>
          <w:lang w:val="en-US" w:eastAsia="zh-CN"/>
        </w:rPr>
        <w:t>E（2018）</w:t>
      </w:r>
      <w:r>
        <w:rPr>
          <w:rFonts w:hint="default" w:ascii="Times New Roman" w:hAnsi="宋体" w:eastAsia="宋体" w:cs="宋体"/>
          <w:sz w:val="21"/>
          <w:szCs w:val="21"/>
        </w:rPr>
        <w:t xml:space="preserve"> 电可擦除可编程 ROM (EEPROM) 程序擦除耐久性和数据保留压力测试（Electrically erasable programmable rom（EEPROM）program/Erase endurance and data retention test） </w:t>
      </w:r>
    </w:p>
    <w:p>
      <w:pPr>
        <w:pStyle w:val="36"/>
        <w:outlineLvl w:val="0"/>
        <w:rPr>
          <w:rFonts w:hint="eastAsia" w:hAnsi="Times New Roman" w:cs="Times New Roman"/>
          <w:sz w:val="21"/>
          <w:szCs w:val="21"/>
        </w:rPr>
      </w:pPr>
      <w:bookmarkStart w:id="23" w:name="_Toc16773"/>
      <w:bookmarkStart w:id="24" w:name="_Toc18562"/>
      <w:bookmarkStart w:id="25" w:name="_Toc17030"/>
      <w:r>
        <w:rPr>
          <w:rFonts w:hint="eastAsia" w:hAnsi="Times New Roman" w:cs="Times New Roman"/>
          <w:sz w:val="21"/>
          <w:szCs w:val="21"/>
        </w:rPr>
        <w:t>术语和定义</w:t>
      </w:r>
      <w:bookmarkEnd w:id="23"/>
      <w:bookmarkEnd w:id="24"/>
      <w:bookmarkEnd w:id="25"/>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下列术语和定义适用于本文件。 </w:t>
      </w:r>
    </w:p>
    <w:p>
      <w:pPr>
        <w:pStyle w:val="34"/>
        <w:outlineLvl w:val="1"/>
        <w:rPr>
          <w:rFonts w:hint="eastAsia"/>
          <w:sz w:val="21"/>
          <w:szCs w:val="21"/>
        </w:rPr>
      </w:pPr>
      <w:bookmarkStart w:id="26" w:name="_Toc25637"/>
      <w:bookmarkStart w:id="27" w:name="_Toc2467"/>
      <w:r>
        <w:rPr>
          <w:rFonts w:hint="eastAsia"/>
          <w:sz w:val="21"/>
          <w:szCs w:val="21"/>
        </w:rPr>
        <w:t>电子标签</w:t>
      </w:r>
      <w:bookmarkEnd w:id="26"/>
      <w:bookmarkEnd w:id="27"/>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用于物体或物品标识、具有信息存储机制的、能接收读写器的电磁场调制信号并返回响应信号的数据载体。 </w:t>
      </w:r>
    </w:p>
    <w:p>
      <w:pPr>
        <w:pStyle w:val="34"/>
        <w:outlineLvl w:val="1"/>
        <w:rPr>
          <w:rFonts w:hint="eastAsia" w:hAnsi="Times New Roman" w:cs="Times New Roman"/>
          <w:sz w:val="21"/>
          <w:szCs w:val="21"/>
        </w:rPr>
      </w:pPr>
      <w:bookmarkStart w:id="28" w:name="_Toc28261"/>
      <w:r>
        <w:rPr>
          <w:rFonts w:hint="eastAsia" w:hAnsi="Times New Roman" w:cs="Times New Roman"/>
          <w:sz w:val="21"/>
          <w:szCs w:val="21"/>
        </w:rPr>
        <w:t>柔性标签</w:t>
      </w:r>
      <w:bookmarkEnd w:id="28"/>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采用柔软基材封装的电子标签。 </w:t>
      </w:r>
    </w:p>
    <w:p>
      <w:pPr>
        <w:pStyle w:val="34"/>
        <w:outlineLvl w:val="1"/>
        <w:rPr>
          <w:rFonts w:hint="eastAsia" w:hAnsi="Times New Roman" w:cs="Times New Roman"/>
          <w:sz w:val="21"/>
          <w:szCs w:val="21"/>
        </w:rPr>
      </w:pPr>
      <w:bookmarkStart w:id="29" w:name="_Toc3865"/>
      <w:r>
        <w:rPr>
          <w:rFonts w:hint="eastAsia" w:hAnsi="Times New Roman" w:cs="Times New Roman"/>
          <w:sz w:val="21"/>
          <w:szCs w:val="21"/>
        </w:rPr>
        <w:t>硬质标签</w:t>
      </w:r>
      <w:bookmarkEnd w:id="29"/>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采用具有一定硬度基材封装的电子标签。 </w:t>
      </w:r>
    </w:p>
    <w:p>
      <w:pPr>
        <w:pStyle w:val="34"/>
        <w:outlineLvl w:val="1"/>
        <w:rPr>
          <w:rFonts w:hint="eastAsia" w:hAnsi="Times New Roman" w:cs="Times New Roman"/>
          <w:sz w:val="21"/>
          <w:szCs w:val="21"/>
        </w:rPr>
      </w:pPr>
      <w:bookmarkStart w:id="30" w:name="_Toc10702"/>
      <w:bookmarkStart w:id="31" w:name="_Toc171603291"/>
      <w:r>
        <w:rPr>
          <w:rFonts w:hint="eastAsia" w:hAnsi="Times New Roman" w:cs="Times New Roman"/>
          <w:sz w:val="21"/>
          <w:szCs w:val="21"/>
        </w:rPr>
        <w:t>超高频电子标签</w:t>
      </w:r>
      <w:bookmarkEnd w:id="30"/>
      <w:bookmarkEnd w:id="31"/>
    </w:p>
    <w:p>
      <w:pPr>
        <w:pStyle w:val="18"/>
        <w:rPr>
          <w:rFonts w:hint="eastAsia" w:ascii="Times New Roman" w:hAnsi="宋体" w:eastAsia="宋体" w:cs="宋体"/>
          <w:sz w:val="21"/>
          <w:szCs w:val="21"/>
        </w:rPr>
      </w:pPr>
      <w:r>
        <w:rPr>
          <w:rFonts w:hint="eastAsia" w:ascii="Times New Roman" w:hAnsi="宋体" w:eastAsia="宋体" w:cs="宋体"/>
          <w:sz w:val="21"/>
          <w:szCs w:val="21"/>
        </w:rPr>
        <w:t>采用超高频射频识别技术，满足ISO/IEC 18000—63协议的电子标签。</w:t>
      </w:r>
    </w:p>
    <w:p>
      <w:pPr>
        <w:pStyle w:val="34"/>
        <w:outlineLvl w:val="1"/>
        <w:rPr>
          <w:rFonts w:hint="eastAsia" w:hAnsi="Times New Roman" w:cs="Times New Roman"/>
          <w:sz w:val="21"/>
          <w:szCs w:val="21"/>
        </w:rPr>
      </w:pPr>
      <w:bookmarkStart w:id="32" w:name="_Toc171603290"/>
      <w:bookmarkEnd w:id="32"/>
      <w:bookmarkStart w:id="33" w:name="_Toc171603292"/>
      <w:bookmarkEnd w:id="33"/>
      <w:bookmarkStart w:id="34" w:name="_Toc171603288"/>
      <w:bookmarkEnd w:id="34"/>
      <w:bookmarkStart w:id="35" w:name="_Toc171603286"/>
      <w:bookmarkEnd w:id="35"/>
      <w:bookmarkStart w:id="36" w:name="_Toc171603293"/>
      <w:r>
        <w:rPr>
          <w:rFonts w:hint="eastAsia" w:hAnsi="Times New Roman" w:cs="Times New Roman"/>
          <w:sz w:val="21"/>
          <w:szCs w:val="21"/>
        </w:rPr>
        <w:t>双频电子标签</w:t>
      </w:r>
      <w:bookmarkEnd w:id="36"/>
    </w:p>
    <w:p>
      <w:pPr>
        <w:pStyle w:val="18"/>
        <w:rPr>
          <w:rFonts w:hint="eastAsia" w:ascii="Times New Roman" w:hAnsi="宋体" w:eastAsia="宋体" w:cs="宋体"/>
          <w:sz w:val="21"/>
          <w:szCs w:val="21"/>
        </w:rPr>
      </w:pPr>
      <w:r>
        <w:rPr>
          <w:rFonts w:hint="eastAsia" w:ascii="Times New Roman" w:hAnsi="宋体" w:eastAsia="宋体" w:cs="宋体"/>
          <w:sz w:val="21"/>
          <w:szCs w:val="21"/>
        </w:rPr>
        <w:t>所用芯片同时采用</w:t>
      </w:r>
      <w:r>
        <w:rPr>
          <w:rFonts w:hint="eastAsia" w:ascii="Times New Roman" w:hAnsi="宋体" w:eastAsia="宋体" w:cs="宋体"/>
          <w:sz w:val="21"/>
          <w:szCs w:val="21"/>
        </w:rPr>
        <w:fldChar w:fldCharType="begin"/>
      </w:r>
      <w:r>
        <w:rPr>
          <w:rFonts w:hint="eastAsia" w:ascii="Times New Roman" w:hAnsi="宋体" w:eastAsia="宋体" w:cs="宋体"/>
          <w:sz w:val="21"/>
          <w:szCs w:val="21"/>
        </w:rPr>
        <w:instrText xml:space="preserve"> HYPERLINK "https://www.baidu.com/s?sa=re_dqa_generate&amp;wd=%E4%BD%8E%E9%A2%91&amp;rsv_pq=bd46634e000385b4&amp;oq=%E5%8F%8C%E9%A2%91%E7%94%B5%E5%AD%90%E6%A0%87%E7%AD%BE%E5%AE%9A%E4%B9%89&amp;rsv_t=cdc9Te1Ky+nAgKImO2MHunUEAUEMZ54geoQVYpxVdzm9vhAdiccnvUNXALI&amp;tn=baidu&amp;ie=utf-8" \t "https://www.baidu.com/_blank" </w:instrText>
      </w:r>
      <w:r>
        <w:rPr>
          <w:rFonts w:hint="eastAsia" w:ascii="Times New Roman" w:hAnsi="宋体" w:eastAsia="宋体" w:cs="宋体"/>
          <w:sz w:val="21"/>
          <w:szCs w:val="21"/>
        </w:rPr>
        <w:fldChar w:fldCharType="separate"/>
      </w:r>
      <w:r>
        <w:rPr>
          <w:rFonts w:hint="eastAsia" w:ascii="Times New Roman" w:hAnsi="宋体" w:eastAsia="宋体" w:cs="宋体"/>
          <w:sz w:val="21"/>
          <w:szCs w:val="21"/>
        </w:rPr>
        <w:t>高频</w:t>
      </w:r>
      <w:r>
        <w:rPr>
          <w:rFonts w:hint="eastAsia" w:ascii="Times New Roman" w:hAnsi="宋体" w:eastAsia="宋体" w:cs="宋体"/>
          <w:sz w:val="21"/>
          <w:szCs w:val="21"/>
        </w:rPr>
        <w:fldChar w:fldCharType="end"/>
      </w:r>
      <w:r>
        <w:rPr>
          <w:rFonts w:hint="eastAsia" w:ascii="Times New Roman" w:hAnsi="宋体" w:eastAsia="宋体" w:cs="宋体"/>
          <w:sz w:val="21"/>
          <w:szCs w:val="21"/>
        </w:rPr>
        <w:t>和</w:t>
      </w:r>
      <w:r>
        <w:rPr>
          <w:rFonts w:hint="eastAsia" w:ascii="Times New Roman" w:hAnsi="宋体" w:eastAsia="宋体" w:cs="宋体"/>
          <w:sz w:val="21"/>
          <w:szCs w:val="21"/>
        </w:rPr>
        <w:fldChar w:fldCharType="begin"/>
      </w:r>
      <w:r>
        <w:rPr>
          <w:rFonts w:hint="eastAsia" w:ascii="Times New Roman" w:hAnsi="宋体" w:eastAsia="宋体" w:cs="宋体"/>
          <w:sz w:val="21"/>
          <w:szCs w:val="21"/>
        </w:rPr>
        <w:instrText xml:space="preserve"> HYPERLINK "https://www.baidu.com/s?sa=re_dqa_generate&amp;wd=%E8%B6%85%E9%AB%98%E9%A2%91&amp;rsv_pq=bd46634e000385b4&amp;oq=%E5%8F%8C%E9%A2%91%E7%94%B5%E5%AD%90%E6%A0%87%E7%AD%BE%E5%AE%9A%E4%B9%89&amp;rsv_t=cdc9Te1Ky+nAgKImO2MHunUEAUEMZ54geoQVYpxVdzm9vhAdiccnvUNXALI&amp;tn=baidu&amp;ie=utf-8" \t "https://www.baidu.com/_blank" </w:instrText>
      </w:r>
      <w:r>
        <w:rPr>
          <w:rFonts w:hint="eastAsia" w:ascii="Times New Roman" w:hAnsi="宋体" w:eastAsia="宋体" w:cs="宋体"/>
          <w:sz w:val="21"/>
          <w:szCs w:val="21"/>
        </w:rPr>
        <w:fldChar w:fldCharType="separate"/>
      </w:r>
      <w:r>
        <w:rPr>
          <w:rFonts w:hint="eastAsia" w:ascii="Times New Roman" w:hAnsi="宋体" w:eastAsia="宋体" w:cs="宋体"/>
          <w:sz w:val="21"/>
          <w:szCs w:val="21"/>
        </w:rPr>
        <w:t>超高频</w:t>
      </w:r>
      <w:r>
        <w:rPr>
          <w:rFonts w:hint="eastAsia" w:ascii="Times New Roman" w:hAnsi="宋体" w:eastAsia="宋体" w:cs="宋体"/>
          <w:sz w:val="21"/>
          <w:szCs w:val="21"/>
        </w:rPr>
        <w:fldChar w:fldCharType="end"/>
      </w:r>
      <w:r>
        <w:rPr>
          <w:rFonts w:hint="eastAsia" w:ascii="Times New Roman" w:hAnsi="宋体" w:eastAsia="宋体" w:cs="宋体"/>
          <w:sz w:val="21"/>
          <w:szCs w:val="21"/>
        </w:rPr>
        <w:t>识别技术，满足ISO/IEC 18000—63和ISO/IEC 14443 Type A协议的电子标签。</w:t>
      </w:r>
    </w:p>
    <w:p>
      <w:pPr>
        <w:pStyle w:val="34"/>
        <w:outlineLvl w:val="1"/>
        <w:rPr>
          <w:rFonts w:hint="eastAsia" w:hAnsi="Times New Roman" w:cs="Times New Roman"/>
          <w:sz w:val="21"/>
          <w:szCs w:val="21"/>
        </w:rPr>
      </w:pPr>
      <w:bookmarkStart w:id="37" w:name="_Toc29100"/>
      <w:r>
        <w:rPr>
          <w:rFonts w:hint="eastAsia" w:hAnsi="Times New Roman" w:cs="Times New Roman"/>
          <w:sz w:val="21"/>
          <w:szCs w:val="21"/>
        </w:rPr>
        <w:t>读写器</w:t>
      </w:r>
      <w:bookmarkEnd w:id="37"/>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一种电子设备，具备从电子标签获取数据和向电子标签写入数据过程的功能，适当时，执行冲突仲裁、错误控制、信道编码、信道解码、信源编码、信源译码和交换源端数据等功能。 </w:t>
      </w:r>
    </w:p>
    <w:p>
      <w:pPr>
        <w:pStyle w:val="34"/>
        <w:outlineLvl w:val="1"/>
        <w:rPr>
          <w:rFonts w:hint="eastAsia" w:hAnsi="Times New Roman" w:cs="Times New Roman"/>
          <w:sz w:val="21"/>
          <w:szCs w:val="21"/>
        </w:rPr>
      </w:pPr>
      <w:bookmarkStart w:id="38" w:name="_Toc26314"/>
      <w:r>
        <w:rPr>
          <w:rFonts w:hint="eastAsia" w:hAnsi="Times New Roman" w:cs="Times New Roman"/>
          <w:sz w:val="21"/>
          <w:szCs w:val="21"/>
        </w:rPr>
        <w:t>射频识别</w:t>
      </w:r>
      <w:bookmarkEnd w:id="38"/>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利用射频方式进行非接触通信，以达到识别并交换数据的技术。 </w:t>
      </w:r>
    </w:p>
    <w:p>
      <w:pPr>
        <w:pStyle w:val="34"/>
        <w:outlineLvl w:val="1"/>
        <w:rPr>
          <w:rFonts w:hint="eastAsia" w:hAnsi="Times New Roman" w:cs="Times New Roman"/>
          <w:sz w:val="21"/>
          <w:szCs w:val="21"/>
        </w:rPr>
      </w:pPr>
      <w:bookmarkStart w:id="39" w:name="_Toc9017"/>
      <w:r>
        <w:rPr>
          <w:rFonts w:hint="eastAsia" w:hAnsi="Times New Roman" w:cs="Times New Roman"/>
          <w:sz w:val="21"/>
          <w:szCs w:val="21"/>
        </w:rPr>
        <w:t>剥离强度</w:t>
      </w:r>
      <w:bookmarkEnd w:id="39"/>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在规定的剥离条件下，使胶接试样分离时单位宽度所能承受的载荷，用kN/m表示。 </w:t>
      </w:r>
    </w:p>
    <w:p>
      <w:pPr>
        <w:pStyle w:val="34"/>
        <w:outlineLvl w:val="1"/>
        <w:rPr>
          <w:rFonts w:hint="eastAsia" w:hAnsi="Times New Roman" w:cs="Times New Roman"/>
          <w:sz w:val="21"/>
          <w:szCs w:val="21"/>
        </w:rPr>
      </w:pPr>
      <w:bookmarkStart w:id="40" w:name="_Toc21698"/>
      <w:r>
        <w:rPr>
          <w:rFonts w:hint="eastAsia" w:hAnsi="Times New Roman" w:cs="Times New Roman"/>
          <w:sz w:val="21"/>
          <w:szCs w:val="21"/>
        </w:rPr>
        <w:t>线极化天线</w:t>
      </w:r>
      <w:bookmarkEnd w:id="40"/>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发射的电磁波电场矢量在空间的取向固定不变的天线。当收信天线方向与线极化方向一致时，感应出的信号最大；随着收信天线的极化方向与线极化方向偏离越来越多时，感应出的信号越来越小；当收信天线的极化与线极化方向正交时，感应出的信号为零。 </w:t>
      </w:r>
    </w:p>
    <w:p>
      <w:pPr>
        <w:pStyle w:val="34"/>
        <w:outlineLvl w:val="1"/>
        <w:rPr>
          <w:rFonts w:hint="eastAsia" w:hAnsi="Times New Roman" w:cs="Times New Roman"/>
          <w:sz w:val="21"/>
          <w:szCs w:val="21"/>
        </w:rPr>
      </w:pPr>
      <w:bookmarkStart w:id="41" w:name="_Toc7448"/>
      <w:r>
        <w:rPr>
          <w:rFonts w:hint="eastAsia" w:hAnsi="Times New Roman" w:cs="Times New Roman"/>
          <w:sz w:val="21"/>
          <w:szCs w:val="21"/>
        </w:rPr>
        <w:t>灭活密码</w:t>
      </w:r>
      <w:bookmarkEnd w:id="41"/>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用于执行灭活指令的密码。灭活指令用于使标签永远不再产生激活射频场的调制信号，使标签永久失效。 </w:t>
      </w:r>
    </w:p>
    <w:p>
      <w:pPr>
        <w:pStyle w:val="34"/>
        <w:outlineLvl w:val="1"/>
        <w:rPr>
          <w:rFonts w:hint="eastAsia" w:hAnsi="Times New Roman" w:cs="Times New Roman"/>
          <w:sz w:val="21"/>
          <w:szCs w:val="21"/>
        </w:rPr>
      </w:pPr>
      <w:bookmarkStart w:id="42" w:name="_Toc14583"/>
      <w:r>
        <w:rPr>
          <w:rFonts w:hint="eastAsia" w:hAnsi="Times New Roman" w:cs="Times New Roman"/>
          <w:sz w:val="21"/>
          <w:szCs w:val="21"/>
        </w:rPr>
        <w:t>访问密码</w:t>
      </w:r>
      <w:bookmarkEnd w:id="42"/>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用于对标签区域进行读写、锁定等操作的密码。 </w:t>
      </w:r>
    </w:p>
    <w:p>
      <w:pPr>
        <w:pStyle w:val="34"/>
        <w:outlineLvl w:val="1"/>
        <w:rPr>
          <w:rFonts w:hint="eastAsia" w:hAnsi="Times New Roman" w:cs="Times New Roman"/>
          <w:sz w:val="21"/>
          <w:szCs w:val="21"/>
        </w:rPr>
      </w:pPr>
      <w:bookmarkStart w:id="43" w:name="_Toc9123"/>
      <w:r>
        <w:rPr>
          <w:rFonts w:hint="eastAsia" w:hAnsi="Times New Roman" w:cs="Times New Roman"/>
          <w:sz w:val="21"/>
          <w:szCs w:val="21"/>
        </w:rPr>
        <w:t>标签锁定</w:t>
      </w:r>
      <w:bookmarkEnd w:id="43"/>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对标签进行加密的过程。是对每个区的单独锁定，锁定后可以实现对该区域的写保护。对于己锁定的标签，只有在符合锁定状态的条件下，才能访问该标签被锁定的区域，否则会提示出错。 </w:t>
      </w:r>
    </w:p>
    <w:p>
      <w:pPr>
        <w:pStyle w:val="36"/>
        <w:outlineLvl w:val="0"/>
        <w:rPr>
          <w:rFonts w:hint="eastAsia" w:hAnsi="Times New Roman" w:cs="Times New Roman"/>
          <w:sz w:val="21"/>
          <w:szCs w:val="21"/>
        </w:rPr>
      </w:pPr>
      <w:bookmarkStart w:id="44" w:name="_Toc10956"/>
      <w:bookmarkStart w:id="45" w:name="_Toc19193"/>
      <w:bookmarkStart w:id="46" w:name="_Toc4598"/>
      <w:r>
        <w:rPr>
          <w:rFonts w:hint="eastAsia" w:hAnsi="Times New Roman" w:cs="Times New Roman"/>
          <w:sz w:val="21"/>
          <w:szCs w:val="21"/>
        </w:rPr>
        <w:t>标签规格要求</w:t>
      </w:r>
      <w:bookmarkEnd w:id="44"/>
      <w:bookmarkEnd w:id="45"/>
      <w:bookmarkEnd w:id="46"/>
      <w:r>
        <w:rPr>
          <w:rFonts w:hint="eastAsia" w:hAnsi="Times New Roman" w:cs="Times New Roman"/>
          <w:sz w:val="21"/>
          <w:szCs w:val="21"/>
        </w:rPr>
        <w:t xml:space="preserve"> </w:t>
      </w:r>
    </w:p>
    <w:p>
      <w:pPr>
        <w:pStyle w:val="34"/>
        <w:outlineLvl w:val="1"/>
        <w:rPr>
          <w:rFonts w:hint="eastAsia" w:hAnsi="Times New Roman" w:cs="Times New Roman"/>
          <w:sz w:val="21"/>
          <w:szCs w:val="21"/>
        </w:rPr>
      </w:pPr>
      <w:bookmarkStart w:id="47" w:name="_Toc16488"/>
      <w:r>
        <w:rPr>
          <w:rFonts w:hint="eastAsia" w:hAnsi="Times New Roman" w:cs="Times New Roman"/>
          <w:sz w:val="21"/>
          <w:szCs w:val="21"/>
        </w:rPr>
        <w:t>分类原则</w:t>
      </w:r>
      <w:bookmarkEnd w:id="47"/>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根据标签的适用范围不同，分为六个分类，参见表1。 </w:t>
      </w:r>
    </w:p>
    <w:p>
      <w:pPr>
        <w:pStyle w:val="18"/>
        <w:spacing w:before="156" w:beforeLines="50" w:after="156" w:afterLines="50"/>
        <w:ind w:firstLine="0" w:firstLineChars="0"/>
        <w:jc w:val="center"/>
        <w:rPr>
          <w:rFonts w:hint="eastAsia" w:ascii="黑体" w:hAnsi="黑体" w:eastAsia="黑体" w:cs="黑体"/>
          <w:snapToGrid w:val="0"/>
          <w:sz w:val="20"/>
          <w:szCs w:val="20"/>
        </w:rPr>
      </w:pPr>
      <w:r>
        <w:rPr>
          <w:rFonts w:hint="eastAsia" w:ascii="黑体" w:hAnsi="黑体" w:eastAsia="黑体" w:cs="黑体"/>
          <w:snapToGrid w:val="0"/>
          <w:sz w:val="20"/>
          <w:szCs w:val="20"/>
        </w:rPr>
        <w:t>表1  分类要求</w:t>
      </w:r>
    </w:p>
    <w:tbl>
      <w:tblPr>
        <w:tblStyle w:val="25"/>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1676"/>
        <w:gridCol w:w="5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标签种类</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标签分类</w:t>
            </w:r>
          </w:p>
        </w:tc>
        <w:tc>
          <w:tcPr>
            <w:tcW w:w="5353"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建议适用范围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硬质标签（大）</w:t>
            </w:r>
          </w:p>
        </w:tc>
        <w:tc>
          <w:tcPr>
            <w:tcW w:w="5353" w:type="dxa"/>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变电设备：交直流设备，如变压器（换流变）、断路器、电抗器、隔离/接地开关、电压互感器、电流互感器、电容器、避雷器等。</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配电设备：柱上断路器、柱上变压器、柱上开关等柱上配电设备。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硬质标签（小）</w:t>
            </w:r>
          </w:p>
        </w:tc>
        <w:tc>
          <w:tcPr>
            <w:tcW w:w="5353" w:type="dxa"/>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户内开关柜、户外汇控柜等密集布置的一次设备。接地箱、交叉互联箱等箱体，户外终端（带保护管），开关柜等电缆终端柜体上。</w:t>
            </w:r>
          </w:p>
          <w:p>
            <w:pPr>
              <w:widowControl/>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仪器仪表类：台式仪器仪表、箱体式仪器仪表</w:t>
            </w:r>
            <w:r>
              <w:rPr>
                <w:rFonts w:hint="eastAsia" w:ascii="宋体" w:hAnsi="宋体" w:eastAsia="宋体" w:cs="宋体"/>
                <w:kern w:val="0"/>
                <w:sz w:val="18"/>
                <w:szCs w:val="18"/>
                <w:lang w:eastAsia="zh-CN"/>
              </w:rPr>
              <w:t>。</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工器具：耐酸靴、滤式防毒面具、正压式消防空气呼吸器等乳胶或塑料制品；绝缘杆、电容型验电器、接地线等杆状物品；服装类、绳类等；检修平台、快装脚手架、升降板、标识牌、软梯等，有大片平整表面的工器具；速差自控器、导轨自锁器、连接器、脚扣等金属材质工器具表面。</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继电保护及安全自动装置、通信设备。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车辆电子标签</w:t>
            </w:r>
          </w:p>
        </w:tc>
        <w:tc>
          <w:tcPr>
            <w:tcW w:w="5353" w:type="dxa"/>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架空线路杆塔电子标签</w:t>
            </w:r>
          </w:p>
        </w:tc>
        <w:tc>
          <w:tcPr>
            <w:tcW w:w="5353" w:type="dxa"/>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输电杆塔。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硬质标签</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扎带式电缆标签</w:t>
            </w:r>
          </w:p>
        </w:tc>
        <w:tc>
          <w:tcPr>
            <w:tcW w:w="5353" w:type="dxa"/>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电力电缆。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01"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柔性标签</w:t>
            </w:r>
          </w:p>
        </w:tc>
        <w:tc>
          <w:tcPr>
            <w:tcW w:w="1676" w:type="dxa"/>
            <w:noWrap w:val="0"/>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抗金属柔性RFID标签</w:t>
            </w:r>
          </w:p>
        </w:tc>
        <w:tc>
          <w:tcPr>
            <w:tcW w:w="5353" w:type="dxa"/>
            <w:noWrap w:val="0"/>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便携式仪器仪表及工器具。</w:t>
            </w:r>
          </w:p>
        </w:tc>
      </w:tr>
    </w:tbl>
    <w:p>
      <w:pPr>
        <w:pStyle w:val="34"/>
        <w:outlineLvl w:val="1"/>
        <w:rPr>
          <w:rFonts w:hint="eastAsia" w:hAnsi="Times New Roman" w:cs="Times New Roman"/>
          <w:sz w:val="21"/>
          <w:szCs w:val="21"/>
        </w:rPr>
      </w:pPr>
      <w:bookmarkStart w:id="48" w:name="_Toc31612"/>
      <w:r>
        <w:rPr>
          <w:rFonts w:hint="eastAsia" w:hAnsi="Times New Roman" w:cs="Times New Roman"/>
          <w:sz w:val="21"/>
          <w:szCs w:val="21"/>
        </w:rPr>
        <w:t>封装要求</w:t>
      </w:r>
      <w:bookmarkEnd w:id="48"/>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标签封装宜采用板上芯片或表面贴装技术，标签封装要求如下：</w:t>
      </w:r>
    </w:p>
    <w:p>
      <w:pPr>
        <w:pStyle w:val="50"/>
        <w:numPr>
          <w:ilvl w:val="0"/>
          <w:numId w:val="11"/>
        </w:numPr>
        <w:tabs>
          <w:tab w:val="left" w:pos="846"/>
        </w:tabs>
        <w:rPr>
          <w:rFonts w:hAnsi="宋体"/>
          <w:sz w:val="21"/>
          <w:szCs w:val="21"/>
        </w:rPr>
      </w:pPr>
      <w:r>
        <w:rPr>
          <w:rFonts w:hint="eastAsia" w:hAnsi="宋体"/>
          <w:sz w:val="21"/>
          <w:szCs w:val="21"/>
        </w:rPr>
        <w:t>芯片与天线应采用焊接连接，且应保证焊接牢靠，防止出现虚焊、假焊或偏焊等缺陷；</w:t>
      </w:r>
    </w:p>
    <w:p>
      <w:pPr>
        <w:pStyle w:val="50"/>
        <w:numPr>
          <w:ilvl w:val="0"/>
          <w:numId w:val="11"/>
        </w:numPr>
        <w:tabs>
          <w:tab w:val="left" w:pos="846"/>
        </w:tabs>
        <w:rPr>
          <w:rFonts w:hAnsi="宋体"/>
          <w:sz w:val="21"/>
          <w:szCs w:val="21"/>
        </w:rPr>
      </w:pPr>
      <w:r>
        <w:rPr>
          <w:rFonts w:hint="eastAsia" w:hAnsi="宋体"/>
          <w:sz w:val="21"/>
          <w:szCs w:val="21"/>
        </w:rPr>
        <w:t>标签外壳封装宜采用高密封工艺，防止出现密封不严或开裂等缺陷；</w:t>
      </w:r>
    </w:p>
    <w:p>
      <w:pPr>
        <w:pStyle w:val="50"/>
        <w:numPr>
          <w:ilvl w:val="0"/>
          <w:numId w:val="11"/>
        </w:numPr>
        <w:tabs>
          <w:tab w:val="left" w:pos="846"/>
        </w:tabs>
        <w:rPr>
          <w:rFonts w:hint="eastAsia" w:hAnsi="宋体"/>
          <w:sz w:val="21"/>
          <w:szCs w:val="21"/>
        </w:rPr>
      </w:pPr>
      <w:r>
        <w:rPr>
          <w:rFonts w:hint="eastAsia" w:hAnsi="宋体"/>
          <w:sz w:val="21"/>
          <w:szCs w:val="21"/>
        </w:rPr>
        <w:t>特殊使用环境下，应根据应用场景在防水密封性、耐候性等方面进行特殊处理。</w:t>
      </w:r>
    </w:p>
    <w:p>
      <w:pPr>
        <w:pStyle w:val="34"/>
        <w:outlineLvl w:val="1"/>
        <w:rPr>
          <w:rFonts w:hint="eastAsia" w:hAnsi="Times New Roman" w:cs="Times New Roman"/>
          <w:sz w:val="21"/>
          <w:szCs w:val="21"/>
        </w:rPr>
      </w:pPr>
      <w:bookmarkStart w:id="49" w:name="_Toc7924"/>
      <w:r>
        <w:rPr>
          <w:rFonts w:hint="eastAsia" w:hAnsi="Times New Roman" w:cs="Times New Roman"/>
          <w:sz w:val="21"/>
          <w:szCs w:val="21"/>
        </w:rPr>
        <w:t>材质要求</w:t>
      </w:r>
      <w:bookmarkEnd w:id="49"/>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RFID电子标签外壳宜采用ABS、PET、PC、尼龙、</w:t>
      </w:r>
      <w:r>
        <w:rPr>
          <w:rFonts w:hint="eastAsia" w:ascii="Times New Roman" w:hAnsi="宋体" w:eastAsia="宋体" w:cs="宋体"/>
          <w:sz w:val="21"/>
          <w:szCs w:val="21"/>
          <w:lang w:val="en-US" w:eastAsia="zh-CN"/>
        </w:rPr>
        <w:t>TPV、</w:t>
      </w:r>
      <w:r>
        <w:rPr>
          <w:rFonts w:hint="eastAsia" w:ascii="Times New Roman" w:hAnsi="宋体" w:eastAsia="宋体" w:cs="宋体"/>
          <w:sz w:val="21"/>
          <w:szCs w:val="21"/>
        </w:rPr>
        <w:t>硅橡胶或改性PVC等绿色环保材质，在应用环境较为恶劣的情况下，应采用耐候性材质。</w:t>
      </w:r>
    </w:p>
    <w:p>
      <w:pPr>
        <w:pStyle w:val="34"/>
        <w:outlineLvl w:val="1"/>
        <w:rPr>
          <w:rFonts w:hint="eastAsia" w:hAnsi="Times New Roman" w:cs="Times New Roman"/>
          <w:sz w:val="21"/>
          <w:szCs w:val="21"/>
        </w:rPr>
      </w:pPr>
      <w:bookmarkStart w:id="50" w:name="_Toc32416"/>
      <w:r>
        <w:rPr>
          <w:rFonts w:hint="eastAsia" w:hAnsi="Times New Roman" w:cs="Times New Roman"/>
          <w:sz w:val="21"/>
          <w:szCs w:val="21"/>
        </w:rPr>
        <w:t>外观要求</w:t>
      </w:r>
      <w:bookmarkEnd w:id="50"/>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RFID电子标签尺寸及形状根据实际应用场景确定，标签外观不应有可能干扰性能的缺陷和视觉可观察到的损伤或附着物，例如切割碎片、额外的尘埃、折叠、破损、折痕和凸点等。</w:t>
      </w:r>
    </w:p>
    <w:p>
      <w:pPr>
        <w:pStyle w:val="18"/>
        <w:rPr>
          <w:rFonts w:hint="eastAsia" w:ascii="Times New Roman" w:hAnsi="宋体" w:eastAsia="宋体" w:cs="宋体"/>
          <w:sz w:val="21"/>
          <w:szCs w:val="21"/>
        </w:rPr>
      </w:pPr>
      <w:r>
        <w:rPr>
          <w:rFonts w:hint="eastAsia" w:ascii="Times New Roman" w:hAnsi="宋体" w:eastAsia="宋体" w:cs="宋体"/>
          <w:sz w:val="21"/>
          <w:szCs w:val="21"/>
        </w:rPr>
        <w:t>RFID电子标签表面可印制二维码及实物“ID”编码信息。标签表面印刷的图形与文字应清晰、端正，不应有干扰识读的暗纹，二维码图形与实物“ID”编码、RFID芯片存储编码保持一致。</w:t>
      </w:r>
    </w:p>
    <w:p>
      <w:pPr>
        <w:pStyle w:val="34"/>
        <w:outlineLvl w:val="1"/>
        <w:rPr>
          <w:rFonts w:hint="eastAsia" w:hAnsi="Times New Roman" w:cs="Times New Roman"/>
          <w:sz w:val="21"/>
          <w:szCs w:val="21"/>
        </w:rPr>
      </w:pPr>
      <w:bookmarkStart w:id="51" w:name="_Toc26836"/>
      <w:r>
        <w:rPr>
          <w:rFonts w:hint="eastAsia" w:hAnsi="Times New Roman" w:cs="Times New Roman"/>
          <w:sz w:val="21"/>
          <w:szCs w:val="21"/>
        </w:rPr>
        <w:t>寿命要求</w:t>
      </w:r>
      <w:bookmarkEnd w:id="51"/>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标签使用寿命要求见表2。如标签表面印有信息的，表面信息应与标签有同等寿命。</w:t>
      </w:r>
    </w:p>
    <w:p>
      <w:pPr>
        <w:pStyle w:val="18"/>
        <w:spacing w:before="156" w:beforeLines="50" w:after="156" w:afterLines="50"/>
        <w:ind w:firstLine="0" w:firstLineChars="0"/>
        <w:jc w:val="center"/>
        <w:rPr>
          <w:rFonts w:hint="eastAsia" w:ascii="黑体" w:hAnsi="黑体" w:eastAsia="黑体" w:cs="黑体"/>
          <w:snapToGrid w:val="0"/>
          <w:sz w:val="20"/>
        </w:rPr>
      </w:pPr>
      <w:r>
        <w:rPr>
          <w:rFonts w:hint="eastAsia" w:ascii="黑体" w:hAnsi="黑体" w:eastAsia="黑体" w:cs="黑体"/>
          <w:snapToGrid w:val="0"/>
          <w:sz w:val="20"/>
        </w:rPr>
        <w:t>表2  标签使用寿命要求</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5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3092" w:type="dxa"/>
            <w:noWrap w:val="0"/>
            <w:vAlign w:val="center"/>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标签种类</w:t>
            </w:r>
          </w:p>
        </w:tc>
        <w:tc>
          <w:tcPr>
            <w:tcW w:w="5138" w:type="dxa"/>
            <w:noWrap w:val="0"/>
            <w:vAlign w:val="center"/>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使用寿命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092" w:type="dxa"/>
            <w:noWrap w:val="0"/>
            <w:vAlign w:val="center"/>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柔性</w:t>
            </w:r>
            <w:r>
              <w:rPr>
                <w:rFonts w:hint="eastAsia" w:ascii="宋体" w:hAnsi="宋体" w:eastAsia="宋体" w:cs="宋体"/>
                <w:color w:val="000000"/>
                <w:sz w:val="18"/>
                <w:szCs w:val="18"/>
                <w:lang w:bidi="ar"/>
              </w:rPr>
              <w:t>标签</w:t>
            </w:r>
          </w:p>
        </w:tc>
        <w:tc>
          <w:tcPr>
            <w:tcW w:w="5138" w:type="dxa"/>
            <w:noWrap w:val="0"/>
            <w:vAlign w:val="center"/>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092" w:type="dxa"/>
            <w:noWrap w:val="0"/>
            <w:vAlign w:val="center"/>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硬质</w:t>
            </w:r>
            <w:r>
              <w:rPr>
                <w:rFonts w:hint="eastAsia" w:ascii="宋体" w:hAnsi="宋体" w:eastAsia="宋体" w:cs="宋体"/>
                <w:color w:val="000000"/>
                <w:sz w:val="18"/>
                <w:szCs w:val="18"/>
                <w:lang w:bidi="ar"/>
              </w:rPr>
              <w:t>标签</w:t>
            </w:r>
          </w:p>
        </w:tc>
        <w:tc>
          <w:tcPr>
            <w:tcW w:w="5138"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≥10年</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bookmarkStart w:id="52" w:name="_Toc6212"/>
    </w:p>
    <w:p>
      <w:pPr>
        <w:pStyle w:val="34"/>
        <w:outlineLvl w:val="1"/>
        <w:rPr>
          <w:rFonts w:hint="eastAsia" w:hAnsi="Times New Roman" w:cs="Times New Roman"/>
          <w:sz w:val="21"/>
          <w:szCs w:val="21"/>
        </w:rPr>
      </w:pPr>
      <w:r>
        <w:rPr>
          <w:rFonts w:hint="eastAsia" w:hAnsi="Times New Roman" w:cs="Times New Roman"/>
          <w:sz w:val="21"/>
          <w:szCs w:val="21"/>
        </w:rPr>
        <w:t>尺寸要求</w:t>
      </w:r>
      <w:bookmarkEnd w:id="52"/>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标签最大尺寸见表3。</w:t>
      </w:r>
    </w:p>
    <w:p>
      <w:pPr>
        <w:pStyle w:val="18"/>
        <w:spacing w:before="156" w:beforeLines="50" w:after="156" w:afterLines="50"/>
        <w:ind w:firstLine="3000" w:firstLineChars="1500"/>
        <w:jc w:val="both"/>
        <w:rPr>
          <w:rFonts w:hint="eastAsia" w:ascii="黑体" w:hAnsi="黑体" w:eastAsia="黑体" w:cs="黑体"/>
          <w:snapToGrid w:val="0"/>
          <w:sz w:val="20"/>
        </w:rPr>
      </w:pPr>
      <w:r>
        <w:rPr>
          <w:rFonts w:hint="eastAsia" w:ascii="黑体" w:hAnsi="黑体" w:eastAsia="黑体" w:cs="黑体"/>
          <w:snapToGrid w:val="0"/>
          <w:sz w:val="20"/>
        </w:rPr>
        <w:t>表3  标签尺寸要求</w:t>
      </w:r>
    </w:p>
    <w:tbl>
      <w:tblPr>
        <w:tblStyle w:val="25"/>
        <w:tblW w:w="8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2"/>
        <w:gridCol w:w="5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3102" w:type="dxa"/>
            <w:noWrap w:val="0"/>
            <w:vAlign w:val="center"/>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标签分类</w:t>
            </w:r>
          </w:p>
        </w:tc>
        <w:tc>
          <w:tcPr>
            <w:tcW w:w="5114" w:type="dxa"/>
            <w:noWrap w:val="0"/>
            <w:vAlign w:val="top"/>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最大尺寸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2" w:type="dxa"/>
            <w:noWrap w:val="0"/>
            <w:vAlign w:val="top"/>
          </w:tcPr>
          <w:p>
            <w:pPr>
              <w:widowControl/>
              <w:jc w:val="center"/>
              <w:rPr>
                <w:rFonts w:hint="eastAsia" w:ascii="宋体" w:hAnsi="宋体" w:eastAsia="宋体" w:cs="宋体"/>
                <w:snapToGrid w:val="0"/>
                <w:sz w:val="18"/>
                <w:szCs w:val="18"/>
              </w:rPr>
            </w:pPr>
            <w:r>
              <w:rPr>
                <w:rFonts w:hint="eastAsia" w:ascii="宋体" w:hAnsi="宋体" w:eastAsia="宋体" w:cs="宋体"/>
                <w:color w:val="000000"/>
                <w:kern w:val="0"/>
                <w:sz w:val="18"/>
                <w:szCs w:val="18"/>
                <w:lang w:bidi="ar"/>
              </w:rPr>
              <w:t>硬质标签（大）</w:t>
            </w:r>
          </w:p>
        </w:tc>
        <w:tc>
          <w:tcPr>
            <w:tcW w:w="511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165mm*40mm*10mm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2" w:type="dxa"/>
            <w:noWrap w:val="0"/>
            <w:vAlign w:val="top"/>
          </w:tcPr>
          <w:p>
            <w:pPr>
              <w:widowControl/>
              <w:jc w:val="center"/>
              <w:rPr>
                <w:rFonts w:hint="eastAsia" w:ascii="宋体" w:hAnsi="宋体" w:eastAsia="宋体" w:cs="宋体"/>
                <w:snapToGrid w:val="0"/>
                <w:sz w:val="18"/>
                <w:szCs w:val="18"/>
              </w:rPr>
            </w:pPr>
            <w:r>
              <w:rPr>
                <w:rFonts w:hint="eastAsia" w:ascii="宋体" w:hAnsi="宋体" w:eastAsia="宋体" w:cs="宋体"/>
                <w:color w:val="000000"/>
                <w:kern w:val="0"/>
                <w:sz w:val="18"/>
                <w:szCs w:val="18"/>
                <w:lang w:bidi="ar"/>
              </w:rPr>
              <w:t>硬质标签（小）</w:t>
            </w:r>
          </w:p>
        </w:tc>
        <w:tc>
          <w:tcPr>
            <w:tcW w:w="5114" w:type="dxa"/>
            <w:noWrap w:val="0"/>
            <w:vAlign w:val="center"/>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80mm*30mm*5mm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2" w:type="dxa"/>
            <w:noWrap w:val="0"/>
            <w:vAlign w:val="top"/>
          </w:tcPr>
          <w:p>
            <w:pPr>
              <w:widowControl/>
              <w:jc w:val="center"/>
              <w:rPr>
                <w:rFonts w:hint="eastAsia" w:ascii="宋体" w:hAnsi="宋体" w:eastAsia="宋体" w:cs="宋体"/>
                <w:snapToGrid w:val="0"/>
                <w:sz w:val="18"/>
                <w:szCs w:val="18"/>
              </w:rPr>
            </w:pPr>
            <w:r>
              <w:rPr>
                <w:rStyle w:val="121"/>
                <w:rFonts w:hint="default"/>
                <w:sz w:val="18"/>
                <w:szCs w:val="18"/>
                <w:lang w:bidi="ar"/>
              </w:rPr>
              <w:t>车辆电子标签</w:t>
            </w:r>
          </w:p>
        </w:tc>
        <w:tc>
          <w:tcPr>
            <w:tcW w:w="511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90mm*60mm*5mm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2" w:type="dxa"/>
            <w:noWrap w:val="0"/>
            <w:vAlign w:val="top"/>
          </w:tcPr>
          <w:p>
            <w:pPr>
              <w:widowControl/>
              <w:jc w:val="center"/>
              <w:rPr>
                <w:rFonts w:hint="eastAsia" w:ascii="宋体" w:hAnsi="宋体" w:eastAsia="宋体" w:cs="宋体"/>
                <w:snapToGrid w:val="0"/>
                <w:sz w:val="18"/>
                <w:szCs w:val="18"/>
              </w:rPr>
            </w:pPr>
            <w:r>
              <w:rPr>
                <w:rFonts w:hint="eastAsia" w:ascii="宋体" w:hAnsi="宋体" w:eastAsia="宋体" w:cs="宋体"/>
                <w:color w:val="000000"/>
                <w:kern w:val="0"/>
                <w:sz w:val="18"/>
                <w:szCs w:val="18"/>
                <w:lang w:bidi="ar"/>
              </w:rPr>
              <w:t>架空线路杆塔电子标签</w:t>
            </w:r>
          </w:p>
        </w:tc>
        <w:tc>
          <w:tcPr>
            <w:tcW w:w="5114" w:type="dxa"/>
            <w:noWrap w:val="0"/>
            <w:vAlign w:val="top"/>
          </w:tcPr>
          <w:p>
            <w:pPr>
              <w:pStyle w:val="18"/>
              <w:ind w:firstLine="0" w:firstLineChars="0"/>
              <w:jc w:val="center"/>
              <w:rPr>
                <w:rFonts w:hint="default" w:ascii="宋体" w:hAnsi="宋体" w:eastAsia="宋体" w:cs="宋体"/>
                <w:snapToGrid w:val="0"/>
                <w:sz w:val="18"/>
                <w:szCs w:val="18"/>
                <w:lang w:val="en-US" w:eastAsia="zh-CN"/>
              </w:rPr>
            </w:pPr>
            <w:r>
              <w:rPr>
                <w:rFonts w:hint="eastAsia" w:ascii="宋体" w:hAnsi="宋体" w:eastAsia="宋体" w:cs="宋体"/>
                <w:snapToGrid w:val="0"/>
                <w:sz w:val="18"/>
                <w:szCs w:val="18"/>
              </w:rPr>
              <w:t>430mm*520mm</w:t>
            </w:r>
            <w:r>
              <w:rPr>
                <w:rFonts w:hint="eastAsia" w:ascii="宋体" w:hAnsi="宋体" w:eastAsia="宋体" w:cs="宋体"/>
                <w:snapToGrid w:val="0"/>
                <w:sz w:val="18"/>
                <w:szCs w:val="18"/>
                <w:lang w:val="en-US" w:eastAsia="zh-CN"/>
              </w:rPr>
              <w:t>*25mm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2" w:type="dxa"/>
            <w:noWrap w:val="0"/>
            <w:vAlign w:val="top"/>
          </w:tcPr>
          <w:p>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扎带式电缆标签</w:t>
            </w:r>
          </w:p>
        </w:tc>
        <w:tc>
          <w:tcPr>
            <w:tcW w:w="511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45mm*45mm*10mm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102" w:type="dxa"/>
            <w:noWrap w:val="0"/>
            <w:vAlign w:val="top"/>
          </w:tcPr>
          <w:p>
            <w:pPr>
              <w:widowControl/>
              <w:jc w:val="center"/>
              <w:rPr>
                <w:rFonts w:hint="eastAsia" w:ascii="宋体" w:hAnsi="宋体" w:eastAsia="宋体" w:cs="宋体"/>
                <w:color w:val="000000"/>
                <w:kern w:val="0"/>
                <w:sz w:val="18"/>
                <w:szCs w:val="18"/>
                <w:lang w:bidi="ar"/>
              </w:rPr>
            </w:pPr>
            <w:r>
              <w:rPr>
                <w:rStyle w:val="121"/>
                <w:rFonts w:hint="default"/>
                <w:sz w:val="18"/>
                <w:szCs w:val="18"/>
                <w:lang w:bidi="ar"/>
              </w:rPr>
              <w:t>抗金属柔性RFID标签</w:t>
            </w:r>
          </w:p>
        </w:tc>
        <w:tc>
          <w:tcPr>
            <w:tcW w:w="511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60mm*15mm*1mm</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bookmarkStart w:id="53" w:name="_Toc25278"/>
    </w:p>
    <w:p>
      <w:pPr>
        <w:pStyle w:val="34"/>
        <w:outlineLvl w:val="1"/>
        <w:rPr>
          <w:rFonts w:hint="eastAsia" w:hAnsi="Times New Roman" w:cs="Times New Roman"/>
          <w:sz w:val="21"/>
          <w:szCs w:val="21"/>
        </w:rPr>
      </w:pPr>
      <w:r>
        <w:rPr>
          <w:rFonts w:hint="eastAsia" w:hAnsi="Times New Roman" w:cs="Times New Roman"/>
          <w:sz w:val="21"/>
          <w:szCs w:val="21"/>
        </w:rPr>
        <w:t>安装要求</w:t>
      </w:r>
      <w:bookmarkEnd w:id="53"/>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标签的安装应满足防损坏、防脱落的使用要求，选择安装位置时应确保标签易于识别。</w:t>
      </w:r>
    </w:p>
    <w:p>
      <w:pPr>
        <w:pStyle w:val="34"/>
        <w:outlineLvl w:val="1"/>
        <w:rPr>
          <w:rFonts w:hint="eastAsia" w:hAnsi="Times New Roman" w:cs="Times New Roman"/>
          <w:sz w:val="21"/>
          <w:szCs w:val="21"/>
        </w:rPr>
      </w:pPr>
      <w:bookmarkStart w:id="54" w:name="_Toc20509"/>
      <w:r>
        <w:rPr>
          <w:rFonts w:hint="eastAsia" w:hAnsi="Times New Roman" w:cs="Times New Roman"/>
          <w:sz w:val="21"/>
          <w:szCs w:val="21"/>
        </w:rPr>
        <w:t>功能要求</w:t>
      </w:r>
      <w:bookmarkEnd w:id="54"/>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标签用于非接触式快速识别，应满足生产设备识别管理要求，也应满足生产设备日常运检工作要求。</w:t>
      </w:r>
    </w:p>
    <w:p>
      <w:pPr>
        <w:pStyle w:val="36"/>
        <w:outlineLvl w:val="0"/>
        <w:rPr>
          <w:rFonts w:hint="eastAsia" w:hAnsi="Times New Roman" w:cs="Times New Roman"/>
          <w:sz w:val="21"/>
          <w:szCs w:val="21"/>
        </w:rPr>
      </w:pPr>
      <w:bookmarkStart w:id="55" w:name="_Toc23565"/>
      <w:bookmarkStart w:id="56" w:name="_Toc1726"/>
      <w:bookmarkStart w:id="57" w:name="_Toc3116"/>
      <w:r>
        <w:rPr>
          <w:rFonts w:hint="eastAsia" w:hAnsi="Times New Roman" w:cs="Times New Roman"/>
          <w:sz w:val="21"/>
          <w:szCs w:val="21"/>
        </w:rPr>
        <w:t>技术要求</w:t>
      </w:r>
      <w:bookmarkEnd w:id="55"/>
      <w:bookmarkEnd w:id="56"/>
      <w:bookmarkEnd w:id="57"/>
      <w:r>
        <w:rPr>
          <w:rFonts w:hint="eastAsia" w:hAnsi="Times New Roman" w:cs="Times New Roman"/>
          <w:sz w:val="21"/>
          <w:szCs w:val="21"/>
        </w:rPr>
        <w:t xml:space="preserve"> </w:t>
      </w:r>
    </w:p>
    <w:p>
      <w:pPr>
        <w:pStyle w:val="34"/>
        <w:outlineLvl w:val="1"/>
        <w:rPr>
          <w:rFonts w:hint="eastAsia" w:hAnsi="Times New Roman" w:cs="Times New Roman"/>
          <w:sz w:val="21"/>
          <w:szCs w:val="21"/>
        </w:rPr>
      </w:pPr>
      <w:bookmarkStart w:id="58" w:name="_Toc19656"/>
      <w:r>
        <w:rPr>
          <w:rFonts w:hint="eastAsia" w:hAnsi="Times New Roman" w:cs="Times New Roman"/>
          <w:sz w:val="21"/>
          <w:szCs w:val="21"/>
        </w:rPr>
        <w:t>物理性能</w:t>
      </w:r>
      <w:bookmarkEnd w:id="58"/>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环境要求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标签工作温湿度条件应符合表4的温湿度要求。 </w:t>
      </w:r>
    </w:p>
    <w:p>
      <w:pPr>
        <w:pStyle w:val="18"/>
        <w:spacing w:before="156" w:beforeLines="50" w:after="156" w:afterLines="50"/>
        <w:ind w:firstLine="0" w:firstLineChars="0"/>
        <w:jc w:val="center"/>
        <w:rPr>
          <w:rFonts w:hint="eastAsia" w:ascii="黑体" w:hAnsi="黑体" w:eastAsia="黑体" w:cs="黑体"/>
          <w:snapToGrid w:val="0"/>
          <w:sz w:val="20"/>
        </w:rPr>
      </w:pPr>
      <w:r>
        <w:rPr>
          <w:rFonts w:hint="eastAsia" w:ascii="黑体" w:hAnsi="黑体" w:eastAsia="黑体" w:cs="黑体"/>
          <w:snapToGrid w:val="0"/>
          <w:sz w:val="20"/>
        </w:rPr>
        <w:t>表4  标签耐温湿度要求</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4146"/>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571" w:type="dxa"/>
            <w:gridSpan w:val="3"/>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环境条件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60" w:type="dxa"/>
            <w:vMerge w:val="restart"/>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温度</w:t>
            </w:r>
          </w:p>
        </w:tc>
        <w:tc>
          <w:tcPr>
            <w:tcW w:w="4720"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工作</w:t>
            </w:r>
          </w:p>
        </w:tc>
        <w:tc>
          <w:tcPr>
            <w:tcW w:w="3191"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-40℃～+85℃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60" w:type="dxa"/>
            <w:vMerge w:val="continue"/>
            <w:noWrap w:val="0"/>
            <w:vAlign w:val="center"/>
          </w:tcPr>
          <w:p>
            <w:pPr>
              <w:jc w:val="center"/>
              <w:rPr>
                <w:rFonts w:hint="eastAsia" w:ascii="宋体" w:hAnsi="宋体" w:eastAsia="宋体" w:cs="宋体"/>
                <w:sz w:val="18"/>
                <w:szCs w:val="18"/>
              </w:rPr>
            </w:pPr>
          </w:p>
        </w:tc>
        <w:tc>
          <w:tcPr>
            <w:tcW w:w="4720"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储存、运输极限范围</w:t>
            </w:r>
          </w:p>
        </w:tc>
        <w:tc>
          <w:tcPr>
            <w:tcW w:w="3191"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-50℃～+85℃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60" w:type="dxa"/>
            <w:vMerge w:val="restart"/>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相对湿度</w:t>
            </w:r>
          </w:p>
        </w:tc>
        <w:tc>
          <w:tcPr>
            <w:tcW w:w="4720"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年平均</w:t>
            </w:r>
          </w:p>
        </w:tc>
        <w:tc>
          <w:tcPr>
            <w:tcW w:w="3191"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＜75%RH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60" w:type="dxa"/>
            <w:vMerge w:val="continue"/>
            <w:noWrap w:val="0"/>
            <w:vAlign w:val="center"/>
          </w:tcPr>
          <w:p>
            <w:pPr>
              <w:jc w:val="center"/>
              <w:rPr>
                <w:rFonts w:hint="eastAsia" w:ascii="宋体" w:hAnsi="宋体" w:eastAsia="宋体" w:cs="宋体"/>
                <w:sz w:val="18"/>
                <w:szCs w:val="18"/>
              </w:rPr>
            </w:pPr>
          </w:p>
        </w:tc>
        <w:tc>
          <w:tcPr>
            <w:tcW w:w="4720"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30 天，一年中这些天以自然方式分</w:t>
            </w:r>
          </w:p>
        </w:tc>
        <w:tc>
          <w:tcPr>
            <w:tcW w:w="3191"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95%RH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660" w:type="dxa"/>
            <w:vMerge w:val="continue"/>
            <w:noWrap w:val="0"/>
            <w:vAlign w:val="center"/>
          </w:tcPr>
          <w:p>
            <w:pPr>
              <w:jc w:val="center"/>
              <w:rPr>
                <w:rFonts w:hint="eastAsia" w:ascii="宋体" w:hAnsi="宋体" w:eastAsia="宋体" w:cs="宋体"/>
                <w:sz w:val="18"/>
                <w:szCs w:val="18"/>
              </w:rPr>
            </w:pPr>
          </w:p>
        </w:tc>
        <w:tc>
          <w:tcPr>
            <w:tcW w:w="4720"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其余时间有时为</w:t>
            </w:r>
          </w:p>
        </w:tc>
        <w:tc>
          <w:tcPr>
            <w:tcW w:w="3191" w:type="dxa"/>
            <w:noWrap w:val="0"/>
            <w:vAlign w:val="center"/>
          </w:tcPr>
          <w:p>
            <w:pPr>
              <w:jc w:val="center"/>
              <w:rPr>
                <w:rFonts w:hint="eastAsia" w:ascii="宋体" w:hAnsi="宋体" w:eastAsia="宋体" w:cs="宋体"/>
                <w:sz w:val="18"/>
                <w:szCs w:val="18"/>
              </w:rPr>
            </w:pPr>
            <w:r>
              <w:rPr>
                <w:rFonts w:hint="eastAsia" w:ascii="宋体" w:hAnsi="宋体" w:eastAsia="宋体" w:cs="宋体"/>
                <w:sz w:val="18"/>
                <w:szCs w:val="18"/>
              </w:rPr>
              <w:t>85%RH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571" w:type="dxa"/>
            <w:gridSpan w:val="3"/>
            <w:noWrap w:val="0"/>
            <w:vAlign w:val="center"/>
          </w:tcPr>
          <w:p>
            <w:pPr>
              <w:widowControl/>
              <w:ind w:firstLine="360" w:firstLineChars="200"/>
              <w:jc w:val="left"/>
              <w:rPr>
                <w:rFonts w:hint="eastAsia" w:ascii="宋体" w:hAnsi="宋体" w:eastAsia="宋体" w:cs="宋体"/>
                <w:sz w:val="18"/>
                <w:szCs w:val="18"/>
              </w:rPr>
            </w:pPr>
            <w:r>
              <w:rPr>
                <w:rFonts w:hint="eastAsia" w:ascii="宋体" w:hAnsi="宋体" w:eastAsia="宋体" w:cs="宋体"/>
                <w:sz w:val="18"/>
                <w:szCs w:val="18"/>
              </w:rPr>
              <w:t>注1：在极端温度范围外，储存和运输最长期限仅限于6h。</w:t>
            </w:r>
          </w:p>
          <w:p>
            <w:pPr>
              <w:widowControl/>
              <w:ind w:firstLine="360" w:firstLineChars="200"/>
              <w:jc w:val="left"/>
              <w:rPr>
                <w:rFonts w:hint="eastAsia" w:ascii="宋体" w:hAnsi="宋体" w:eastAsia="宋体" w:cs="宋体"/>
                <w:sz w:val="18"/>
                <w:szCs w:val="18"/>
              </w:rPr>
            </w:pPr>
            <w:r>
              <w:rPr>
                <w:rFonts w:hint="eastAsia" w:ascii="宋体" w:hAnsi="宋体" w:eastAsia="宋体" w:cs="宋体"/>
                <w:color w:val="000000"/>
                <w:kern w:val="0"/>
                <w:sz w:val="18"/>
                <w:szCs w:val="18"/>
              </w:rPr>
              <w:t>注2：环境的突然变化可能造成标签扭曲，标签的包装在被打开之前需要在周围的环境条件下稳定放置30min。</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耐辐射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对需要暴露于阳光下的户外标签，标签应耐受阳光辐射，在总辐射强度≤1120W/m2的情况下，标签表面的图形和数字的清晰度应不受影响，标签应能正常工作。在电站等高电磁辐射的环境，电子标签可以保持良好应答。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耐振动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标签应能适应使用或运输等过程的振动环境，在GB/T 2423.10—20</w:t>
      </w:r>
      <w:r>
        <w:rPr>
          <w:rFonts w:hint="eastAsia" w:ascii="Times New Roman" w:hAnsi="宋体" w:eastAsia="宋体" w:cs="宋体"/>
          <w:sz w:val="21"/>
          <w:szCs w:val="21"/>
          <w:lang w:val="en-US" w:eastAsia="zh-CN"/>
        </w:rPr>
        <w:t>19</w:t>
      </w:r>
      <w:r>
        <w:rPr>
          <w:rFonts w:hint="eastAsia" w:ascii="Times New Roman" w:hAnsi="宋体" w:eastAsia="宋体" w:cs="宋体"/>
          <w:sz w:val="21"/>
          <w:szCs w:val="21"/>
        </w:rPr>
        <w:t>要求进行测试后，标签应不脱落并能正常工作。</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耐冲击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标签应能适应在使用、搬运、装卸和运输等过程中可能遭受的非重复性冲击，在GB/T 2423.5—2019要求进行测试后，标签应不脱落并能正常工作。</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抗弯曲 </w:t>
      </w:r>
    </w:p>
    <w:p>
      <w:pPr>
        <w:pStyle w:val="18"/>
        <w:rPr>
          <w:rFonts w:hint="eastAsia" w:ascii="Times New Roman" w:hAnsi="宋体" w:eastAsia="宋体" w:cs="宋体"/>
          <w:sz w:val="21"/>
          <w:szCs w:val="21"/>
        </w:rPr>
      </w:pPr>
      <w:r>
        <w:rPr>
          <w:rFonts w:hint="eastAsia" w:ascii="Times New Roman" w:hAnsi="宋体" w:eastAsia="宋体" w:cs="宋体"/>
          <w:sz w:val="21"/>
          <w:szCs w:val="21"/>
        </w:rPr>
        <w:t>柔性标签应能承受在使用、搬运、装卸和运输等过程中可能遭受的弯曲应力，封装应无异常，</w:t>
      </w:r>
      <w:r>
        <w:rPr>
          <w:rFonts w:hint="eastAsia" w:ascii="Times New Roman" w:hAnsi="宋体" w:eastAsia="宋体" w:cs="宋体"/>
          <w:sz w:val="21"/>
          <w:szCs w:val="21"/>
          <w:lang w:val="en-US" w:eastAsia="zh-CN"/>
        </w:rPr>
        <w:t>无折痕，</w:t>
      </w:r>
      <w:r>
        <w:rPr>
          <w:rFonts w:hint="eastAsia" w:ascii="Times New Roman" w:hAnsi="宋体" w:eastAsia="宋体" w:cs="宋体"/>
          <w:sz w:val="21"/>
          <w:szCs w:val="21"/>
        </w:rPr>
        <w:t>标签应能正常工作。</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抗扭曲 </w:t>
      </w:r>
    </w:p>
    <w:p>
      <w:pPr>
        <w:pStyle w:val="18"/>
        <w:rPr>
          <w:rFonts w:hint="eastAsia" w:ascii="Times New Roman" w:hAnsi="宋体" w:eastAsia="宋体" w:cs="宋体"/>
          <w:sz w:val="21"/>
          <w:szCs w:val="21"/>
        </w:rPr>
      </w:pPr>
      <w:r>
        <w:rPr>
          <w:rFonts w:hint="eastAsia" w:ascii="Times New Roman" w:hAnsi="宋体" w:eastAsia="宋体" w:cs="宋体"/>
          <w:sz w:val="21"/>
          <w:szCs w:val="21"/>
        </w:rPr>
        <w:t>柔性标签应能承受在使用、搬运、装卸和运输等过程中可能遭受的扭曲力，封装应无异常，</w:t>
      </w:r>
      <w:r>
        <w:rPr>
          <w:rFonts w:hint="eastAsia" w:ascii="Times New Roman" w:hAnsi="宋体" w:eastAsia="宋体" w:cs="宋体"/>
          <w:sz w:val="21"/>
          <w:szCs w:val="21"/>
          <w:lang w:val="en-US" w:eastAsia="zh-CN"/>
        </w:rPr>
        <w:t>无折痕，</w:t>
      </w:r>
      <w:r>
        <w:rPr>
          <w:rFonts w:hint="eastAsia" w:ascii="Times New Roman" w:hAnsi="宋体" w:eastAsia="宋体" w:cs="宋体"/>
          <w:sz w:val="21"/>
          <w:szCs w:val="21"/>
        </w:rPr>
        <w:t>标签应能正常工作。</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抗脱落 </w:t>
      </w:r>
    </w:p>
    <w:p>
      <w:pPr>
        <w:pStyle w:val="18"/>
        <w:rPr>
          <w:rFonts w:hint="eastAsia" w:ascii="Times New Roman" w:hAnsi="宋体" w:eastAsia="宋体" w:cs="宋体"/>
          <w:sz w:val="21"/>
          <w:szCs w:val="21"/>
        </w:rPr>
      </w:pPr>
      <w:r>
        <w:rPr>
          <w:rFonts w:hint="eastAsia" w:ascii="Times New Roman" w:hAnsi="宋体" w:eastAsia="宋体" w:cs="宋体"/>
          <w:sz w:val="21"/>
          <w:szCs w:val="21"/>
        </w:rPr>
        <w:t>采用粘贴方式时，标签的180°剥离强度、持粘性应符合HG/T 2406-2014中5.5的相应规定。</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防护等级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按照GB/T 4208—20</w:t>
      </w:r>
      <w:r>
        <w:rPr>
          <w:rFonts w:hint="eastAsia" w:ascii="Times New Roman" w:hAnsi="宋体" w:eastAsia="宋体" w:cs="宋体"/>
          <w:sz w:val="21"/>
          <w:szCs w:val="21"/>
          <w:lang w:val="en-US" w:eastAsia="zh-CN"/>
        </w:rPr>
        <w:t>17/XG1-2024</w:t>
      </w:r>
      <w:r>
        <w:rPr>
          <w:rFonts w:hint="eastAsia" w:ascii="Times New Roman" w:hAnsi="宋体" w:eastAsia="宋体" w:cs="宋体"/>
          <w:sz w:val="21"/>
          <w:szCs w:val="21"/>
        </w:rPr>
        <w:t>选择标签防护等级，硬质标签密封性应符合IP67的规定。</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耐盐雾 </w:t>
      </w:r>
    </w:p>
    <w:p>
      <w:pPr>
        <w:pStyle w:val="18"/>
        <w:rPr>
          <w:rFonts w:hint="eastAsia" w:ascii="Times New Roman" w:hAnsi="宋体" w:eastAsia="宋体" w:cs="宋体"/>
          <w:sz w:val="21"/>
          <w:szCs w:val="21"/>
        </w:rPr>
      </w:pPr>
      <w:r>
        <w:rPr>
          <w:rFonts w:hint="eastAsia" w:ascii="Times New Roman" w:hAnsi="宋体" w:eastAsia="宋体" w:cs="宋体"/>
          <w:sz w:val="21"/>
          <w:szCs w:val="21"/>
        </w:rPr>
        <w:t>硬质标签按照GB/T 2423.17—20</w:t>
      </w:r>
      <w:r>
        <w:rPr>
          <w:rFonts w:hint="eastAsia" w:ascii="Times New Roman" w:hAnsi="宋体" w:eastAsia="宋体" w:cs="宋体"/>
          <w:sz w:val="21"/>
          <w:szCs w:val="21"/>
          <w:lang w:val="en-US" w:eastAsia="zh-CN"/>
        </w:rPr>
        <w:t>24</w:t>
      </w:r>
      <w:r>
        <w:rPr>
          <w:rFonts w:hint="eastAsia" w:ascii="Times New Roman" w:hAnsi="宋体" w:eastAsia="宋体" w:cs="宋体"/>
          <w:sz w:val="21"/>
          <w:szCs w:val="21"/>
        </w:rPr>
        <w:t>规定的方法进行测试，标签应满足耐盐雾96小时以上。</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阻燃性 </w:t>
      </w:r>
    </w:p>
    <w:p>
      <w:pPr>
        <w:pStyle w:val="18"/>
        <w:rPr>
          <w:rFonts w:hint="eastAsia" w:ascii="Times New Roman" w:hAnsi="宋体" w:eastAsia="宋体" w:cs="宋体"/>
          <w:sz w:val="21"/>
          <w:szCs w:val="21"/>
        </w:rPr>
      </w:pPr>
      <w:r>
        <w:rPr>
          <w:rFonts w:hint="eastAsia" w:ascii="Times New Roman" w:hAnsi="宋体" w:eastAsia="宋体" w:cs="宋体"/>
          <w:sz w:val="21"/>
          <w:szCs w:val="21"/>
        </w:rPr>
        <w:t>硬质标签按照GB/T 2408—</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规定的方法进行测试，标签的阻燃性应满足V0等级。</w:t>
      </w:r>
    </w:p>
    <w:p>
      <w:pPr>
        <w:pStyle w:val="34"/>
        <w:outlineLvl w:val="1"/>
        <w:rPr>
          <w:rFonts w:hint="eastAsia" w:hAnsi="Times New Roman" w:cs="Times New Roman"/>
          <w:sz w:val="21"/>
          <w:szCs w:val="21"/>
        </w:rPr>
      </w:pPr>
      <w:r>
        <w:rPr>
          <w:rFonts w:hint="eastAsia" w:hAnsi="Times New Roman" w:cs="Times New Roman"/>
          <w:sz w:val="21"/>
          <w:szCs w:val="21"/>
        </w:rPr>
        <w:t xml:space="preserve">电气性能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通信协议 </w:t>
      </w:r>
    </w:p>
    <w:p>
      <w:pPr>
        <w:pStyle w:val="18"/>
        <w:rPr>
          <w:rFonts w:hint="eastAsia" w:ascii="Times New Roman" w:hAnsi="宋体" w:eastAsia="宋体" w:cs="宋体"/>
          <w:sz w:val="21"/>
          <w:szCs w:val="21"/>
          <w:lang w:eastAsia="zh-CN"/>
        </w:rPr>
      </w:pPr>
      <w:r>
        <w:rPr>
          <w:rFonts w:hint="eastAsia" w:ascii="Times New Roman" w:hAnsi="宋体" w:eastAsia="宋体" w:cs="宋体"/>
          <w:sz w:val="21"/>
          <w:szCs w:val="21"/>
        </w:rPr>
        <w:t>超高频电子标签通信规约应符合ISO/IEC 18000-63</w:t>
      </w:r>
      <w:r>
        <w:rPr>
          <w:rFonts w:hint="default" w:ascii="Times New Roman" w:hAnsi="宋体" w:eastAsia="宋体" w:cs="宋体"/>
          <w:sz w:val="21"/>
          <w:szCs w:val="21"/>
          <w:lang w:val="en-US"/>
        </w:rPr>
        <w:t>:</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空中接口要求</w:t>
      </w:r>
      <w:r>
        <w:rPr>
          <w:rFonts w:hint="eastAsia" w:ascii="Times New Roman" w:hAnsi="宋体" w:eastAsia="宋体" w:cs="宋体"/>
          <w:sz w:val="21"/>
          <w:szCs w:val="21"/>
          <w:lang w:eastAsia="zh-CN"/>
        </w:rPr>
        <w:t>。</w:t>
      </w:r>
    </w:p>
    <w:p>
      <w:pPr>
        <w:pStyle w:val="18"/>
        <w:rPr>
          <w:rFonts w:hint="eastAsia" w:ascii="Times New Roman" w:hAnsi="宋体" w:eastAsia="宋体" w:cs="宋体"/>
          <w:sz w:val="21"/>
          <w:szCs w:val="21"/>
        </w:rPr>
      </w:pPr>
      <w:r>
        <w:rPr>
          <w:rFonts w:hint="eastAsia" w:ascii="Times New Roman" w:hAnsi="宋体" w:eastAsia="宋体" w:cs="宋体"/>
          <w:sz w:val="21"/>
          <w:szCs w:val="21"/>
        </w:rPr>
        <w:t>双频电子标签通信规约应兼容超高频电子标签通信规约及高频ISO/IEC 14443</w:t>
      </w:r>
      <w:r>
        <w:rPr>
          <w:rFonts w:hint="eastAsia" w:ascii="Times New Roman" w:hAnsi="宋体" w:eastAsia="宋体" w:cs="宋体"/>
          <w:sz w:val="21"/>
          <w:szCs w:val="21"/>
          <w:lang w:val="en-US"/>
        </w:rPr>
        <w:t>:</w:t>
      </w:r>
      <w:r>
        <w:rPr>
          <w:rFonts w:hint="eastAsia" w:ascii="Times New Roman" w:hAnsi="宋体" w:eastAsia="宋体" w:cs="宋体"/>
          <w:sz w:val="21"/>
          <w:szCs w:val="21"/>
          <w:lang w:val="en-US" w:eastAsia="zh-CN"/>
        </w:rPr>
        <w:t>2020</w:t>
      </w:r>
      <w:r>
        <w:rPr>
          <w:rFonts w:hint="eastAsia" w:ascii="Times New Roman" w:hAnsi="宋体" w:eastAsia="宋体" w:cs="宋体"/>
          <w:sz w:val="21"/>
          <w:szCs w:val="21"/>
        </w:rPr>
        <w:t xml:space="preserve"> TypeA空中接口要求。</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工作频率 </w:t>
      </w:r>
    </w:p>
    <w:p>
      <w:pPr>
        <w:pStyle w:val="18"/>
        <w:rPr>
          <w:rFonts w:hint="eastAsia" w:ascii="Times New Roman" w:hAnsi="宋体" w:eastAsia="宋体" w:cs="宋体"/>
          <w:sz w:val="21"/>
          <w:szCs w:val="21"/>
        </w:rPr>
      </w:pPr>
      <w:r>
        <w:rPr>
          <w:rFonts w:hint="eastAsia" w:ascii="Times New Roman" w:hAnsi="宋体" w:eastAsia="宋体" w:cs="宋体"/>
          <w:sz w:val="21"/>
          <w:szCs w:val="21"/>
        </w:rPr>
        <w:t>超高频电子标签的工作频率应覆盖920MHz～925MHz。</w:t>
      </w:r>
    </w:p>
    <w:p>
      <w:pPr>
        <w:pStyle w:val="18"/>
        <w:rPr>
          <w:rFonts w:hint="eastAsia" w:ascii="Times New Roman" w:hAnsi="宋体" w:eastAsia="宋体" w:cs="宋体"/>
          <w:sz w:val="21"/>
          <w:szCs w:val="21"/>
        </w:rPr>
      </w:pPr>
      <w:r>
        <w:rPr>
          <w:rFonts w:hint="eastAsia" w:ascii="Times New Roman" w:hAnsi="宋体" w:eastAsia="宋体" w:cs="宋体"/>
          <w:sz w:val="21"/>
          <w:szCs w:val="21"/>
        </w:rPr>
        <w:t>双频电子标签的工作频率应覆盖超高频920MHz～925MHz及高频13.56MHz±7KHz。</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读写距离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标签天线与读写器天线正对（0°），且极化方向一致时，标签的最大读写距离应达到表5要求。 </w:t>
      </w:r>
    </w:p>
    <w:p>
      <w:pPr>
        <w:pStyle w:val="18"/>
        <w:spacing w:before="156" w:beforeLines="50" w:after="156" w:afterLines="50"/>
        <w:ind w:firstLine="0" w:firstLineChars="0"/>
        <w:jc w:val="center"/>
        <w:rPr>
          <w:rFonts w:hint="eastAsia" w:ascii="黑体" w:hAnsi="黑体" w:eastAsia="黑体" w:cs="黑体"/>
          <w:snapToGrid w:val="0"/>
          <w:sz w:val="20"/>
        </w:rPr>
      </w:pPr>
      <w:r>
        <w:rPr>
          <w:rFonts w:hint="eastAsia" w:ascii="黑体" w:hAnsi="黑体" w:eastAsia="黑体" w:cs="黑体"/>
          <w:snapToGrid w:val="0"/>
          <w:sz w:val="20"/>
        </w:rPr>
        <w:t>表5  标签最大读写距离要求</w:t>
      </w:r>
    </w:p>
    <w:tbl>
      <w:tblPr>
        <w:tblStyle w:val="25"/>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964"/>
        <w:gridCol w:w="3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2188" w:type="dxa"/>
            <w:noWrap w:val="0"/>
            <w:vAlign w:val="center"/>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标签分类</w:t>
            </w:r>
          </w:p>
        </w:tc>
        <w:tc>
          <w:tcPr>
            <w:tcW w:w="2964" w:type="dxa"/>
            <w:noWrap w:val="0"/>
            <w:vAlign w:val="top"/>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最大读距离</w:t>
            </w:r>
          </w:p>
        </w:tc>
        <w:tc>
          <w:tcPr>
            <w:tcW w:w="3162" w:type="dxa"/>
            <w:noWrap w:val="0"/>
            <w:vAlign w:val="top"/>
          </w:tcPr>
          <w:p>
            <w:pPr>
              <w:pStyle w:val="18"/>
              <w:ind w:firstLine="0" w:firstLineChars="0"/>
              <w:jc w:val="center"/>
              <w:rPr>
                <w:rFonts w:hint="eastAsia" w:ascii="宋体" w:hAnsi="宋体" w:eastAsia="宋体" w:cs="宋体"/>
                <w:bCs/>
                <w:snapToGrid w:val="0"/>
                <w:sz w:val="18"/>
                <w:szCs w:val="18"/>
              </w:rPr>
            </w:pPr>
            <w:r>
              <w:rPr>
                <w:rFonts w:hint="eastAsia" w:ascii="宋体" w:hAnsi="宋体" w:eastAsia="宋体" w:cs="宋体"/>
                <w:bCs/>
                <w:snapToGrid w:val="0"/>
                <w:sz w:val="18"/>
                <w:szCs w:val="18"/>
              </w:rPr>
              <w:t>最大写距离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88" w:type="dxa"/>
            <w:noWrap w:val="0"/>
            <w:vAlign w:val="top"/>
          </w:tcPr>
          <w:p>
            <w:pPr>
              <w:widowControl/>
              <w:jc w:val="center"/>
              <w:rPr>
                <w:rFonts w:hint="eastAsia" w:ascii="宋体" w:hAnsi="宋体" w:eastAsia="宋体" w:cs="宋体"/>
                <w:snapToGrid w:val="0"/>
                <w:sz w:val="18"/>
                <w:szCs w:val="18"/>
              </w:rPr>
            </w:pPr>
            <w:r>
              <w:rPr>
                <w:rFonts w:hint="eastAsia" w:ascii="宋体" w:hAnsi="宋体" w:eastAsia="宋体" w:cs="宋体"/>
                <w:color w:val="000000"/>
                <w:kern w:val="0"/>
                <w:sz w:val="18"/>
                <w:szCs w:val="18"/>
                <w:lang w:bidi="ar"/>
              </w:rPr>
              <w:t>硬质标签（大）</w:t>
            </w:r>
          </w:p>
        </w:tc>
        <w:tc>
          <w:tcPr>
            <w:tcW w:w="296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w:t>
            </w:r>
            <w:r>
              <w:rPr>
                <w:rFonts w:hint="eastAsia" w:ascii="宋体" w:hAnsi="宋体" w:eastAsia="宋体" w:cs="宋体"/>
                <w:snapToGrid w:val="0"/>
                <w:sz w:val="18"/>
                <w:szCs w:val="18"/>
                <w:lang w:val="en-US" w:eastAsia="zh-CN"/>
              </w:rPr>
              <w:t>12</w:t>
            </w:r>
            <w:r>
              <w:rPr>
                <w:rFonts w:hint="eastAsia" w:ascii="宋体" w:hAnsi="宋体" w:eastAsia="宋体" w:cs="宋体"/>
                <w:snapToGrid w:val="0"/>
                <w:sz w:val="18"/>
                <w:szCs w:val="18"/>
              </w:rPr>
              <w:t>m</w:t>
            </w:r>
          </w:p>
        </w:tc>
        <w:tc>
          <w:tcPr>
            <w:tcW w:w="3162"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w:t>
            </w:r>
            <w:r>
              <w:rPr>
                <w:rFonts w:hint="eastAsia" w:ascii="宋体" w:hAnsi="宋体" w:eastAsia="宋体" w:cs="宋体"/>
                <w:snapToGrid w:val="0"/>
                <w:sz w:val="18"/>
                <w:szCs w:val="18"/>
                <w:lang w:val="en-US" w:eastAsia="zh-CN"/>
              </w:rPr>
              <w:t>6</w:t>
            </w:r>
            <w:r>
              <w:rPr>
                <w:rFonts w:hint="eastAsia" w:ascii="宋体" w:hAnsi="宋体" w:eastAsia="宋体" w:cs="宋体"/>
                <w:snapToGrid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88" w:type="dxa"/>
            <w:noWrap w:val="0"/>
            <w:vAlign w:val="top"/>
          </w:tcPr>
          <w:p>
            <w:pPr>
              <w:widowControl/>
              <w:jc w:val="center"/>
              <w:rPr>
                <w:rFonts w:hint="eastAsia" w:ascii="宋体" w:hAnsi="宋体" w:eastAsia="宋体" w:cs="宋体"/>
                <w:snapToGrid w:val="0"/>
                <w:sz w:val="18"/>
                <w:szCs w:val="18"/>
              </w:rPr>
            </w:pPr>
            <w:r>
              <w:rPr>
                <w:rFonts w:hint="eastAsia" w:ascii="宋体" w:hAnsi="宋体" w:eastAsia="宋体" w:cs="宋体"/>
                <w:color w:val="000000"/>
                <w:kern w:val="0"/>
                <w:sz w:val="18"/>
                <w:szCs w:val="18"/>
                <w:lang w:bidi="ar"/>
              </w:rPr>
              <w:t>硬质标签（小）</w:t>
            </w:r>
          </w:p>
        </w:tc>
        <w:tc>
          <w:tcPr>
            <w:tcW w:w="2964" w:type="dxa"/>
            <w:noWrap w:val="0"/>
            <w:vAlign w:val="center"/>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≥3m</w:t>
            </w:r>
          </w:p>
        </w:tc>
        <w:tc>
          <w:tcPr>
            <w:tcW w:w="3162" w:type="dxa"/>
            <w:noWrap w:val="0"/>
            <w:vAlign w:val="center"/>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2188" w:type="dxa"/>
            <w:noWrap w:val="0"/>
            <w:vAlign w:val="top"/>
          </w:tcPr>
          <w:p>
            <w:pPr>
              <w:widowControl/>
              <w:jc w:val="center"/>
              <w:rPr>
                <w:rFonts w:hint="eastAsia" w:ascii="宋体" w:hAnsi="宋体" w:eastAsia="宋体" w:cs="宋体"/>
                <w:snapToGrid w:val="0"/>
                <w:sz w:val="18"/>
                <w:szCs w:val="18"/>
              </w:rPr>
            </w:pPr>
            <w:r>
              <w:rPr>
                <w:rStyle w:val="121"/>
                <w:rFonts w:hint="default"/>
                <w:sz w:val="18"/>
                <w:szCs w:val="18"/>
                <w:lang w:bidi="ar"/>
              </w:rPr>
              <w:t>车辆电子标签</w:t>
            </w:r>
          </w:p>
        </w:tc>
        <w:tc>
          <w:tcPr>
            <w:tcW w:w="296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≥6m</w:t>
            </w:r>
          </w:p>
        </w:tc>
        <w:tc>
          <w:tcPr>
            <w:tcW w:w="3162"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88" w:type="dxa"/>
            <w:noWrap w:val="0"/>
            <w:vAlign w:val="top"/>
          </w:tcPr>
          <w:p>
            <w:pPr>
              <w:widowControl/>
              <w:jc w:val="center"/>
              <w:rPr>
                <w:rFonts w:hint="eastAsia" w:ascii="宋体" w:hAnsi="宋体" w:eastAsia="宋体" w:cs="宋体"/>
                <w:snapToGrid w:val="0"/>
                <w:sz w:val="18"/>
                <w:szCs w:val="18"/>
              </w:rPr>
            </w:pPr>
            <w:r>
              <w:rPr>
                <w:rFonts w:hint="eastAsia" w:ascii="宋体" w:hAnsi="宋体" w:eastAsia="宋体" w:cs="宋体"/>
                <w:color w:val="000000"/>
                <w:kern w:val="0"/>
                <w:sz w:val="18"/>
                <w:szCs w:val="18"/>
                <w:lang w:bidi="ar"/>
              </w:rPr>
              <w:t>架空线路杆塔电子</w:t>
            </w:r>
          </w:p>
        </w:tc>
        <w:tc>
          <w:tcPr>
            <w:tcW w:w="296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w:t>
            </w:r>
            <w:r>
              <w:rPr>
                <w:rFonts w:hint="eastAsia" w:ascii="宋体" w:hAnsi="宋体" w:eastAsia="宋体" w:cs="宋体"/>
                <w:snapToGrid w:val="0"/>
                <w:sz w:val="18"/>
                <w:szCs w:val="18"/>
                <w:lang w:val="en-US" w:eastAsia="zh-CN"/>
              </w:rPr>
              <w:t>15</w:t>
            </w:r>
            <w:r>
              <w:rPr>
                <w:rFonts w:hint="eastAsia" w:ascii="宋体" w:hAnsi="宋体" w:eastAsia="宋体" w:cs="宋体"/>
                <w:snapToGrid w:val="0"/>
                <w:sz w:val="18"/>
                <w:szCs w:val="18"/>
              </w:rPr>
              <w:t>m</w:t>
            </w:r>
          </w:p>
        </w:tc>
        <w:tc>
          <w:tcPr>
            <w:tcW w:w="3162"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w:t>
            </w:r>
            <w:r>
              <w:rPr>
                <w:rFonts w:hint="eastAsia" w:ascii="宋体" w:hAnsi="宋体" w:eastAsia="宋体" w:cs="宋体"/>
                <w:snapToGrid w:val="0"/>
                <w:sz w:val="18"/>
                <w:szCs w:val="18"/>
                <w:lang w:val="en-US" w:eastAsia="zh-CN"/>
              </w:rPr>
              <w:t>7.5</w:t>
            </w:r>
            <w:r>
              <w:rPr>
                <w:rFonts w:hint="eastAsia" w:ascii="宋体" w:hAnsi="宋体" w:eastAsia="宋体" w:cs="宋体"/>
                <w:snapToGrid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88" w:type="dxa"/>
            <w:noWrap w:val="0"/>
            <w:vAlign w:val="top"/>
          </w:tcPr>
          <w:p>
            <w:pPr>
              <w:widowControl/>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扎带式电缆标签</w:t>
            </w:r>
          </w:p>
        </w:tc>
        <w:tc>
          <w:tcPr>
            <w:tcW w:w="296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≤0.05m</w:t>
            </w:r>
          </w:p>
        </w:tc>
        <w:tc>
          <w:tcPr>
            <w:tcW w:w="3162"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≤0.05m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188" w:type="dxa"/>
            <w:noWrap w:val="0"/>
            <w:vAlign w:val="top"/>
          </w:tcPr>
          <w:p>
            <w:pPr>
              <w:widowControl/>
              <w:jc w:val="center"/>
              <w:rPr>
                <w:rFonts w:hint="eastAsia" w:ascii="宋体" w:hAnsi="宋体" w:eastAsia="宋体" w:cs="宋体"/>
                <w:color w:val="000000"/>
                <w:kern w:val="0"/>
                <w:sz w:val="18"/>
                <w:szCs w:val="18"/>
                <w:lang w:bidi="ar"/>
              </w:rPr>
            </w:pPr>
            <w:r>
              <w:rPr>
                <w:rStyle w:val="121"/>
                <w:rFonts w:hint="default"/>
                <w:sz w:val="18"/>
                <w:szCs w:val="18"/>
                <w:lang w:bidi="ar"/>
              </w:rPr>
              <w:t>抗金属柔性RFID标签</w:t>
            </w:r>
          </w:p>
        </w:tc>
        <w:tc>
          <w:tcPr>
            <w:tcW w:w="2964"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≥1m</w:t>
            </w:r>
          </w:p>
        </w:tc>
        <w:tc>
          <w:tcPr>
            <w:tcW w:w="3162" w:type="dxa"/>
            <w:noWrap w:val="0"/>
            <w:vAlign w:val="top"/>
          </w:tcPr>
          <w:p>
            <w:pPr>
              <w:pStyle w:val="18"/>
              <w:ind w:firstLine="0" w:firstLineChars="0"/>
              <w:jc w:val="center"/>
              <w:rPr>
                <w:rFonts w:hint="eastAsia" w:ascii="宋体" w:hAnsi="宋体" w:eastAsia="宋体" w:cs="宋体"/>
                <w:snapToGrid w:val="0"/>
                <w:sz w:val="18"/>
                <w:szCs w:val="18"/>
              </w:rPr>
            </w:pPr>
            <w:r>
              <w:rPr>
                <w:rFonts w:hint="eastAsia" w:ascii="宋体" w:hAnsi="宋体" w:eastAsia="宋体" w:cs="宋体"/>
                <w:snapToGrid w:val="0"/>
                <w:sz w:val="18"/>
                <w:szCs w:val="18"/>
              </w:rPr>
              <w:t>≥0.5m</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擦写次数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电子标签可擦写次数应不少于10万次。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数据保持时间</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标签在工作环境下数据保持时间应不少于10年。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抗扰度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静电放电抗扰度 </w:t>
      </w:r>
    </w:p>
    <w:p>
      <w:pPr>
        <w:pStyle w:val="18"/>
        <w:rPr>
          <w:rFonts w:hint="eastAsia" w:ascii="Times New Roman" w:hAnsi="宋体" w:eastAsia="宋体" w:cs="宋体"/>
          <w:sz w:val="21"/>
          <w:szCs w:val="21"/>
        </w:rPr>
      </w:pPr>
      <w:r>
        <w:rPr>
          <w:rFonts w:hint="eastAsia" w:ascii="Times New Roman" w:hAnsi="宋体" w:eastAsia="宋体" w:cs="宋体"/>
          <w:sz w:val="21"/>
          <w:szCs w:val="21"/>
        </w:rPr>
        <w:t>硬质标签应满足GB/T 17626.2-20</w:t>
      </w:r>
      <w:r>
        <w:rPr>
          <w:rFonts w:hint="eastAsia" w:ascii="Times New Roman" w:hAnsi="宋体" w:eastAsia="宋体" w:cs="宋体"/>
          <w:sz w:val="21"/>
          <w:szCs w:val="21"/>
          <w:lang w:val="en-US" w:eastAsia="zh-CN"/>
        </w:rPr>
        <w:t>18</w:t>
      </w:r>
      <w:r>
        <w:rPr>
          <w:rFonts w:hint="eastAsia" w:ascii="Times New Roman" w:hAnsi="宋体" w:eastAsia="宋体" w:cs="宋体"/>
          <w:sz w:val="21"/>
          <w:szCs w:val="21"/>
        </w:rPr>
        <w:t>中5规定的空气放电严酷等级</w:t>
      </w:r>
      <w:r>
        <w:rPr>
          <w:rFonts w:hint="eastAsia" w:ascii="Times New Roman" w:hAnsi="宋体" w:eastAsia="宋体" w:cs="宋体"/>
          <w:sz w:val="21"/>
          <w:szCs w:val="21"/>
          <w:lang w:val="en-US" w:eastAsia="zh-CN"/>
        </w:rPr>
        <w:t>1</w:t>
      </w:r>
      <w:r>
        <w:rPr>
          <w:rFonts w:hint="eastAsia" w:ascii="Times New Roman" w:hAnsi="宋体" w:eastAsia="宋体" w:cs="宋体"/>
          <w:sz w:val="21"/>
          <w:szCs w:val="21"/>
        </w:rPr>
        <w:t>的要求；柔性标签应满足GB/T 17626.2-20</w:t>
      </w:r>
      <w:r>
        <w:rPr>
          <w:rFonts w:hint="eastAsia" w:ascii="Times New Roman" w:hAnsi="宋体" w:eastAsia="宋体" w:cs="宋体"/>
          <w:sz w:val="21"/>
          <w:szCs w:val="21"/>
          <w:lang w:val="en-US" w:eastAsia="zh-CN"/>
        </w:rPr>
        <w:t>18</w:t>
      </w:r>
      <w:r>
        <w:rPr>
          <w:rFonts w:hint="eastAsia" w:ascii="Times New Roman" w:hAnsi="宋体" w:eastAsia="宋体" w:cs="宋体"/>
          <w:sz w:val="21"/>
          <w:szCs w:val="21"/>
        </w:rPr>
        <w:t xml:space="preserve">中5规定的空气放电严酷等级1的要求。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射频电磁场抗扰度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标签应满足GB/T 17626.3-20</w:t>
      </w:r>
      <w:r>
        <w:rPr>
          <w:rFonts w:hint="eastAsia" w:ascii="Times New Roman" w:hAnsi="宋体" w:eastAsia="宋体" w:cs="宋体"/>
          <w:sz w:val="21"/>
          <w:szCs w:val="21"/>
          <w:lang w:eastAsia="zh-CN"/>
        </w:rPr>
        <w:t>2</w:t>
      </w:r>
      <w:r>
        <w:rPr>
          <w:rFonts w:hint="eastAsia" w:ascii="Times New Roman" w:hAnsi="宋体" w:eastAsia="宋体" w:cs="宋体"/>
          <w:sz w:val="21"/>
          <w:szCs w:val="21"/>
          <w:lang w:val="en-US" w:eastAsia="zh-CN"/>
        </w:rPr>
        <w:t>3</w:t>
      </w:r>
      <w:r>
        <w:rPr>
          <w:rFonts w:hint="eastAsia" w:ascii="Times New Roman" w:hAnsi="宋体" w:eastAsia="宋体" w:cs="宋体"/>
          <w:sz w:val="21"/>
          <w:szCs w:val="21"/>
        </w:rPr>
        <w:t xml:space="preserve">中5.2规定的严酷等级2的要求。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工频磁场抗扰度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标签应满足GB/T 17626.8-2006中5规定的严酷等级5的要求。</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脉冲磁场抗扰度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标签应满足GB/T 17626.9-2011中5规定的严酷等级5的要求。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阻尼振荡磁场抗扰度 </w:t>
      </w:r>
    </w:p>
    <w:p>
      <w:pPr>
        <w:pStyle w:val="18"/>
        <w:rPr>
          <w:rFonts w:hint="eastAsia" w:ascii="宋体" w:hAnsi="宋体" w:eastAsia="宋体" w:cs="宋体"/>
          <w:sz w:val="20"/>
        </w:rPr>
      </w:pPr>
      <w:r>
        <w:rPr>
          <w:rFonts w:hint="eastAsia" w:ascii="Times New Roman" w:hAnsi="宋体" w:eastAsia="宋体" w:cs="宋体"/>
          <w:sz w:val="21"/>
          <w:szCs w:val="21"/>
        </w:rPr>
        <w:t>标签应满足GB/T 17626.10-20</w:t>
      </w:r>
      <w:r>
        <w:rPr>
          <w:rFonts w:hint="eastAsia" w:ascii="Times New Roman" w:hAnsi="宋体" w:eastAsia="宋体" w:cs="宋体"/>
          <w:sz w:val="21"/>
          <w:szCs w:val="21"/>
          <w:lang w:val="en-US" w:eastAsia="zh-CN"/>
        </w:rPr>
        <w:t>17</w:t>
      </w:r>
      <w:r>
        <w:rPr>
          <w:rFonts w:hint="eastAsia" w:ascii="Times New Roman" w:hAnsi="宋体" w:eastAsia="宋体" w:cs="宋体"/>
          <w:sz w:val="21"/>
          <w:szCs w:val="21"/>
        </w:rPr>
        <w:t>中5规定的严酷等级5的要求。</w:t>
      </w:r>
      <w:r>
        <w:rPr>
          <w:rFonts w:hint="eastAsia" w:ascii="宋体" w:hAnsi="宋体" w:eastAsia="宋体" w:cs="宋体"/>
          <w:color w:val="000000"/>
          <w:sz w:val="20"/>
          <w:szCs w:val="20"/>
          <w:lang w:bidi="ar"/>
        </w:rPr>
        <w:t xml:space="preserve"> </w:t>
      </w:r>
    </w:p>
    <w:p>
      <w:pPr>
        <w:pStyle w:val="34"/>
        <w:outlineLvl w:val="1"/>
        <w:rPr>
          <w:rFonts w:hint="eastAsia" w:hAnsi="Times New Roman" w:cs="Times New Roman"/>
          <w:sz w:val="21"/>
          <w:szCs w:val="21"/>
        </w:rPr>
      </w:pPr>
      <w:bookmarkStart w:id="59" w:name="_Toc30157"/>
      <w:r>
        <w:rPr>
          <w:rFonts w:hint="eastAsia" w:hAnsi="Times New Roman" w:cs="Times New Roman"/>
          <w:sz w:val="21"/>
          <w:szCs w:val="21"/>
        </w:rPr>
        <w:t>数据规约</w:t>
      </w:r>
      <w:bookmarkEnd w:id="59"/>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总体要求</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标签的内存区应包括保留区（Reserved区）、物品标识区（EPC区）、标签标识区（TID区）和用户数据区（User区），具体参考表6。其中，物品标识区应保证足够的容量，以满足生产设备唯一性代码的存储。</w:t>
      </w:r>
    </w:p>
    <w:p>
      <w:pPr>
        <w:pStyle w:val="18"/>
        <w:spacing w:before="156" w:beforeLines="50" w:after="156" w:afterLines="50"/>
        <w:ind w:firstLine="0" w:firstLineChars="0"/>
        <w:jc w:val="center"/>
        <w:rPr>
          <w:rFonts w:hint="eastAsia" w:ascii="黑体" w:hAnsi="黑体" w:eastAsia="黑体" w:cs="黑体"/>
          <w:snapToGrid w:val="0"/>
          <w:sz w:val="20"/>
        </w:rPr>
      </w:pPr>
      <w:r>
        <w:rPr>
          <w:rFonts w:hint="eastAsia" w:ascii="黑体" w:hAnsi="黑体" w:eastAsia="黑体" w:cs="黑体"/>
          <w:snapToGrid w:val="0"/>
          <w:sz w:val="20"/>
        </w:rPr>
        <w:t>表6  标签数据格式列表</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4"/>
        <w:gridCol w:w="4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4594" w:type="dxa"/>
            <w:noWrap w:val="0"/>
            <w:vAlign w:val="center"/>
          </w:tcPr>
          <w:p>
            <w:pPr>
              <w:pStyle w:val="18"/>
              <w:ind w:firstLine="0" w:firstLineChars="0"/>
              <w:jc w:val="center"/>
              <w:rPr>
                <w:rFonts w:hint="eastAsia" w:ascii="宋体" w:hAnsi="宋体" w:eastAsia="宋体" w:cs="宋体"/>
                <w:bCs/>
                <w:sz w:val="18"/>
                <w:szCs w:val="18"/>
              </w:rPr>
            </w:pPr>
            <w:r>
              <w:rPr>
                <w:rFonts w:hint="eastAsia" w:ascii="宋体" w:hAnsi="宋体" w:eastAsia="宋体" w:cs="宋体"/>
                <w:bCs/>
                <w:sz w:val="18"/>
                <w:szCs w:val="18"/>
              </w:rPr>
              <w:t>区域</w:t>
            </w:r>
          </w:p>
        </w:tc>
        <w:tc>
          <w:tcPr>
            <w:tcW w:w="4305" w:type="dxa"/>
            <w:noWrap w:val="0"/>
            <w:vAlign w:val="center"/>
          </w:tcPr>
          <w:p>
            <w:pPr>
              <w:pStyle w:val="18"/>
              <w:ind w:firstLine="0" w:firstLineChars="0"/>
              <w:jc w:val="center"/>
              <w:rPr>
                <w:rFonts w:hint="eastAsia" w:ascii="宋体" w:hAnsi="宋体" w:eastAsia="宋体" w:cs="宋体"/>
                <w:bCs/>
                <w:sz w:val="18"/>
                <w:szCs w:val="18"/>
              </w:rPr>
            </w:pPr>
            <w:r>
              <w:rPr>
                <w:rFonts w:hint="eastAsia" w:ascii="宋体" w:hAnsi="宋体" w:eastAsia="宋体" w:cs="宋体"/>
                <w:bCs/>
                <w:sz w:val="18"/>
                <w:szCs w:val="18"/>
              </w:rPr>
              <w:t>长度（Bits）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94"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保留区</w:t>
            </w:r>
          </w:p>
        </w:tc>
        <w:tc>
          <w:tcPr>
            <w:tcW w:w="4305"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94"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物品标识区</w:t>
            </w:r>
          </w:p>
        </w:tc>
        <w:tc>
          <w:tcPr>
            <w:tcW w:w="4305"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94"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标签标识区</w:t>
            </w:r>
          </w:p>
        </w:tc>
        <w:tc>
          <w:tcPr>
            <w:tcW w:w="4305"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94"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用户数据区</w:t>
            </w:r>
          </w:p>
        </w:tc>
        <w:tc>
          <w:tcPr>
            <w:tcW w:w="4305" w:type="dxa"/>
            <w:noWrap w:val="0"/>
            <w:vAlign w:val="center"/>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≥1536</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保留区</w:t>
      </w:r>
    </w:p>
    <w:p>
      <w:pPr>
        <w:pStyle w:val="18"/>
        <w:rPr>
          <w:rFonts w:hint="eastAsia" w:ascii="Times New Roman" w:hAnsi="宋体" w:eastAsia="宋体" w:cs="宋体"/>
          <w:sz w:val="21"/>
          <w:szCs w:val="21"/>
        </w:rPr>
      </w:pPr>
      <w:r>
        <w:rPr>
          <w:rFonts w:hint="eastAsia" w:ascii="Times New Roman" w:hAnsi="宋体" w:eastAsia="宋体" w:cs="宋体"/>
          <w:sz w:val="21"/>
          <w:szCs w:val="21"/>
        </w:rPr>
        <w:t>保留区用于存储标签的灭活密码和访问密码。保留区数据存储结构应遵循ISO/IEC 18000-63</w:t>
      </w:r>
      <w:r>
        <w:rPr>
          <w:rFonts w:hint="default" w:ascii="Times New Roman" w:hAnsi="宋体" w:eastAsia="宋体" w:cs="宋体"/>
          <w:sz w:val="21"/>
          <w:szCs w:val="21"/>
          <w:lang w:val="en-US"/>
        </w:rPr>
        <w:t>:</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的有关要求。</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物品标识区</w:t>
      </w:r>
    </w:p>
    <w:p>
      <w:pPr>
        <w:pStyle w:val="18"/>
        <w:rPr>
          <w:rFonts w:hint="eastAsia" w:ascii="Times New Roman" w:hAnsi="宋体" w:eastAsia="宋体" w:cs="宋体"/>
          <w:sz w:val="21"/>
          <w:szCs w:val="21"/>
        </w:rPr>
      </w:pPr>
      <w:r>
        <w:rPr>
          <w:rFonts w:hint="eastAsia" w:ascii="Times New Roman" w:hAnsi="宋体" w:eastAsia="宋体" w:cs="宋体"/>
          <w:sz w:val="21"/>
          <w:szCs w:val="21"/>
        </w:rPr>
        <w:t>物品标识区用于存储统一的设备实物“ID”编码。物品标识区的数据在投入使用前应进行初始化写入，永久不可更改。物品标识区存储结构见表7。</w:t>
      </w:r>
    </w:p>
    <w:p>
      <w:pPr>
        <w:pStyle w:val="18"/>
        <w:spacing w:before="156" w:beforeLines="50" w:after="156" w:afterLines="50"/>
        <w:ind w:firstLine="0" w:firstLineChars="0"/>
        <w:jc w:val="center"/>
        <w:rPr>
          <w:rFonts w:hint="eastAsia" w:ascii="黑体" w:hAnsi="黑体" w:eastAsia="黑体" w:cs="黑体"/>
          <w:snapToGrid w:val="0"/>
          <w:sz w:val="20"/>
        </w:rPr>
      </w:pPr>
      <w:r>
        <w:rPr>
          <w:rFonts w:hint="eastAsia" w:ascii="黑体" w:hAnsi="黑体" w:eastAsia="黑体" w:cs="黑体"/>
          <w:snapToGrid w:val="0"/>
          <w:sz w:val="20"/>
        </w:rPr>
        <w:t>表7  标签物品标识区存储结构</w:t>
      </w: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6"/>
        <w:gridCol w:w="2271"/>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453" w:type="pct"/>
            <w:noWrap w:val="0"/>
            <w:vAlign w:val="top"/>
          </w:tcPr>
          <w:p>
            <w:pPr>
              <w:pStyle w:val="18"/>
              <w:ind w:firstLine="0" w:firstLineChars="0"/>
              <w:jc w:val="center"/>
              <w:rPr>
                <w:rFonts w:hint="eastAsia" w:ascii="宋体" w:hAnsi="宋体" w:eastAsia="宋体" w:cs="宋体"/>
                <w:bCs/>
                <w:sz w:val="18"/>
                <w:szCs w:val="18"/>
              </w:rPr>
            </w:pPr>
            <w:r>
              <w:rPr>
                <w:rFonts w:hint="eastAsia" w:ascii="宋体" w:hAnsi="宋体" w:eastAsia="宋体" w:cs="宋体"/>
                <w:bCs/>
                <w:sz w:val="18"/>
                <w:szCs w:val="18"/>
              </w:rPr>
              <w:t>代码段名称</w:t>
            </w:r>
          </w:p>
        </w:tc>
        <w:tc>
          <w:tcPr>
            <w:tcW w:w="1333" w:type="pct"/>
            <w:noWrap w:val="0"/>
            <w:vAlign w:val="top"/>
          </w:tcPr>
          <w:p>
            <w:pPr>
              <w:pStyle w:val="18"/>
              <w:ind w:firstLine="0" w:firstLineChars="0"/>
              <w:jc w:val="center"/>
              <w:rPr>
                <w:rFonts w:hint="eastAsia" w:ascii="宋体" w:hAnsi="宋体" w:eastAsia="宋体" w:cs="宋体"/>
                <w:bCs/>
                <w:sz w:val="18"/>
                <w:szCs w:val="18"/>
              </w:rPr>
            </w:pPr>
            <w:r>
              <w:rPr>
                <w:rFonts w:hint="eastAsia" w:ascii="宋体" w:hAnsi="宋体" w:eastAsia="宋体" w:cs="宋体"/>
                <w:bCs/>
                <w:sz w:val="18"/>
                <w:szCs w:val="18"/>
              </w:rPr>
              <w:t>长度（Bit）</w:t>
            </w:r>
          </w:p>
        </w:tc>
        <w:tc>
          <w:tcPr>
            <w:tcW w:w="2213" w:type="pct"/>
            <w:noWrap w:val="0"/>
            <w:vAlign w:val="top"/>
          </w:tcPr>
          <w:p>
            <w:pPr>
              <w:pStyle w:val="18"/>
              <w:ind w:firstLine="0" w:firstLineChars="0"/>
              <w:jc w:val="center"/>
              <w:rPr>
                <w:rFonts w:hint="eastAsia" w:ascii="宋体" w:hAnsi="宋体" w:eastAsia="宋体" w:cs="宋体"/>
                <w:bCs/>
                <w:sz w:val="18"/>
                <w:szCs w:val="18"/>
              </w:rPr>
            </w:pPr>
            <w:r>
              <w:rPr>
                <w:rFonts w:hint="eastAsia" w:ascii="宋体" w:hAnsi="宋体" w:eastAsia="宋体" w:cs="宋体"/>
                <w:bCs/>
                <w:sz w:val="18"/>
                <w:szCs w:val="18"/>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设备身份编码</w:t>
            </w:r>
          </w:p>
        </w:tc>
        <w:tc>
          <w:tcPr>
            <w:tcW w:w="133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96</w:t>
            </w:r>
          </w:p>
        </w:tc>
        <w:tc>
          <w:tcPr>
            <w:tcW w:w="221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标识设备身份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协议控制</w:t>
            </w:r>
          </w:p>
        </w:tc>
        <w:tc>
          <w:tcPr>
            <w:tcW w:w="133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16</w:t>
            </w:r>
          </w:p>
        </w:tc>
        <w:tc>
          <w:tcPr>
            <w:tcW w:w="221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符合ISO/IEC 18000-63</w:t>
            </w:r>
            <w:r>
              <w:rPr>
                <w:rFonts w:hint="default" w:ascii="宋体" w:hAnsi="宋体" w:eastAsia="宋体" w:cs="宋体"/>
                <w:sz w:val="18"/>
                <w:szCs w:val="18"/>
                <w:lang w:val="en-US"/>
              </w:rPr>
              <w:t>:</w:t>
            </w:r>
            <w:r>
              <w:rPr>
                <w:rFonts w:hint="eastAsia" w:ascii="宋体" w:hAnsi="宋体" w:eastAsia="宋体" w:cs="宋体"/>
                <w:sz w:val="18"/>
                <w:szCs w:val="18"/>
                <w:lang w:val="en-US" w:eastAsia="zh-CN"/>
              </w:rPr>
              <w:t>2021</w:t>
            </w:r>
            <w:r>
              <w:rPr>
                <w:rFonts w:hint="eastAsia" w:ascii="宋体" w:hAnsi="宋体" w:eastAsia="宋体" w:cs="宋体"/>
                <w:sz w:val="18"/>
                <w:szCs w:val="18"/>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5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CRC-16</w:t>
            </w:r>
          </w:p>
        </w:tc>
        <w:tc>
          <w:tcPr>
            <w:tcW w:w="133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16</w:t>
            </w:r>
          </w:p>
        </w:tc>
        <w:tc>
          <w:tcPr>
            <w:tcW w:w="2213" w:type="pct"/>
            <w:noWrap w:val="0"/>
            <w:vAlign w:val="top"/>
          </w:tcPr>
          <w:p>
            <w:pPr>
              <w:pStyle w:val="18"/>
              <w:ind w:firstLine="0" w:firstLineChars="0"/>
              <w:jc w:val="center"/>
              <w:rPr>
                <w:rFonts w:hint="eastAsia" w:ascii="宋体" w:hAnsi="宋体" w:eastAsia="宋体" w:cs="宋体"/>
                <w:sz w:val="18"/>
                <w:szCs w:val="18"/>
              </w:rPr>
            </w:pPr>
            <w:r>
              <w:rPr>
                <w:rFonts w:hint="eastAsia" w:ascii="宋体" w:hAnsi="宋体" w:eastAsia="宋体" w:cs="宋体"/>
                <w:sz w:val="18"/>
                <w:szCs w:val="18"/>
              </w:rPr>
              <w:t>数据校验，符合ISO/IEC 18000-63</w:t>
            </w:r>
            <w:r>
              <w:rPr>
                <w:rFonts w:hint="default" w:ascii="宋体" w:hAnsi="宋体" w:eastAsia="宋体" w:cs="宋体"/>
                <w:sz w:val="18"/>
                <w:szCs w:val="18"/>
                <w:lang w:val="en-US"/>
              </w:rPr>
              <w:t>:</w:t>
            </w:r>
            <w:r>
              <w:rPr>
                <w:rFonts w:hint="eastAsia" w:ascii="宋体" w:hAnsi="宋体" w:eastAsia="宋体" w:cs="宋体"/>
                <w:sz w:val="18"/>
                <w:szCs w:val="18"/>
                <w:lang w:val="en-US" w:eastAsia="zh-CN"/>
              </w:rPr>
              <w:t>2021</w:t>
            </w:r>
            <w:r>
              <w:rPr>
                <w:rFonts w:hint="eastAsia" w:ascii="宋体" w:hAnsi="宋体" w:eastAsia="宋体" w:cs="宋体"/>
                <w:sz w:val="18"/>
                <w:szCs w:val="18"/>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3"/>
            <w:noWrap w:val="0"/>
            <w:vAlign w:val="top"/>
          </w:tcPr>
          <w:p>
            <w:pPr>
              <w:pStyle w:val="18"/>
              <w:ind w:firstLine="360"/>
              <w:jc w:val="left"/>
              <w:rPr>
                <w:rFonts w:hint="eastAsia" w:ascii="宋体" w:hAnsi="宋体" w:eastAsia="宋体" w:cs="宋体"/>
                <w:sz w:val="18"/>
                <w:szCs w:val="18"/>
              </w:rPr>
            </w:pPr>
            <w:r>
              <w:rPr>
                <w:rFonts w:hint="eastAsia" w:ascii="宋体" w:hAnsi="宋体" w:eastAsia="宋体" w:cs="宋体"/>
                <w:sz w:val="18"/>
                <w:szCs w:val="18"/>
              </w:rPr>
              <w:t>注1：协议控制区存放标签在盘存操作期间，其EPC反向散射的物理层信息；</w:t>
            </w:r>
          </w:p>
          <w:p>
            <w:pPr>
              <w:pStyle w:val="18"/>
              <w:ind w:firstLine="360"/>
              <w:jc w:val="left"/>
              <w:rPr>
                <w:rFonts w:hint="eastAsia" w:ascii="宋体" w:hAnsi="宋体" w:eastAsia="宋体" w:cs="宋体"/>
                <w:sz w:val="18"/>
                <w:szCs w:val="18"/>
              </w:rPr>
            </w:pPr>
            <w:r>
              <w:rPr>
                <w:rFonts w:hint="eastAsia" w:ascii="宋体" w:hAnsi="宋体" w:eastAsia="宋体" w:cs="宋体"/>
                <w:sz w:val="18"/>
                <w:szCs w:val="18"/>
              </w:rPr>
              <w:t>注2：CRC-16为循环冗余校验，用于进行收发方的错误侦测，识别数据通讯的错误。</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标签标识区</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标签标识区用于存储标签自身的编号。该编号应全球唯一，永久不可更改。标签标识区数据存储结构应遵循ISO/IEC 18000-63</w:t>
      </w:r>
      <w:r>
        <w:rPr>
          <w:rFonts w:hint="default" w:ascii="Times New Roman" w:hAnsi="宋体" w:eastAsia="宋体" w:cs="宋体"/>
          <w:sz w:val="21"/>
          <w:szCs w:val="21"/>
          <w:lang w:val="en-US"/>
        </w:rPr>
        <w:t>:</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的有关要求。</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用户数据区</w:t>
      </w:r>
    </w:p>
    <w:p>
      <w:pPr>
        <w:pStyle w:val="18"/>
        <w:rPr>
          <w:rFonts w:hint="eastAsia" w:ascii="Times New Roman" w:hAnsi="宋体" w:eastAsia="宋体" w:cs="宋体"/>
          <w:sz w:val="21"/>
          <w:szCs w:val="21"/>
        </w:rPr>
      </w:pPr>
      <w:r>
        <w:rPr>
          <w:rFonts w:hint="eastAsia" w:ascii="Times New Roman" w:hAnsi="宋体" w:eastAsia="宋体" w:cs="宋体"/>
          <w:sz w:val="21"/>
          <w:szCs w:val="21"/>
        </w:rPr>
        <w:t>用户数据区允许用户根据实际需要自行规定数据格式。</w:t>
      </w:r>
    </w:p>
    <w:p>
      <w:pPr>
        <w:pStyle w:val="34"/>
        <w:outlineLvl w:val="1"/>
        <w:rPr>
          <w:rFonts w:hint="eastAsia" w:hAnsi="Times New Roman" w:cs="Times New Roman"/>
          <w:sz w:val="21"/>
          <w:szCs w:val="21"/>
        </w:rPr>
      </w:pPr>
      <w:bookmarkStart w:id="60" w:name="_Toc709"/>
      <w:r>
        <w:rPr>
          <w:rFonts w:hint="eastAsia" w:hAnsi="Times New Roman" w:cs="Times New Roman"/>
          <w:sz w:val="21"/>
          <w:szCs w:val="21"/>
        </w:rPr>
        <w:t>安全防护</w:t>
      </w:r>
      <w:bookmarkEnd w:id="60"/>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标签应具备安全防护功能，在必要的应用场合应对物品标识区、用户数据区进行保护，避免非授权人的非法写入、篡改和识别，确保标签具备防伪性能：</w:t>
      </w:r>
    </w:p>
    <w:p>
      <w:pPr>
        <w:pStyle w:val="50"/>
        <w:numPr>
          <w:ilvl w:val="0"/>
          <w:numId w:val="12"/>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安全防护功能应包括访问密码锁定、解锁、灭活等功能；</w:t>
      </w:r>
    </w:p>
    <w:p>
      <w:pPr>
        <w:pStyle w:val="50"/>
        <w:numPr>
          <w:ilvl w:val="0"/>
          <w:numId w:val="12"/>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应具有挑战应答双向身份鉴别机制，挑战应答双向身份鉴别过程应采用真随机数；</w:t>
      </w:r>
    </w:p>
    <w:p>
      <w:pPr>
        <w:pStyle w:val="50"/>
        <w:numPr>
          <w:ilvl w:val="0"/>
          <w:numId w:val="12"/>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应利用挑战应答获得的双方随机数进行双向加密密钥的协商，采用双向加密方式保证传输数据的机密性；</w:t>
      </w:r>
    </w:p>
    <w:p>
      <w:pPr>
        <w:pStyle w:val="50"/>
        <w:numPr>
          <w:ilvl w:val="0"/>
          <w:numId w:val="12"/>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标签内集成国产商用SM7密码算法，标签所采用的加密芯片应取得相应商用密码产品型号；</w:t>
      </w:r>
    </w:p>
    <w:p>
      <w:pPr>
        <w:pStyle w:val="50"/>
        <w:numPr>
          <w:ilvl w:val="0"/>
          <w:numId w:val="12"/>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标签所用的密钥和口令应纳入内蒙古电能计量密钥管理体系管理，并应一签一密。</w:t>
      </w:r>
    </w:p>
    <w:p>
      <w:pPr>
        <w:pStyle w:val="36"/>
        <w:outlineLvl w:val="0"/>
        <w:rPr>
          <w:rFonts w:hint="eastAsia" w:hAnsi="Times New Roman" w:cs="Times New Roman"/>
          <w:sz w:val="21"/>
          <w:szCs w:val="21"/>
        </w:rPr>
      </w:pPr>
      <w:bookmarkStart w:id="61" w:name="_Toc32008"/>
      <w:bookmarkStart w:id="62" w:name="_Toc19545"/>
      <w:bookmarkStart w:id="63" w:name="_Toc31362"/>
      <w:r>
        <w:rPr>
          <w:rFonts w:hint="eastAsia" w:hAnsi="Times New Roman" w:cs="Times New Roman"/>
          <w:sz w:val="21"/>
          <w:szCs w:val="21"/>
        </w:rPr>
        <w:t>试验要求</w:t>
      </w:r>
      <w:bookmarkEnd w:id="61"/>
      <w:bookmarkEnd w:id="62"/>
      <w:bookmarkEnd w:id="63"/>
      <w:r>
        <w:rPr>
          <w:rFonts w:hint="eastAsia" w:hAnsi="Times New Roman" w:cs="Times New Roman"/>
          <w:sz w:val="21"/>
          <w:szCs w:val="21"/>
        </w:rPr>
        <w:t xml:space="preserve"> </w:t>
      </w:r>
    </w:p>
    <w:p>
      <w:pPr>
        <w:pStyle w:val="34"/>
        <w:outlineLvl w:val="1"/>
        <w:rPr>
          <w:rFonts w:hint="eastAsia" w:hAnsi="Times New Roman" w:cs="Times New Roman"/>
          <w:sz w:val="21"/>
          <w:szCs w:val="21"/>
        </w:rPr>
      </w:pPr>
      <w:bookmarkStart w:id="64" w:name="_Toc8266"/>
      <w:r>
        <w:rPr>
          <w:rFonts w:hint="eastAsia" w:hAnsi="Times New Roman" w:cs="Times New Roman"/>
          <w:sz w:val="21"/>
          <w:szCs w:val="21"/>
        </w:rPr>
        <w:t>测试的一般要求</w:t>
      </w:r>
      <w:bookmarkEnd w:id="64"/>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测试环境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本标准中除气候环境试验以外，其他试验均在如下环境中进行：温度：23℃±3℃；相对湿度：40%～ 90% RH。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预处理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除非另有规定，被测标签应在测试环境中存放24h后再进行测试。 </w:t>
      </w:r>
    </w:p>
    <w:p>
      <w:pPr>
        <w:pStyle w:val="34"/>
        <w:outlineLvl w:val="1"/>
        <w:rPr>
          <w:rFonts w:hint="eastAsia" w:hAnsi="Times New Roman" w:cs="Times New Roman"/>
          <w:sz w:val="21"/>
          <w:szCs w:val="21"/>
        </w:rPr>
      </w:pPr>
      <w:bookmarkStart w:id="65" w:name="_Toc3364"/>
      <w:r>
        <w:rPr>
          <w:rFonts w:hint="eastAsia" w:hAnsi="Times New Roman" w:cs="Times New Roman"/>
          <w:sz w:val="21"/>
          <w:szCs w:val="21"/>
        </w:rPr>
        <w:t>直观检测</w:t>
      </w:r>
      <w:bookmarkEnd w:id="65"/>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外观检测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目测和手动检查标签的外观和版式。待测标签应满足4.4的要求。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尺寸测试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按要求采用准确度等级0.1mm以上的工具对标签尺寸进行测量。待测标签应满足4.6的要求。 </w:t>
      </w:r>
    </w:p>
    <w:p>
      <w:pPr>
        <w:pStyle w:val="34"/>
        <w:outlineLvl w:val="1"/>
        <w:rPr>
          <w:rFonts w:hint="eastAsia" w:hAnsi="Times New Roman" w:cs="Times New Roman"/>
          <w:sz w:val="21"/>
          <w:szCs w:val="21"/>
        </w:rPr>
      </w:pPr>
      <w:bookmarkStart w:id="66" w:name="_Toc23666"/>
      <w:r>
        <w:rPr>
          <w:rFonts w:hint="eastAsia" w:hAnsi="Times New Roman" w:cs="Times New Roman"/>
          <w:sz w:val="21"/>
          <w:szCs w:val="21"/>
        </w:rPr>
        <w:t>二维码印制质量测试</w:t>
      </w:r>
      <w:bookmarkEnd w:id="66"/>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硬质标签依据ISO/IEC 29158</w:t>
      </w:r>
      <w:r>
        <w:rPr>
          <w:rFonts w:hint="eastAsia" w:ascii="Times New Roman" w:hAnsi="宋体" w:eastAsia="宋体" w:cs="宋体"/>
          <w:sz w:val="21"/>
          <w:szCs w:val="21"/>
          <w:lang w:val="en-US" w:eastAsia="zh-CN"/>
        </w:rPr>
        <w:t>:2025</w:t>
      </w:r>
      <w:r>
        <w:rPr>
          <w:rFonts w:hint="eastAsia" w:ascii="Times New Roman" w:hAnsi="宋体" w:eastAsia="宋体" w:cs="宋体"/>
          <w:sz w:val="21"/>
          <w:szCs w:val="21"/>
        </w:rPr>
        <w:t>对二维码进行检测，柔性标签依据GB/T23704</w:t>
      </w:r>
      <w:r>
        <w:rPr>
          <w:rFonts w:hint="eastAsia" w:ascii="Times New Roman" w:hAnsi="宋体" w:eastAsia="宋体" w:cs="宋体"/>
          <w:sz w:val="21"/>
          <w:szCs w:val="21"/>
          <w:lang w:val="en-US" w:eastAsia="zh-CN"/>
        </w:rPr>
        <w:t>:2017</w:t>
      </w:r>
      <w:r>
        <w:rPr>
          <w:rFonts w:hint="eastAsia" w:ascii="Times New Roman" w:hAnsi="宋体" w:eastAsia="宋体" w:cs="宋体"/>
          <w:sz w:val="21"/>
          <w:szCs w:val="21"/>
        </w:rPr>
        <w:t xml:space="preserve">对二维码进行检测。标签表面二维码的印制等级应满足4.4的要求。 </w:t>
      </w:r>
    </w:p>
    <w:p>
      <w:pPr>
        <w:pStyle w:val="34"/>
        <w:outlineLvl w:val="1"/>
        <w:rPr>
          <w:rFonts w:hint="eastAsia" w:hAnsi="Times New Roman" w:cs="Times New Roman"/>
          <w:sz w:val="21"/>
          <w:szCs w:val="21"/>
        </w:rPr>
      </w:pPr>
      <w:bookmarkStart w:id="67" w:name="_Toc23461"/>
      <w:r>
        <w:rPr>
          <w:rFonts w:hint="eastAsia" w:hAnsi="Times New Roman" w:cs="Times New Roman"/>
          <w:sz w:val="21"/>
          <w:szCs w:val="21"/>
        </w:rPr>
        <w:t>物理性能试验</w:t>
      </w:r>
      <w:bookmarkEnd w:id="67"/>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温湿度测试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温度下限试验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样品预处理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为防止试验中受试样品结霜和凝露，允许将受试样品用聚乙烯薄膜密封后进行试验，必要时还可以在密封套内装吸潮剂。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工作温度下限试验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2423.1—2008中规定的“试验Ad”进行。严酷程度应符合5.1.1对工作温度下限值的规定。 </w:t>
      </w:r>
    </w:p>
    <w:p>
      <w:pPr>
        <w:pStyle w:val="18"/>
        <w:jc w:val="left"/>
        <w:rPr>
          <w:rFonts w:hint="eastAsia" w:ascii="宋体" w:hAnsi="宋体" w:eastAsia="宋体" w:cs="宋体"/>
          <w:sz w:val="20"/>
        </w:rPr>
      </w:pPr>
      <w:r>
        <w:rPr>
          <w:rFonts w:hint="eastAsia" w:ascii="宋体" w:hAnsi="宋体" w:eastAsia="宋体" w:cs="宋体"/>
          <w:sz w:val="20"/>
        </w:rPr>
        <w:t xml:space="preserve">对标签连续运行检查读写程序2h，受试样品应工作正常，恢复时间为2h。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贮存运输温度下限试验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2423.1—2008中规定的“试验Ab”进行。严酷程度应符合5.1.1对贮存运输温度下限值的规定，受试样品在不工作条件下存放16h，恢复时间为2h，再进行检测应能正常工作。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温度上限试验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工作温度上限试验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2423.2—2008规定的“试验Bd”进行。严酷程度应符合5.1.1对工作温度上限值的规定。对标签连续运行检查读写程序2h，受试样品应工作正常，恢复时间为2h。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贮存运输温度上限试验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2423.2—2008规定的“试验Bb”进行。严酷程度应符合5.1.1对贮存运输温度上限值的规定。受试样品在不工作条件下存放16h，恢复时间为2h，再进行检测应能正常工作。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高低温交变试验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按GB/T 2423.22—2012规定的“试验Nb”进行。标签应在符合5.1.1对工作温度下限值至上限值区间的变温环境下进行高低温交变测试。测试完成后，标签外观无变化、无起翘，读写距离满足5.2.</w:t>
      </w:r>
      <w:r>
        <w:rPr>
          <w:rFonts w:hint="eastAsia" w:ascii="Times New Roman" w:hAnsi="宋体" w:eastAsia="宋体" w:cs="宋体"/>
          <w:sz w:val="21"/>
          <w:szCs w:val="21"/>
          <w:lang w:val="en-US" w:eastAsia="zh-CN"/>
        </w:rPr>
        <w:t>3</w:t>
      </w:r>
      <w:r>
        <w:rPr>
          <w:rFonts w:hint="eastAsia" w:ascii="Times New Roman" w:hAnsi="宋体" w:eastAsia="宋体" w:cs="宋体"/>
          <w:sz w:val="21"/>
          <w:szCs w:val="21"/>
        </w:rPr>
        <w:t xml:space="preserve">中要求。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恒定湿热试验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工作条件下恒定湿热试验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按照GB/T 2423.3—20</w:t>
      </w:r>
      <w:r>
        <w:rPr>
          <w:rFonts w:hint="eastAsia" w:ascii="Times New Roman" w:hAnsi="宋体" w:eastAsia="宋体" w:cs="宋体"/>
          <w:sz w:val="21"/>
          <w:szCs w:val="21"/>
          <w:lang w:val="en-US" w:eastAsia="zh-CN"/>
        </w:rPr>
        <w:t>16</w:t>
      </w:r>
      <w:r>
        <w:rPr>
          <w:rFonts w:hint="eastAsia" w:ascii="Times New Roman" w:hAnsi="宋体" w:eastAsia="宋体" w:cs="宋体"/>
          <w:sz w:val="21"/>
          <w:szCs w:val="21"/>
        </w:rPr>
        <w:t xml:space="preserve">规定的“试验Cab”进行。按5.1.1规定的工作温度、湿热上限值的规定，对标签连续运行检查读写程序2h，受试样品应工作正常，恢复时间为2h。 </w:t>
      </w:r>
    </w:p>
    <w:p>
      <w:pPr>
        <w:pStyle w:val="34"/>
        <w:numPr>
          <w:ilvl w:val="4"/>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贮存运输条件下恒定湿热试验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按照GB/T 2423.3—20</w:t>
      </w:r>
      <w:r>
        <w:rPr>
          <w:rFonts w:hint="eastAsia" w:ascii="Times New Roman" w:hAnsi="宋体" w:eastAsia="宋体" w:cs="宋体"/>
          <w:sz w:val="21"/>
          <w:szCs w:val="21"/>
          <w:lang w:val="en-US" w:eastAsia="zh-CN"/>
        </w:rPr>
        <w:t>16</w:t>
      </w:r>
      <w:r>
        <w:rPr>
          <w:rFonts w:hint="eastAsia" w:ascii="Times New Roman" w:hAnsi="宋体" w:eastAsia="宋体" w:cs="宋体"/>
          <w:sz w:val="21"/>
          <w:szCs w:val="21"/>
        </w:rPr>
        <w:t xml:space="preserve">规定的“试验Cab”进行。按5.1.1规定的贮存运输温度、湿热上限值的规定，在不工作条件下存放48h，然后恢复到正常工作条件，恢复时间为2h，对标签连续进行读写测试，受试样品应工作正常。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阳光辐射防护测试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按GB/T 2423.24—20</w:t>
      </w:r>
      <w:r>
        <w:rPr>
          <w:rFonts w:hint="eastAsia" w:ascii="Times New Roman" w:hAnsi="宋体" w:eastAsia="宋体" w:cs="宋体"/>
          <w:sz w:val="21"/>
          <w:szCs w:val="21"/>
          <w:lang w:val="en-US" w:eastAsia="zh-CN"/>
        </w:rPr>
        <w:t>22</w:t>
      </w:r>
      <w:r>
        <w:rPr>
          <w:rFonts w:hint="eastAsia" w:ascii="Times New Roman" w:hAnsi="宋体" w:eastAsia="宋体" w:cs="宋体"/>
          <w:sz w:val="21"/>
          <w:szCs w:val="21"/>
        </w:rPr>
        <w:t xml:space="preserve">中7.2规定的方法进行测试，测试结果应满足5.1.2的要求。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振动测试 </w:t>
      </w:r>
    </w:p>
    <w:p>
      <w:pPr>
        <w:pStyle w:val="18"/>
        <w:rPr>
          <w:rFonts w:hint="eastAsia" w:ascii="Times New Roman" w:hAnsi="宋体" w:eastAsia="宋体" w:cs="宋体"/>
          <w:sz w:val="21"/>
          <w:szCs w:val="21"/>
        </w:rPr>
      </w:pPr>
      <w:r>
        <w:rPr>
          <w:rFonts w:hint="eastAsia" w:ascii="Times New Roman" w:hAnsi="宋体" w:eastAsia="宋体" w:cs="宋体"/>
          <w:sz w:val="21"/>
          <w:szCs w:val="21"/>
          <w:lang w:val="en-US" w:eastAsia="zh-CN"/>
        </w:rPr>
        <w:t>针对硬质标签，</w:t>
      </w:r>
      <w:r>
        <w:rPr>
          <w:rFonts w:hint="eastAsia" w:ascii="Times New Roman" w:hAnsi="宋体" w:eastAsia="宋体" w:cs="宋体"/>
          <w:sz w:val="21"/>
          <w:szCs w:val="21"/>
        </w:rPr>
        <w:t>按GB/T 2423.10—20</w:t>
      </w:r>
      <w:r>
        <w:rPr>
          <w:rFonts w:hint="eastAsia" w:ascii="Times New Roman" w:hAnsi="宋体" w:eastAsia="宋体" w:cs="宋体"/>
          <w:sz w:val="21"/>
          <w:szCs w:val="21"/>
          <w:lang w:val="en-US" w:eastAsia="zh-CN"/>
        </w:rPr>
        <w:t>19</w:t>
      </w:r>
      <w:r>
        <w:rPr>
          <w:rFonts w:hint="eastAsia" w:ascii="Times New Roman" w:hAnsi="宋体" w:eastAsia="宋体" w:cs="宋体"/>
          <w:sz w:val="21"/>
          <w:szCs w:val="21"/>
        </w:rPr>
        <w:t xml:space="preserve">中试验Fc进行测试，测试结果应满足5.1.3的要求。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冲击测试 </w:t>
      </w:r>
    </w:p>
    <w:p>
      <w:pPr>
        <w:pStyle w:val="18"/>
        <w:rPr>
          <w:rFonts w:hint="eastAsia" w:ascii="Times New Roman" w:hAnsi="宋体" w:eastAsia="宋体" w:cs="宋体"/>
          <w:sz w:val="21"/>
          <w:szCs w:val="21"/>
        </w:rPr>
      </w:pPr>
      <w:r>
        <w:rPr>
          <w:rFonts w:hint="eastAsia" w:ascii="Times New Roman" w:hAnsi="宋体" w:eastAsia="宋体" w:cs="宋体"/>
          <w:sz w:val="21"/>
          <w:szCs w:val="21"/>
          <w:lang w:val="en-US" w:eastAsia="zh-CN"/>
        </w:rPr>
        <w:t>针对硬质标签，</w:t>
      </w:r>
      <w:r>
        <w:rPr>
          <w:rFonts w:hint="eastAsia" w:ascii="Times New Roman" w:hAnsi="宋体" w:eastAsia="宋体" w:cs="宋体"/>
          <w:sz w:val="21"/>
          <w:szCs w:val="21"/>
        </w:rPr>
        <w:t>按GB/T 2423.5—20</w:t>
      </w:r>
      <w:r>
        <w:rPr>
          <w:rFonts w:hint="eastAsia" w:ascii="Times New Roman" w:hAnsi="宋体" w:eastAsia="宋体" w:cs="宋体"/>
          <w:sz w:val="21"/>
          <w:szCs w:val="21"/>
          <w:lang w:val="en-US" w:eastAsia="zh-CN"/>
        </w:rPr>
        <w:t>19</w:t>
      </w:r>
      <w:r>
        <w:rPr>
          <w:rFonts w:hint="eastAsia" w:ascii="Times New Roman" w:hAnsi="宋体" w:eastAsia="宋体" w:cs="宋体"/>
          <w:sz w:val="21"/>
          <w:szCs w:val="21"/>
        </w:rPr>
        <w:t xml:space="preserve">中试验Ea进行测试，测试结果应满足5.1.4的要求。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弯曲应力测试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针对柔性标签，将其向面纸方向卷曲（直径25mm）然后还原，再将标签向底纸方向卷曲（直径25mm）然后还原，如此往复10次后，测试结果应满足5.1.5的要求。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扭曲测试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针对柔性标签，标签进行旋转角度为15°的扭曲后，测试结果应满足5.1.6的要求。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标签胶粘特性测试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针对</w:t>
      </w:r>
      <w:r>
        <w:rPr>
          <w:rFonts w:hint="eastAsia" w:ascii="Times New Roman" w:hAnsi="宋体" w:eastAsia="宋体" w:cs="宋体"/>
          <w:sz w:val="21"/>
          <w:szCs w:val="21"/>
          <w:lang w:val="en-US" w:eastAsia="zh-CN"/>
        </w:rPr>
        <w:t>粘贴安装使用的标签，</w:t>
      </w:r>
      <w:r>
        <w:rPr>
          <w:rFonts w:hint="eastAsia" w:ascii="Times New Roman" w:hAnsi="宋体" w:eastAsia="宋体" w:cs="宋体"/>
          <w:sz w:val="21"/>
          <w:szCs w:val="21"/>
        </w:rPr>
        <w:t xml:space="preserve">按HG/T 2406—2014中5规定的相应方法进行测试，测试结果应满足5.1.7的要求。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密封性测试 </w:t>
      </w:r>
    </w:p>
    <w:p>
      <w:pPr>
        <w:pStyle w:val="18"/>
        <w:rPr>
          <w:rFonts w:hint="eastAsia" w:ascii="Times New Roman" w:hAnsi="宋体" w:eastAsia="宋体" w:cs="宋体"/>
          <w:sz w:val="21"/>
          <w:szCs w:val="21"/>
        </w:rPr>
      </w:pPr>
      <w:r>
        <w:rPr>
          <w:rFonts w:hint="eastAsia" w:ascii="Times New Roman" w:hAnsi="宋体" w:eastAsia="宋体" w:cs="宋体"/>
          <w:sz w:val="21"/>
          <w:szCs w:val="21"/>
          <w:lang w:val="en-US" w:eastAsia="zh-CN"/>
        </w:rPr>
        <w:t>针对硬质标签，</w:t>
      </w:r>
      <w:r>
        <w:rPr>
          <w:rFonts w:hint="eastAsia" w:ascii="Times New Roman" w:hAnsi="宋体" w:eastAsia="宋体" w:cs="宋体"/>
          <w:sz w:val="21"/>
          <w:szCs w:val="21"/>
        </w:rPr>
        <w:t>按GB/T 4208—20</w:t>
      </w:r>
      <w:r>
        <w:rPr>
          <w:rFonts w:hint="eastAsia" w:ascii="Times New Roman" w:hAnsi="宋体" w:eastAsia="宋体" w:cs="宋体"/>
          <w:sz w:val="21"/>
          <w:szCs w:val="21"/>
          <w:lang w:val="en-US" w:eastAsia="zh-CN"/>
        </w:rPr>
        <w:t>17</w:t>
      </w:r>
      <w:r>
        <w:rPr>
          <w:rFonts w:hint="eastAsia" w:ascii="Times New Roman" w:hAnsi="宋体" w:eastAsia="宋体" w:cs="宋体"/>
          <w:sz w:val="21"/>
          <w:szCs w:val="21"/>
        </w:rPr>
        <w:t xml:space="preserve">中11规定的相应方法进行测试，测试结果应满足5.1.8的要求。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盐雾测试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2423.17中6规定的试验方法进行测试，试验周期为96h。进行目测检查，标签外观无变化，读写性能正常。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阻燃测试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按GB/T 2408—</w:t>
      </w:r>
      <w:r>
        <w:rPr>
          <w:rFonts w:hint="eastAsia" w:ascii="Times New Roman" w:hAnsi="宋体" w:eastAsia="宋体" w:cs="宋体"/>
          <w:sz w:val="21"/>
          <w:szCs w:val="21"/>
          <w:lang w:val="en-US" w:eastAsia="zh-CN"/>
        </w:rPr>
        <w:t>2021</w:t>
      </w:r>
      <w:r>
        <w:rPr>
          <w:rFonts w:hint="eastAsia" w:ascii="Times New Roman" w:hAnsi="宋体" w:eastAsia="宋体" w:cs="宋体"/>
          <w:sz w:val="21"/>
          <w:szCs w:val="21"/>
        </w:rPr>
        <w:t>中9规定的试验方法进行测试，测试结果应满足5.1.10的要求。</w:t>
      </w:r>
    </w:p>
    <w:p>
      <w:pPr>
        <w:pStyle w:val="34"/>
        <w:outlineLvl w:val="1"/>
        <w:rPr>
          <w:rFonts w:hint="eastAsia" w:hAnsi="Times New Roman" w:cs="Times New Roman"/>
          <w:sz w:val="21"/>
          <w:szCs w:val="21"/>
        </w:rPr>
      </w:pPr>
      <w:bookmarkStart w:id="68" w:name="_Toc19111"/>
      <w:r>
        <w:rPr>
          <w:rFonts w:hint="eastAsia" w:hAnsi="Times New Roman" w:cs="Times New Roman"/>
          <w:sz w:val="21"/>
          <w:szCs w:val="21"/>
        </w:rPr>
        <w:t>电性能试验</w:t>
      </w:r>
      <w:bookmarkEnd w:id="68"/>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电磁兼容抗扰度试验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一般要求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以下试验规定了标签的电磁兼容性试验方法。待测标签按照下列规定的各项测试项目进行测试，在无特殊规定情况下，试验时和试验后标签应均能正常工作，识别及读写功能正常，标签的识读率应满足≥90%。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静电放电抗扰度试验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按GB/T 17626.2—20</w:t>
      </w:r>
      <w:r>
        <w:rPr>
          <w:rFonts w:hint="eastAsia" w:ascii="Times New Roman" w:hAnsi="宋体" w:eastAsia="宋体" w:cs="宋体"/>
          <w:sz w:val="21"/>
          <w:szCs w:val="21"/>
          <w:lang w:val="en-US" w:eastAsia="zh-CN"/>
        </w:rPr>
        <w:t>18</w:t>
      </w:r>
      <w:r>
        <w:rPr>
          <w:rFonts w:hint="eastAsia" w:ascii="Times New Roman" w:hAnsi="宋体" w:eastAsia="宋体" w:cs="宋体"/>
          <w:sz w:val="21"/>
          <w:szCs w:val="21"/>
        </w:rPr>
        <w:t>中5规定的空气放电严酷等级</w:t>
      </w:r>
      <w:r>
        <w:rPr>
          <w:rFonts w:hint="eastAsia" w:ascii="Times New Roman" w:hAnsi="宋体" w:eastAsia="宋体" w:cs="宋体"/>
          <w:sz w:val="21"/>
          <w:szCs w:val="21"/>
          <w:lang w:val="en-US" w:eastAsia="zh-CN"/>
        </w:rPr>
        <w:t>1</w:t>
      </w:r>
      <w:r>
        <w:rPr>
          <w:rFonts w:hint="eastAsia" w:ascii="Times New Roman" w:hAnsi="宋体" w:eastAsia="宋体" w:cs="宋体"/>
          <w:sz w:val="21"/>
          <w:szCs w:val="21"/>
        </w:rPr>
        <w:t xml:space="preserve">的试验方法进行测试，对标签进行识别功能试验、识别性能试验，测试结果应满足5.2.6.1的要求。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射频电磁场辐射抗扰度试验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按GB/T 17626.3—20</w:t>
      </w:r>
      <w:r>
        <w:rPr>
          <w:rFonts w:hint="eastAsia" w:ascii="Times New Roman" w:hAnsi="宋体" w:eastAsia="宋体" w:cs="宋体"/>
          <w:sz w:val="21"/>
          <w:szCs w:val="21"/>
          <w:lang w:val="en-US" w:eastAsia="zh-CN"/>
        </w:rPr>
        <w:t>23</w:t>
      </w:r>
      <w:r>
        <w:rPr>
          <w:rFonts w:hint="eastAsia" w:ascii="Times New Roman" w:hAnsi="宋体" w:eastAsia="宋体" w:cs="宋体"/>
          <w:sz w:val="21"/>
          <w:szCs w:val="21"/>
        </w:rPr>
        <w:t xml:space="preserve"> 5.1中严酷等级2规定的一般试验要求及5.2中严酷等级2规定的频率范围为1.4GHz～6GHz的抵抗数字无线电话射频辐射试验要求进行测试，对标签进行识别功能试验、识别性能试验，测试结果应满足5.2.6.2的要求。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工频磁场抗扰度试验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17626.8—2006中规定的试验条件，对标签进行识别功能试验、识别性能试验。测试结果应满足5.2.6.3的要求。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脉冲磁场抗扰度试验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按GB/T 17626.9—2011中规定的试验条件，对标签进行识别功能试验、识别性能试验。测试结果应满足5.2.6.4的要求。 </w:t>
      </w:r>
    </w:p>
    <w:p>
      <w:pPr>
        <w:pStyle w:val="34"/>
        <w:numPr>
          <w:ilvl w:val="3"/>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阻尼振荡磁场抗扰度试验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按GB/T 17626.10—20</w:t>
      </w:r>
      <w:r>
        <w:rPr>
          <w:rFonts w:hint="eastAsia" w:ascii="Times New Roman" w:hAnsi="宋体" w:eastAsia="宋体" w:cs="宋体"/>
          <w:sz w:val="21"/>
          <w:szCs w:val="21"/>
          <w:lang w:val="en-US" w:eastAsia="zh-CN"/>
        </w:rPr>
        <w:t>17</w:t>
      </w:r>
      <w:r>
        <w:rPr>
          <w:rFonts w:hint="eastAsia" w:ascii="Times New Roman" w:hAnsi="宋体" w:eastAsia="宋体" w:cs="宋体"/>
          <w:sz w:val="21"/>
          <w:szCs w:val="21"/>
        </w:rPr>
        <w:t xml:space="preserve">中规定的试验条件，对标签进行识别功能试验、识别性能试验。测试结果应满足5.2.6.5的要求。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擦写次数试验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按JESD22—A117</w:t>
      </w:r>
      <w:r>
        <w:rPr>
          <w:rFonts w:hint="eastAsia" w:ascii="Times New Roman" w:hAnsi="宋体" w:eastAsia="宋体" w:cs="宋体"/>
          <w:sz w:val="21"/>
          <w:szCs w:val="21"/>
          <w:lang w:val="en-US" w:eastAsia="zh-CN"/>
        </w:rPr>
        <w:t>E</w:t>
      </w:r>
      <w:r>
        <w:rPr>
          <w:rFonts w:hint="eastAsia" w:ascii="Times New Roman" w:hAnsi="宋体" w:eastAsia="宋体" w:cs="宋体"/>
          <w:sz w:val="21"/>
          <w:szCs w:val="21"/>
        </w:rPr>
        <w:t>中规定的试验条件，在工作温度的上限和下限分别用读写设备对标签的所有可写内存区分别进行10万次擦写操作。测试结果应满足5.2.</w:t>
      </w:r>
      <w:r>
        <w:rPr>
          <w:rFonts w:hint="eastAsia" w:ascii="Times New Roman" w:hAnsi="宋体" w:eastAsia="宋体" w:cs="宋体"/>
          <w:sz w:val="21"/>
          <w:szCs w:val="21"/>
          <w:lang w:val="en-US" w:eastAsia="zh-CN"/>
        </w:rPr>
        <w:t>4</w:t>
      </w:r>
      <w:r>
        <w:rPr>
          <w:rFonts w:hint="eastAsia" w:ascii="Times New Roman" w:hAnsi="宋体" w:eastAsia="宋体" w:cs="宋体"/>
          <w:sz w:val="21"/>
          <w:szCs w:val="21"/>
        </w:rPr>
        <w:t xml:space="preserve">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数据保持试验 </w:t>
      </w:r>
    </w:p>
    <w:p>
      <w:pPr>
        <w:pStyle w:val="18"/>
        <w:rPr>
          <w:rFonts w:hint="eastAsia" w:ascii="Times New Roman" w:hAnsi="宋体" w:eastAsia="宋体" w:cs="宋体"/>
          <w:sz w:val="21"/>
          <w:szCs w:val="21"/>
        </w:rPr>
      </w:pPr>
      <w:r>
        <w:rPr>
          <w:rFonts w:hint="eastAsia" w:ascii="Times New Roman" w:hAnsi="宋体" w:eastAsia="宋体" w:cs="宋体"/>
          <w:sz w:val="21"/>
          <w:szCs w:val="21"/>
        </w:rPr>
        <w:t>按JESD22—A117</w:t>
      </w:r>
      <w:r>
        <w:rPr>
          <w:rFonts w:hint="eastAsia" w:ascii="Times New Roman" w:hAnsi="宋体" w:eastAsia="宋体" w:cs="宋体"/>
          <w:sz w:val="21"/>
          <w:szCs w:val="21"/>
          <w:lang w:val="en-US" w:eastAsia="zh-CN"/>
        </w:rPr>
        <w:t>E</w:t>
      </w:r>
      <w:r>
        <w:rPr>
          <w:rFonts w:hint="eastAsia" w:ascii="Times New Roman" w:hAnsi="宋体" w:eastAsia="宋体" w:cs="宋体"/>
          <w:sz w:val="21"/>
          <w:szCs w:val="21"/>
        </w:rPr>
        <w:t>中规定的试验条件对标签进行测试，测试结果应满足5.2.</w:t>
      </w:r>
      <w:r>
        <w:rPr>
          <w:rFonts w:hint="eastAsia" w:ascii="Times New Roman" w:hAnsi="宋体" w:eastAsia="宋体" w:cs="宋体"/>
          <w:sz w:val="21"/>
          <w:szCs w:val="21"/>
          <w:lang w:val="en-US" w:eastAsia="zh-CN"/>
        </w:rPr>
        <w:t>5</w:t>
      </w:r>
      <w:r>
        <w:rPr>
          <w:rFonts w:hint="eastAsia" w:ascii="Times New Roman" w:hAnsi="宋体" w:eastAsia="宋体" w:cs="宋体"/>
          <w:sz w:val="21"/>
          <w:szCs w:val="21"/>
        </w:rPr>
        <w:t xml:space="preserve">的要求。 </w:t>
      </w:r>
    </w:p>
    <w:p>
      <w:pPr>
        <w:pStyle w:val="34"/>
        <w:outlineLvl w:val="1"/>
        <w:rPr>
          <w:rFonts w:hint="eastAsia" w:hAnsi="Times New Roman" w:cs="Times New Roman"/>
          <w:sz w:val="21"/>
          <w:szCs w:val="21"/>
        </w:rPr>
      </w:pPr>
      <w:r>
        <w:rPr>
          <w:rFonts w:hint="eastAsia" w:hAnsi="Times New Roman" w:cs="Times New Roman"/>
          <w:sz w:val="21"/>
          <w:szCs w:val="21"/>
        </w:rPr>
        <w:t xml:space="preserve">通信试验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试验场地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试验应在微波暗室中进行；部分实时性测试应在标签实际使用环境中进行。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试验系统 </w:t>
      </w:r>
    </w:p>
    <w:p>
      <w:pPr>
        <w:pStyle w:val="18"/>
        <w:rPr>
          <w:rFonts w:hint="eastAsia" w:ascii="Times New Roman" w:hAnsi="宋体" w:eastAsia="宋体" w:cs="宋体"/>
          <w:sz w:val="21"/>
          <w:szCs w:val="21"/>
        </w:rPr>
      </w:pPr>
      <w:r>
        <w:rPr>
          <w:rFonts w:hint="eastAsia" w:ascii="Times New Roman" w:hAnsi="宋体" w:eastAsia="宋体" w:cs="宋体"/>
          <w:sz w:val="21"/>
          <w:szCs w:val="21"/>
        </w:rPr>
        <w:t>超高频试验系统应符合GB/T 35102—2017中4的要求。</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高频试验系统应符合ISO/IEC 18047-3:2022中5的要求。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试验布置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常规被测标签需贴置在实体安装材料上进行检测。 </w:t>
      </w:r>
    </w:p>
    <w:p>
      <w:pPr>
        <w:pStyle w:val="34"/>
        <w:numPr>
          <w:ilvl w:val="2"/>
          <w:numId w:val="2"/>
        </w:numPr>
        <w:ind w:left="0" w:leftChars="0" w:firstLine="0" w:firstLineChars="0"/>
        <w:outlineLvl w:val="1"/>
        <w:rPr>
          <w:rFonts w:hint="eastAsia" w:hAnsi="Times New Roman" w:cs="Times New Roman"/>
          <w:color w:val="auto"/>
          <w:sz w:val="21"/>
          <w:szCs w:val="21"/>
        </w:rPr>
      </w:pPr>
      <w:r>
        <w:rPr>
          <w:rFonts w:hint="eastAsia" w:hAnsi="Times New Roman" w:cs="Times New Roman"/>
          <w:color w:val="auto"/>
          <w:sz w:val="21"/>
          <w:szCs w:val="21"/>
        </w:rPr>
        <w:t>通信性能试验</w:t>
      </w:r>
    </w:p>
    <w:p>
      <w:pPr>
        <w:pStyle w:val="18"/>
        <w:rPr>
          <w:rFonts w:hint="eastAsia" w:ascii="Times New Roman" w:hAnsi="宋体" w:eastAsia="宋体" w:cs="宋体"/>
          <w:color w:val="auto"/>
          <w:sz w:val="21"/>
          <w:szCs w:val="21"/>
        </w:rPr>
      </w:pPr>
      <w:r>
        <w:rPr>
          <w:rFonts w:hint="eastAsia" w:ascii="Times New Roman" w:hAnsi="宋体" w:eastAsia="宋体" w:cs="宋体"/>
          <w:color w:val="auto"/>
          <w:sz w:val="21"/>
          <w:szCs w:val="21"/>
        </w:rPr>
        <w:t>按照GB/T 35102—2017和ISO/IEC 18047-3:2022的相关要求进行。测试结果应满足5.</w:t>
      </w:r>
      <w:r>
        <w:rPr>
          <w:rFonts w:hint="eastAsia" w:ascii="Times New Roman" w:hAnsi="宋体" w:eastAsia="宋体" w:cs="宋体"/>
          <w:color w:val="auto"/>
          <w:sz w:val="21"/>
          <w:szCs w:val="21"/>
          <w:lang w:val="en-US" w:eastAsia="zh-CN"/>
        </w:rPr>
        <w:t>2.1</w:t>
      </w:r>
      <w:r>
        <w:rPr>
          <w:rFonts w:hint="eastAsia" w:ascii="Times New Roman" w:hAnsi="宋体" w:eastAsia="宋体" w:cs="宋体"/>
          <w:color w:val="auto"/>
          <w:sz w:val="21"/>
          <w:szCs w:val="21"/>
        </w:rPr>
        <w:t xml:space="preserve">的要求。 </w:t>
      </w:r>
    </w:p>
    <w:p>
      <w:pPr>
        <w:pStyle w:val="34"/>
        <w:outlineLvl w:val="1"/>
        <w:rPr>
          <w:rFonts w:hint="eastAsia" w:hAnsi="Times New Roman" w:cs="Times New Roman"/>
          <w:color w:val="auto"/>
          <w:sz w:val="21"/>
          <w:szCs w:val="21"/>
        </w:rPr>
      </w:pPr>
      <w:r>
        <w:rPr>
          <w:rFonts w:hint="eastAsia" w:hAnsi="Times New Roman" w:cs="Times New Roman"/>
          <w:color w:val="auto"/>
          <w:sz w:val="21"/>
          <w:szCs w:val="21"/>
        </w:rPr>
        <w:t xml:space="preserve">编码和存储 </w:t>
      </w:r>
    </w:p>
    <w:p>
      <w:pPr>
        <w:pStyle w:val="18"/>
        <w:rPr>
          <w:rFonts w:hint="eastAsia" w:ascii="Times New Roman" w:hAnsi="宋体" w:eastAsia="宋体" w:cs="宋体"/>
          <w:color w:val="auto"/>
          <w:sz w:val="21"/>
          <w:szCs w:val="21"/>
        </w:rPr>
      </w:pPr>
      <w:r>
        <w:rPr>
          <w:rFonts w:hint="eastAsia" w:ascii="Times New Roman" w:hAnsi="宋体" w:eastAsia="宋体" w:cs="宋体"/>
          <w:color w:val="auto"/>
          <w:sz w:val="21"/>
          <w:szCs w:val="21"/>
        </w:rPr>
        <w:t xml:space="preserve">通过读写器对标签内的编码进行读取，标签中的数据内容和编码规则应满足5.3的要求。 </w:t>
      </w:r>
    </w:p>
    <w:p>
      <w:pPr>
        <w:pStyle w:val="34"/>
        <w:outlineLvl w:val="1"/>
        <w:rPr>
          <w:rFonts w:hint="eastAsia" w:hAnsi="Times New Roman" w:cs="Times New Roman"/>
          <w:sz w:val="21"/>
          <w:szCs w:val="21"/>
        </w:rPr>
      </w:pPr>
      <w:r>
        <w:rPr>
          <w:rFonts w:hint="eastAsia" w:hAnsi="Times New Roman" w:cs="Times New Roman"/>
          <w:sz w:val="21"/>
          <w:szCs w:val="21"/>
          <w:lang w:val="en-US" w:eastAsia="zh-CN"/>
        </w:rPr>
        <w:t>安全防护试验</w:t>
      </w:r>
      <w:r>
        <w:rPr>
          <w:rFonts w:hint="eastAsia" w:hAnsi="Times New Roman" w:cs="Times New Roman"/>
          <w:sz w:val="21"/>
          <w:szCs w:val="21"/>
        </w:rPr>
        <w:t xml:space="preserve">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安全鉴别 </w:t>
      </w:r>
    </w:p>
    <w:p>
      <w:pPr>
        <w:pStyle w:val="18"/>
        <w:jc w:val="left"/>
        <w:rPr>
          <w:rFonts w:hint="eastAsia" w:ascii="Times New Roman" w:hAnsi="宋体" w:eastAsia="宋体" w:cs="宋体"/>
          <w:sz w:val="21"/>
          <w:szCs w:val="21"/>
        </w:rPr>
      </w:pPr>
      <w:r>
        <w:rPr>
          <w:rFonts w:hint="eastAsia" w:ascii="Times New Roman" w:hAnsi="宋体" w:eastAsia="宋体" w:cs="宋体"/>
          <w:sz w:val="21"/>
          <w:szCs w:val="21"/>
        </w:rPr>
        <w:t>试验步骤、判定方法按以下进行：</w:t>
      </w:r>
    </w:p>
    <w:p>
      <w:pPr>
        <w:pStyle w:val="50"/>
        <w:numPr>
          <w:ilvl w:val="0"/>
          <w:numId w:val="13"/>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使用对称密码算法</w:t>
      </w:r>
      <w:r>
        <w:rPr>
          <w:rFonts w:hint="default" w:ascii="Times New Roman" w:hAnsi="宋体" w:eastAsia="宋体" w:cs="宋体"/>
          <w:sz w:val="21"/>
          <w:szCs w:val="21"/>
          <w:lang w:val="en-US" w:eastAsia="zh-CN" w:bidi="ar-SA"/>
        </w:rPr>
        <w:t>SM7</w:t>
      </w:r>
      <w:r>
        <w:rPr>
          <w:rFonts w:hint="eastAsia" w:ascii="Times New Roman" w:hAnsi="宋体" w:eastAsia="宋体" w:cs="宋体"/>
          <w:sz w:val="21"/>
          <w:szCs w:val="21"/>
          <w:lang w:val="en-US" w:eastAsia="zh-CN" w:bidi="ar-SA"/>
        </w:rPr>
        <w:t xml:space="preserve">和错误的密钥，对标签进行安全鉴别，标签应不能通过安全鉴别； </w:t>
      </w:r>
    </w:p>
    <w:p>
      <w:pPr>
        <w:pStyle w:val="50"/>
        <w:numPr>
          <w:ilvl w:val="0"/>
          <w:numId w:val="13"/>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使用对称密码算法</w:t>
      </w:r>
      <w:r>
        <w:rPr>
          <w:rFonts w:hint="default" w:ascii="Times New Roman" w:hAnsi="宋体" w:eastAsia="宋体" w:cs="宋体"/>
          <w:sz w:val="21"/>
          <w:szCs w:val="21"/>
          <w:lang w:val="en-US" w:eastAsia="zh-CN" w:bidi="ar-SA"/>
        </w:rPr>
        <w:t>SM7</w:t>
      </w:r>
      <w:r>
        <w:rPr>
          <w:rFonts w:hint="eastAsia" w:ascii="Times New Roman" w:hAnsi="宋体" w:eastAsia="宋体" w:cs="宋体"/>
          <w:sz w:val="21"/>
          <w:szCs w:val="21"/>
          <w:lang w:val="en-US" w:eastAsia="zh-CN" w:bidi="ar-SA"/>
        </w:rPr>
        <w:t xml:space="preserve">和电力公司用电信息密码基础设施中的密钥，对标签进行安全鉴别，标签应通过安全鉴别。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信息存储安全 </w:t>
      </w:r>
    </w:p>
    <w:p>
      <w:pPr>
        <w:pStyle w:val="18"/>
        <w:jc w:val="left"/>
        <w:rPr>
          <w:rFonts w:hint="eastAsia" w:ascii="Times New Roman" w:hAnsi="宋体" w:eastAsia="宋体" w:cs="宋体"/>
          <w:sz w:val="21"/>
          <w:szCs w:val="21"/>
        </w:rPr>
      </w:pPr>
      <w:r>
        <w:rPr>
          <w:rFonts w:hint="eastAsia" w:ascii="Times New Roman" w:hAnsi="宋体" w:eastAsia="宋体" w:cs="宋体"/>
          <w:sz w:val="21"/>
          <w:szCs w:val="21"/>
        </w:rPr>
        <w:t>试验步骤、判定方法按以下进行：</w:t>
      </w:r>
    </w:p>
    <w:p>
      <w:pPr>
        <w:pStyle w:val="50"/>
        <w:numPr>
          <w:ilvl w:val="0"/>
          <w:numId w:val="14"/>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使用对称密码算法</w:t>
      </w:r>
      <w:r>
        <w:rPr>
          <w:rFonts w:hint="default" w:ascii="Times New Roman" w:hAnsi="宋体" w:eastAsia="宋体" w:cs="宋体"/>
          <w:sz w:val="21"/>
          <w:szCs w:val="21"/>
          <w:lang w:val="en-US" w:eastAsia="zh-CN" w:bidi="ar-SA"/>
        </w:rPr>
        <w:t>SM</w:t>
      </w:r>
      <w:r>
        <w:rPr>
          <w:rFonts w:hint="eastAsia" w:ascii="Times New Roman" w:hAnsi="宋体" w:eastAsia="宋体" w:cs="宋体"/>
          <w:sz w:val="21"/>
          <w:szCs w:val="21"/>
          <w:lang w:val="en-US" w:eastAsia="zh-CN" w:bidi="ar-SA"/>
        </w:rPr>
        <w:t>7和错误的密钥，读取标签内的</w:t>
      </w:r>
      <w:r>
        <w:rPr>
          <w:rFonts w:hint="default" w:ascii="Times New Roman" w:hAnsi="宋体" w:eastAsia="宋体" w:cs="宋体"/>
          <w:sz w:val="21"/>
          <w:szCs w:val="21"/>
          <w:lang w:val="en-US" w:eastAsia="zh-CN" w:bidi="ar-SA"/>
        </w:rPr>
        <w:t>MAC</w:t>
      </w:r>
      <w:r>
        <w:rPr>
          <w:rFonts w:hint="eastAsia" w:ascii="Times New Roman" w:hAnsi="宋体" w:eastAsia="宋体" w:cs="宋体"/>
          <w:sz w:val="21"/>
          <w:szCs w:val="21"/>
          <w:lang w:val="en-US" w:eastAsia="zh-CN" w:bidi="ar-SA"/>
        </w:rPr>
        <w:t>校验码并进行验证，</w:t>
      </w:r>
      <w:r>
        <w:rPr>
          <w:rFonts w:hint="default" w:ascii="Times New Roman" w:hAnsi="宋体" w:eastAsia="宋体" w:cs="宋体"/>
          <w:sz w:val="21"/>
          <w:szCs w:val="21"/>
          <w:lang w:val="en-US" w:eastAsia="zh-CN" w:bidi="ar-SA"/>
        </w:rPr>
        <w:t>MAC</w:t>
      </w:r>
      <w:r>
        <w:rPr>
          <w:rFonts w:hint="eastAsia" w:ascii="Times New Roman" w:hAnsi="宋体" w:eastAsia="宋体" w:cs="宋体"/>
          <w:sz w:val="21"/>
          <w:szCs w:val="21"/>
          <w:lang w:val="en-US" w:eastAsia="zh-CN" w:bidi="ar-SA"/>
        </w:rPr>
        <w:t xml:space="preserve">校验码验证不通过，读取标签内的敏感信息并解密验证，数据应无法正常解密； </w:t>
      </w:r>
    </w:p>
    <w:p>
      <w:pPr>
        <w:pStyle w:val="50"/>
        <w:numPr>
          <w:ilvl w:val="0"/>
          <w:numId w:val="14"/>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使用对称密码算法</w:t>
      </w:r>
      <w:r>
        <w:rPr>
          <w:rFonts w:hint="default" w:ascii="Times New Roman" w:hAnsi="宋体" w:eastAsia="宋体" w:cs="宋体"/>
          <w:sz w:val="21"/>
          <w:szCs w:val="21"/>
          <w:lang w:val="en-US" w:eastAsia="zh-CN" w:bidi="ar-SA"/>
        </w:rPr>
        <w:t>SM</w:t>
      </w:r>
      <w:r>
        <w:rPr>
          <w:rFonts w:hint="eastAsia" w:ascii="Times New Roman" w:hAnsi="宋体" w:eastAsia="宋体" w:cs="宋体"/>
          <w:sz w:val="21"/>
          <w:szCs w:val="21"/>
          <w:lang w:val="en-US" w:eastAsia="zh-CN" w:bidi="ar-SA"/>
        </w:rPr>
        <w:t>7和电力公司用电信息密码基础设施中的密钥，读取标签内的</w:t>
      </w:r>
      <w:r>
        <w:rPr>
          <w:rFonts w:hint="default" w:ascii="Times New Roman" w:hAnsi="宋体" w:eastAsia="宋体" w:cs="宋体"/>
          <w:sz w:val="21"/>
          <w:szCs w:val="21"/>
          <w:lang w:val="en-US" w:eastAsia="zh-CN" w:bidi="ar-SA"/>
        </w:rPr>
        <w:t xml:space="preserve">MAC </w:t>
      </w:r>
      <w:r>
        <w:rPr>
          <w:rFonts w:hint="eastAsia" w:ascii="Times New Roman" w:hAnsi="宋体" w:eastAsia="宋体" w:cs="宋体"/>
          <w:sz w:val="21"/>
          <w:szCs w:val="21"/>
          <w:lang w:val="en-US" w:eastAsia="zh-CN" w:bidi="ar-SA"/>
        </w:rPr>
        <w:t>校验码并进行验证，</w:t>
      </w:r>
      <w:r>
        <w:rPr>
          <w:rFonts w:hint="default" w:ascii="Times New Roman" w:hAnsi="宋体" w:eastAsia="宋体" w:cs="宋体"/>
          <w:sz w:val="21"/>
          <w:szCs w:val="21"/>
          <w:lang w:val="en-US" w:eastAsia="zh-CN" w:bidi="ar-SA"/>
        </w:rPr>
        <w:t>MAC</w:t>
      </w:r>
      <w:r>
        <w:rPr>
          <w:rFonts w:hint="eastAsia" w:ascii="Times New Roman" w:hAnsi="宋体" w:eastAsia="宋体" w:cs="宋体"/>
          <w:sz w:val="21"/>
          <w:szCs w:val="21"/>
          <w:lang w:val="en-US" w:eastAsia="zh-CN" w:bidi="ar-SA"/>
        </w:rPr>
        <w:t xml:space="preserve">校验码应正确无误，读取标签内的敏感信息并解密验证，解密后的数据应正确无误。 </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 xml:space="preserve">访问控制安全 </w:t>
      </w:r>
    </w:p>
    <w:p>
      <w:pPr>
        <w:pStyle w:val="18"/>
        <w:jc w:val="left"/>
        <w:rPr>
          <w:rFonts w:ascii="宋体" w:hAnsi="宋体" w:eastAsia="宋体" w:cs="宋体"/>
          <w:b w:val="0"/>
          <w:bCs w:val="0"/>
          <w:color w:val="000000"/>
          <w:sz w:val="21"/>
          <w:szCs w:val="21"/>
        </w:rPr>
      </w:pPr>
      <w:r>
        <w:rPr>
          <w:rFonts w:ascii="宋体" w:hAnsi="宋体" w:eastAsia="宋体" w:cs="宋体"/>
          <w:b w:val="0"/>
          <w:bCs w:val="0"/>
          <w:color w:val="000000"/>
          <w:sz w:val="21"/>
          <w:szCs w:val="21"/>
        </w:rPr>
        <w:t>试验步骤、判定方法按以下进行：</w:t>
      </w:r>
    </w:p>
    <w:p>
      <w:pPr>
        <w:pStyle w:val="50"/>
        <w:numPr>
          <w:ilvl w:val="0"/>
          <w:numId w:val="15"/>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不对标签进行安全鉴别，直接修改标签用户数据区中数据，应不能成功修改用户数据区数据；</w:t>
      </w:r>
    </w:p>
    <w:p>
      <w:pPr>
        <w:pStyle w:val="50"/>
        <w:numPr>
          <w:ilvl w:val="0"/>
          <w:numId w:val="15"/>
        </w:numPr>
        <w:tabs>
          <w:tab w:val="left" w:pos="846"/>
        </w:tabs>
        <w:rPr>
          <w:rFonts w:hint="eastAsia" w:ascii="Times New Roman" w:hAnsi="宋体" w:eastAsia="宋体" w:cs="宋体"/>
          <w:sz w:val="21"/>
          <w:szCs w:val="21"/>
          <w:lang w:val="en-US" w:eastAsia="zh-CN" w:bidi="ar-SA"/>
        </w:rPr>
      </w:pPr>
      <w:r>
        <w:rPr>
          <w:rFonts w:hint="eastAsia" w:ascii="Times New Roman" w:hAnsi="宋体" w:eastAsia="宋体" w:cs="宋体"/>
          <w:sz w:val="21"/>
          <w:szCs w:val="21"/>
          <w:lang w:val="en-US" w:eastAsia="zh-CN" w:bidi="ar-SA"/>
        </w:rPr>
        <w:t>对标签进行安全鉴别，通过后，修改标签用户数据区中数据，应能成功修改用户数据区数据。</w:t>
      </w:r>
    </w:p>
    <w:p>
      <w:pPr>
        <w:pStyle w:val="36"/>
        <w:outlineLvl w:val="0"/>
        <w:rPr>
          <w:rFonts w:hint="eastAsia" w:hAnsi="Times New Roman" w:cs="Times New Roman"/>
          <w:sz w:val="21"/>
          <w:szCs w:val="21"/>
        </w:rPr>
      </w:pPr>
      <w:bookmarkStart w:id="69" w:name="_Toc18301"/>
      <w:bookmarkStart w:id="70" w:name="_Toc1586"/>
      <w:bookmarkStart w:id="71" w:name="_Toc28683"/>
      <w:r>
        <w:rPr>
          <w:rFonts w:hint="eastAsia" w:hAnsi="Times New Roman" w:cs="Times New Roman"/>
          <w:sz w:val="21"/>
          <w:szCs w:val="21"/>
        </w:rPr>
        <w:t>检验规则</w:t>
      </w:r>
      <w:bookmarkEnd w:id="69"/>
      <w:bookmarkEnd w:id="70"/>
      <w:bookmarkEnd w:id="71"/>
      <w:r>
        <w:rPr>
          <w:rFonts w:hint="eastAsia" w:hAnsi="Times New Roman" w:cs="Times New Roman"/>
          <w:sz w:val="21"/>
          <w:szCs w:val="21"/>
        </w:rPr>
        <w:t xml:space="preserve"> </w:t>
      </w:r>
    </w:p>
    <w:p>
      <w:pPr>
        <w:pStyle w:val="34"/>
        <w:outlineLvl w:val="1"/>
        <w:rPr>
          <w:rFonts w:hint="eastAsia" w:hAnsi="Times New Roman" w:cs="Times New Roman"/>
          <w:sz w:val="21"/>
          <w:szCs w:val="21"/>
        </w:rPr>
      </w:pPr>
      <w:bookmarkStart w:id="72" w:name="_Toc22971"/>
      <w:r>
        <w:rPr>
          <w:rFonts w:hint="eastAsia" w:hAnsi="Times New Roman" w:cs="Times New Roman"/>
          <w:sz w:val="21"/>
          <w:szCs w:val="21"/>
        </w:rPr>
        <w:t>综述</w:t>
      </w:r>
      <w:bookmarkEnd w:id="72"/>
      <w:r>
        <w:rPr>
          <w:rFonts w:hint="eastAsia" w:hAnsi="Times New Roman" w:cs="Times New Roman"/>
          <w:sz w:val="21"/>
          <w:szCs w:val="21"/>
        </w:rPr>
        <w:t xml:space="preserve"> </w:t>
      </w:r>
    </w:p>
    <w:p>
      <w:pPr>
        <w:pStyle w:val="18"/>
        <w:rPr>
          <w:rFonts w:hint="eastAsia" w:ascii="Times New Roman" w:hAnsi="宋体" w:eastAsia="宋体" w:cs="宋体"/>
          <w:sz w:val="21"/>
          <w:szCs w:val="21"/>
        </w:rPr>
      </w:pPr>
      <w:r>
        <w:rPr>
          <w:rFonts w:hint="eastAsia" w:ascii="Times New Roman" w:hAnsi="宋体" w:eastAsia="宋体" w:cs="宋体"/>
          <w:sz w:val="21"/>
          <w:szCs w:val="21"/>
        </w:rPr>
        <w:t xml:space="preserve">产品检验分为全性能试验和到货抽样试验。试验项目见表8。 </w:t>
      </w:r>
    </w:p>
    <w:p>
      <w:pPr>
        <w:pStyle w:val="18"/>
        <w:spacing w:before="156" w:beforeLines="50" w:after="156" w:afterLines="50"/>
        <w:ind w:firstLine="0" w:firstLineChars="0"/>
        <w:jc w:val="center"/>
        <w:rPr>
          <w:rFonts w:hint="eastAsia" w:ascii="黑体" w:hAnsi="黑体" w:eastAsia="黑体" w:cs="黑体"/>
          <w:snapToGrid w:val="0"/>
          <w:sz w:val="20"/>
        </w:rPr>
      </w:pPr>
      <w:r>
        <w:rPr>
          <w:rFonts w:hint="eastAsia" w:ascii="黑体" w:hAnsi="黑体" w:eastAsia="黑体" w:cs="黑体"/>
          <w:snapToGrid w:val="0"/>
          <w:sz w:val="20"/>
        </w:rPr>
        <w:t xml:space="preserve">表8 </w:t>
      </w:r>
      <w:r>
        <w:rPr>
          <w:rFonts w:hint="eastAsia" w:ascii="黑体" w:hAnsi="黑体" w:eastAsia="黑体" w:cs="黑体"/>
          <w:snapToGrid w:val="0"/>
          <w:sz w:val="20"/>
          <w:lang w:val="en-US" w:eastAsia="zh-CN"/>
        </w:rPr>
        <w:t xml:space="preserve"> </w:t>
      </w:r>
      <w:r>
        <w:rPr>
          <w:rFonts w:hint="eastAsia" w:ascii="黑体" w:hAnsi="黑体" w:eastAsia="黑体" w:cs="黑体"/>
          <w:snapToGrid w:val="0"/>
          <w:sz w:val="20"/>
        </w:rPr>
        <w:t>标签检验项目</w:t>
      </w:r>
    </w:p>
    <w:tbl>
      <w:tblPr>
        <w:tblStyle w:val="25"/>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119"/>
        <w:gridCol w:w="2739"/>
        <w:gridCol w:w="1749"/>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exact"/>
          <w:tblHeader/>
          <w:jc w:val="center"/>
        </w:trPr>
        <w:tc>
          <w:tcPr>
            <w:tcW w:w="623" w:type="dxa"/>
            <w:vMerge w:val="restart"/>
            <w:noWrap w:val="0"/>
            <w:vAlign w:val="center"/>
          </w:tcPr>
          <w:p>
            <w:pPr>
              <w:pStyle w:val="18"/>
              <w:ind w:firstLine="0" w:firstLineChars="0"/>
              <w:jc w:val="center"/>
              <w:rPr>
                <w:rFonts w:hAnsi="宋体" w:cs="宋体"/>
                <w:sz w:val="18"/>
                <w:szCs w:val="18"/>
              </w:rPr>
            </w:pPr>
            <w:r>
              <w:rPr>
                <w:rFonts w:hint="eastAsia" w:hAnsi="宋体" w:cs="宋体"/>
                <w:sz w:val="18"/>
                <w:szCs w:val="18"/>
              </w:rPr>
              <w:t>序号</w:t>
            </w:r>
          </w:p>
        </w:tc>
        <w:tc>
          <w:tcPr>
            <w:tcW w:w="3858" w:type="dxa"/>
            <w:gridSpan w:val="2"/>
            <w:vMerge w:val="restart"/>
            <w:noWrap w:val="0"/>
            <w:vAlign w:val="center"/>
          </w:tcPr>
          <w:p>
            <w:pPr>
              <w:pStyle w:val="18"/>
              <w:ind w:firstLine="0" w:firstLineChars="0"/>
              <w:jc w:val="center"/>
              <w:rPr>
                <w:rFonts w:hAnsi="宋体" w:cs="宋体"/>
                <w:sz w:val="18"/>
                <w:szCs w:val="18"/>
              </w:rPr>
            </w:pPr>
            <w:r>
              <w:rPr>
                <w:rFonts w:hint="eastAsia" w:hAnsi="宋体" w:cs="宋体"/>
                <w:sz w:val="18"/>
                <w:szCs w:val="18"/>
              </w:rPr>
              <w:t>试验项目</w:t>
            </w:r>
          </w:p>
        </w:tc>
        <w:tc>
          <w:tcPr>
            <w:tcW w:w="3858" w:type="dxa"/>
            <w:gridSpan w:val="2"/>
            <w:noWrap w:val="0"/>
            <w:vAlign w:val="center"/>
          </w:tcPr>
          <w:p>
            <w:pPr>
              <w:pStyle w:val="18"/>
              <w:ind w:firstLine="0" w:firstLineChars="0"/>
              <w:jc w:val="center"/>
              <w:rPr>
                <w:rFonts w:hAnsi="宋体" w:cs="宋体"/>
                <w:sz w:val="18"/>
                <w:szCs w:val="18"/>
              </w:rPr>
            </w:pPr>
            <w:r>
              <w:rPr>
                <w:rFonts w:hint="eastAsia" w:hAnsi="宋体" w:cs="宋体"/>
                <w:sz w:val="18"/>
                <w:szCs w:val="18"/>
              </w:rPr>
              <w:t>试验类别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exact"/>
          <w:tblHeader/>
          <w:jc w:val="center"/>
        </w:trPr>
        <w:tc>
          <w:tcPr>
            <w:tcW w:w="623" w:type="dxa"/>
            <w:vMerge w:val="continue"/>
            <w:noWrap w:val="0"/>
            <w:vAlign w:val="center"/>
          </w:tcPr>
          <w:p>
            <w:pPr>
              <w:pStyle w:val="18"/>
              <w:ind w:firstLine="0" w:firstLineChars="0"/>
              <w:jc w:val="center"/>
              <w:rPr>
                <w:rFonts w:hAnsi="宋体" w:cs="宋体"/>
                <w:sz w:val="18"/>
                <w:szCs w:val="18"/>
              </w:rPr>
            </w:pPr>
          </w:p>
        </w:tc>
        <w:tc>
          <w:tcPr>
            <w:tcW w:w="3858" w:type="dxa"/>
            <w:gridSpan w:val="2"/>
            <w:vMerge w:val="continue"/>
            <w:noWrap w:val="0"/>
            <w:vAlign w:val="center"/>
          </w:tcPr>
          <w:p>
            <w:pPr>
              <w:pStyle w:val="18"/>
              <w:ind w:firstLine="0" w:firstLineChars="0"/>
              <w:jc w:val="center"/>
              <w:rPr>
                <w:rFonts w:hAnsi="宋体" w:cs="宋体"/>
                <w:sz w:val="18"/>
                <w:szCs w:val="18"/>
              </w:rPr>
            </w:pPr>
          </w:p>
        </w:tc>
        <w:tc>
          <w:tcPr>
            <w:tcW w:w="1749" w:type="dxa"/>
            <w:noWrap w:val="0"/>
            <w:vAlign w:val="center"/>
          </w:tcPr>
          <w:p>
            <w:pPr>
              <w:pStyle w:val="18"/>
              <w:ind w:firstLine="0" w:firstLineChars="0"/>
              <w:jc w:val="center"/>
              <w:rPr>
                <w:rFonts w:hint="eastAsia" w:hAnsi="宋体" w:eastAsia="宋体" w:cs="宋体"/>
                <w:sz w:val="18"/>
                <w:szCs w:val="18"/>
                <w:lang w:val="en-US" w:eastAsia="zh-CN"/>
              </w:rPr>
            </w:pPr>
            <w:r>
              <w:rPr>
                <w:rFonts w:hint="eastAsia" w:hAnsi="宋体" w:cs="宋体"/>
                <w:sz w:val="18"/>
                <w:szCs w:val="18"/>
                <w:lang w:val="en-US" w:eastAsia="zh-CN"/>
              </w:rPr>
              <w:t>全性能检测</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抽样试验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1</w:t>
            </w:r>
          </w:p>
        </w:tc>
        <w:tc>
          <w:tcPr>
            <w:tcW w:w="1119" w:type="dxa"/>
            <w:vMerge w:val="restart"/>
            <w:noWrap w:val="0"/>
            <w:vAlign w:val="center"/>
          </w:tcPr>
          <w:p>
            <w:pPr>
              <w:pStyle w:val="18"/>
              <w:ind w:firstLine="0" w:firstLineChars="0"/>
              <w:jc w:val="center"/>
              <w:rPr>
                <w:rFonts w:hAnsi="宋体" w:cs="宋体"/>
                <w:sz w:val="18"/>
                <w:szCs w:val="18"/>
              </w:rPr>
            </w:pPr>
            <w:r>
              <w:rPr>
                <w:rFonts w:hint="eastAsia" w:hAnsi="宋体" w:cs="宋体"/>
                <w:sz w:val="18"/>
                <w:szCs w:val="18"/>
              </w:rPr>
              <w:t>直观检测</w:t>
            </w: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外观</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623" w:type="dxa"/>
            <w:noWrap w:val="0"/>
            <w:vAlign w:val="center"/>
          </w:tcPr>
          <w:p>
            <w:pPr>
              <w:pStyle w:val="18"/>
              <w:ind w:firstLine="0" w:firstLineChars="0"/>
              <w:jc w:val="center"/>
              <w:rPr>
                <w:rFonts w:hint="eastAsia" w:hAnsi="宋体" w:cs="宋体"/>
                <w:sz w:val="18"/>
                <w:szCs w:val="18"/>
              </w:rPr>
            </w:pPr>
            <w:r>
              <w:rPr>
                <w:rFonts w:hint="eastAsia" w:hAnsi="宋体" w:cs="宋体"/>
                <w:sz w:val="18"/>
                <w:szCs w:val="18"/>
              </w:rPr>
              <w:t>2</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int="eastAsia" w:hAnsi="宋体" w:cs="宋体"/>
                <w:sz w:val="18"/>
                <w:szCs w:val="18"/>
              </w:rPr>
            </w:pPr>
            <w:r>
              <w:rPr>
                <w:rFonts w:hint="eastAsia" w:hAnsi="宋体" w:cs="宋体"/>
                <w:sz w:val="18"/>
                <w:szCs w:val="18"/>
              </w:rPr>
              <w:t>尺寸</w:t>
            </w:r>
          </w:p>
        </w:tc>
        <w:tc>
          <w:tcPr>
            <w:tcW w:w="1749" w:type="dxa"/>
            <w:noWrap w:val="0"/>
            <w:vAlign w:val="center"/>
          </w:tcPr>
          <w:p>
            <w:pPr>
              <w:pStyle w:val="18"/>
              <w:ind w:firstLine="0" w:firstLineChars="0"/>
              <w:jc w:val="center"/>
              <w:rPr>
                <w:rFonts w:hint="eastAsia"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int="eastAsia"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3</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二维码印制质量</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4</w:t>
            </w:r>
          </w:p>
        </w:tc>
        <w:tc>
          <w:tcPr>
            <w:tcW w:w="1119" w:type="dxa"/>
            <w:vMerge w:val="restart"/>
            <w:noWrap w:val="0"/>
            <w:vAlign w:val="center"/>
          </w:tcPr>
          <w:p>
            <w:pPr>
              <w:pStyle w:val="18"/>
              <w:ind w:firstLine="0" w:firstLineChars="0"/>
              <w:jc w:val="center"/>
              <w:rPr>
                <w:rFonts w:hAnsi="宋体" w:cs="宋体"/>
                <w:sz w:val="18"/>
                <w:szCs w:val="18"/>
              </w:rPr>
            </w:pPr>
            <w:r>
              <w:rPr>
                <w:rFonts w:hint="eastAsia" w:hAnsi="宋体" w:cs="宋体"/>
                <w:sz w:val="18"/>
                <w:szCs w:val="18"/>
              </w:rPr>
              <w:t>通信试验</w:t>
            </w: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通信性能试验</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5</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编码和存储</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6</w:t>
            </w:r>
          </w:p>
        </w:tc>
        <w:tc>
          <w:tcPr>
            <w:tcW w:w="1119" w:type="dxa"/>
            <w:vMerge w:val="restart"/>
            <w:noWrap w:val="0"/>
            <w:vAlign w:val="center"/>
          </w:tcPr>
          <w:p>
            <w:pPr>
              <w:pStyle w:val="18"/>
              <w:ind w:firstLine="0" w:firstLineChars="0"/>
              <w:jc w:val="center"/>
              <w:rPr>
                <w:rFonts w:hAnsi="宋体" w:cs="宋体"/>
                <w:sz w:val="18"/>
                <w:szCs w:val="18"/>
              </w:rPr>
            </w:pPr>
            <w:r>
              <w:rPr>
                <w:rFonts w:hint="eastAsia" w:hAnsi="宋体" w:cs="宋体"/>
                <w:sz w:val="18"/>
                <w:szCs w:val="18"/>
              </w:rPr>
              <w:t>物理性能</w:t>
            </w: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温湿度</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7</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阳光辐射防护</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10</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弯曲应力（适用于柔性标签）</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11</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扭曲（适用于柔性标签）</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int="default" w:hAnsi="宋体" w:eastAsia="宋体" w:cs="宋体"/>
                <w:sz w:val="18"/>
                <w:szCs w:val="18"/>
                <w:lang w:val="en-US" w:eastAsia="zh-CN"/>
              </w:rPr>
            </w:pPr>
            <w:r>
              <w:rPr>
                <w:rFonts w:hint="eastAsia" w:hAnsi="宋体" w:cs="宋体"/>
                <w:sz w:val="18"/>
                <w:szCs w:val="18"/>
                <w:lang w:val="en-US" w:eastAsia="zh-CN"/>
              </w:rPr>
              <w:t>12</w:t>
            </w:r>
          </w:p>
        </w:tc>
        <w:tc>
          <w:tcPr>
            <w:tcW w:w="1119" w:type="dxa"/>
            <w:vMerge w:val="restart"/>
            <w:noWrap w:val="0"/>
            <w:vAlign w:val="center"/>
          </w:tcPr>
          <w:p>
            <w:pPr>
              <w:pStyle w:val="18"/>
              <w:ind w:firstLine="0" w:firstLineChars="0"/>
              <w:jc w:val="center"/>
              <w:rPr>
                <w:rFonts w:hAnsi="宋体" w:cs="宋体"/>
                <w:sz w:val="18"/>
                <w:szCs w:val="18"/>
              </w:rPr>
            </w:pPr>
            <w:r>
              <w:rPr>
                <w:rFonts w:hint="eastAsia" w:hAnsi="宋体" w:cs="宋体"/>
                <w:sz w:val="18"/>
                <w:szCs w:val="18"/>
              </w:rPr>
              <w:t>电气性能</w:t>
            </w: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擦写次数</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int="default" w:hAnsi="宋体" w:eastAsia="宋体" w:cs="宋体"/>
                <w:sz w:val="18"/>
                <w:szCs w:val="18"/>
                <w:lang w:val="en-US" w:eastAsia="zh-CN"/>
              </w:rPr>
            </w:pPr>
            <w:r>
              <w:rPr>
                <w:rFonts w:hint="eastAsia" w:hAnsi="宋体" w:cs="宋体"/>
                <w:sz w:val="18"/>
                <w:szCs w:val="18"/>
                <w:lang w:val="en-US" w:eastAsia="zh-CN"/>
              </w:rPr>
              <w:t>13</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静电放电抗扰度</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int="default" w:hAnsi="宋体" w:eastAsia="宋体" w:cs="宋体"/>
                <w:sz w:val="18"/>
                <w:szCs w:val="18"/>
                <w:lang w:val="en-US" w:eastAsia="zh-CN"/>
              </w:rPr>
            </w:pPr>
            <w:r>
              <w:rPr>
                <w:rFonts w:hint="eastAsia" w:hAnsi="宋体" w:cs="宋体"/>
                <w:sz w:val="18"/>
                <w:szCs w:val="18"/>
                <w:lang w:val="en-US" w:eastAsia="zh-CN"/>
              </w:rPr>
              <w:t>14</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射频电磁场辐射抗扰度</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623" w:type="dxa"/>
            <w:noWrap w:val="0"/>
            <w:vAlign w:val="center"/>
          </w:tcPr>
          <w:p>
            <w:pPr>
              <w:pStyle w:val="18"/>
              <w:ind w:firstLine="0" w:firstLineChars="0"/>
              <w:jc w:val="center"/>
              <w:rPr>
                <w:rFonts w:hint="default" w:ascii="Times New Roman Bold" w:hAnsi="Times New Roman Bold" w:eastAsia="宋体" w:cs="Times New Roman Bold"/>
                <w:b/>
                <w:bCs/>
                <w:sz w:val="18"/>
                <w:szCs w:val="18"/>
                <w:lang w:val="en-US" w:eastAsia="zh-CN"/>
              </w:rPr>
            </w:pPr>
            <w:r>
              <w:rPr>
                <w:rFonts w:hint="eastAsia" w:hAnsi="宋体" w:cs="宋体"/>
                <w:sz w:val="18"/>
                <w:szCs w:val="18"/>
                <w:lang w:val="en-US" w:eastAsia="zh-CN"/>
              </w:rPr>
              <w:t>15</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工频磁场抗扰度</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lang w:val="en-US" w:eastAsia="zh-CN"/>
              </w:rPr>
              <w:t>1</w:t>
            </w:r>
            <w:r>
              <w:rPr>
                <w:rFonts w:hint="eastAsia" w:ascii="Times New Roman Italic" w:hAnsi="Times New Roman Italic" w:cs="Times New Roman Italic"/>
                <w:i/>
                <w:iCs/>
                <w:sz w:val="18"/>
                <w:szCs w:val="18"/>
                <w:lang w:val="en-US" w:eastAsia="zh-CN"/>
              </w:rPr>
              <w:t>6</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脉冲磁场抗扰度</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rPr>
            </w:pPr>
            <w:r>
              <w:rPr>
                <w:rFonts w:hint="eastAsia" w:hAnsi="宋体" w:cs="宋体"/>
                <w:sz w:val="18"/>
                <w:szCs w:val="18"/>
              </w:rPr>
              <w:t>1</w:t>
            </w:r>
            <w:r>
              <w:rPr>
                <w:rFonts w:hint="eastAsia" w:hAnsi="宋体" w:cs="宋体"/>
                <w:sz w:val="18"/>
                <w:szCs w:val="18"/>
                <w:lang w:val="en-US" w:eastAsia="zh-CN"/>
              </w:rPr>
              <w:t>7</w:t>
            </w:r>
          </w:p>
        </w:tc>
        <w:tc>
          <w:tcPr>
            <w:tcW w:w="1119" w:type="dxa"/>
            <w:vMerge w:val="continue"/>
            <w:noWrap w:val="0"/>
            <w:vAlign w:val="center"/>
          </w:tcPr>
          <w:p>
            <w:pPr>
              <w:pStyle w:val="18"/>
              <w:ind w:firstLine="0" w:firstLineChars="0"/>
              <w:jc w:val="center"/>
              <w:rPr>
                <w:rFonts w:hAnsi="宋体" w:cs="宋体"/>
                <w:sz w:val="18"/>
                <w:szCs w:val="18"/>
              </w:rPr>
            </w:pPr>
          </w:p>
        </w:tc>
        <w:tc>
          <w:tcPr>
            <w:tcW w:w="2739" w:type="dxa"/>
            <w:noWrap w:val="0"/>
            <w:vAlign w:val="center"/>
          </w:tcPr>
          <w:p>
            <w:pPr>
              <w:pStyle w:val="18"/>
              <w:ind w:firstLine="0" w:firstLineChars="0"/>
              <w:jc w:val="center"/>
              <w:rPr>
                <w:rFonts w:hAnsi="宋体" w:cs="宋体"/>
                <w:sz w:val="18"/>
                <w:szCs w:val="18"/>
              </w:rPr>
            </w:pPr>
            <w:r>
              <w:rPr>
                <w:rFonts w:hint="eastAsia" w:hAnsi="宋体" w:cs="宋体"/>
                <w:sz w:val="18"/>
                <w:szCs w:val="18"/>
              </w:rPr>
              <w:t>阻尼振荡抗扰度</w:t>
            </w:r>
          </w:p>
        </w:tc>
        <w:tc>
          <w:tcPr>
            <w:tcW w:w="174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c>
          <w:tcPr>
            <w:tcW w:w="2109" w:type="dxa"/>
            <w:noWrap w:val="0"/>
            <w:vAlign w:val="center"/>
          </w:tcPr>
          <w:p>
            <w:pPr>
              <w:pStyle w:val="18"/>
              <w:ind w:firstLine="0" w:firstLineChars="0"/>
              <w:jc w:val="center"/>
              <w:rPr>
                <w:rFonts w:hAnsi="宋体" w:cs="宋体"/>
                <w:sz w:val="18"/>
                <w:szCs w:val="18"/>
              </w:rPr>
            </w:pPr>
            <w:r>
              <w:rPr>
                <w:rFonts w:hint="eastAsia"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exact"/>
          <w:jc w:val="center"/>
        </w:trPr>
        <w:tc>
          <w:tcPr>
            <w:tcW w:w="623" w:type="dxa"/>
            <w:noWrap w:val="0"/>
            <w:vAlign w:val="center"/>
          </w:tcPr>
          <w:p>
            <w:pPr>
              <w:pStyle w:val="18"/>
              <w:ind w:firstLine="0" w:firstLineChars="0"/>
              <w:jc w:val="center"/>
              <w:rPr>
                <w:rFonts w:hAnsi="宋体" w:cs="宋体"/>
                <w:sz w:val="18"/>
                <w:szCs w:val="18"/>
                <w:highlight w:val="none"/>
              </w:rPr>
            </w:pPr>
            <w:r>
              <w:rPr>
                <w:rFonts w:hint="eastAsia" w:hAnsi="宋体" w:cs="宋体"/>
                <w:sz w:val="18"/>
                <w:szCs w:val="18"/>
                <w:highlight w:val="none"/>
                <w:lang w:val="en-US" w:eastAsia="zh-CN"/>
              </w:rPr>
              <w:t>18</w:t>
            </w:r>
          </w:p>
        </w:tc>
        <w:tc>
          <w:tcPr>
            <w:tcW w:w="1119" w:type="dxa"/>
            <w:vMerge w:val="continue"/>
            <w:noWrap w:val="0"/>
            <w:vAlign w:val="center"/>
          </w:tcPr>
          <w:p>
            <w:pPr>
              <w:pStyle w:val="18"/>
              <w:ind w:firstLine="0" w:firstLineChars="0"/>
              <w:jc w:val="center"/>
              <w:rPr>
                <w:rFonts w:hAnsi="宋体" w:cs="宋体"/>
                <w:sz w:val="18"/>
                <w:szCs w:val="18"/>
                <w:highlight w:val="none"/>
              </w:rPr>
            </w:pPr>
          </w:p>
        </w:tc>
        <w:tc>
          <w:tcPr>
            <w:tcW w:w="2739" w:type="dxa"/>
            <w:noWrap w:val="0"/>
            <w:vAlign w:val="center"/>
          </w:tcPr>
          <w:p>
            <w:pPr>
              <w:pStyle w:val="18"/>
              <w:ind w:firstLine="0" w:firstLineChars="0"/>
              <w:jc w:val="center"/>
              <w:rPr>
                <w:rFonts w:hAnsi="宋体" w:cs="宋体"/>
                <w:sz w:val="18"/>
                <w:szCs w:val="18"/>
                <w:highlight w:val="none"/>
              </w:rPr>
            </w:pPr>
            <w:r>
              <w:rPr>
                <w:rFonts w:hint="eastAsia" w:hAnsi="宋体" w:cs="宋体"/>
                <w:sz w:val="18"/>
                <w:szCs w:val="18"/>
                <w:highlight w:val="none"/>
              </w:rPr>
              <w:t>读写距离试验</w:t>
            </w:r>
          </w:p>
        </w:tc>
        <w:tc>
          <w:tcPr>
            <w:tcW w:w="1749" w:type="dxa"/>
            <w:noWrap w:val="0"/>
            <w:vAlign w:val="center"/>
          </w:tcPr>
          <w:p>
            <w:pPr>
              <w:pStyle w:val="18"/>
              <w:ind w:firstLine="0" w:firstLineChars="0"/>
              <w:jc w:val="center"/>
              <w:rPr>
                <w:rFonts w:hAnsi="宋体" w:cs="宋体"/>
                <w:sz w:val="18"/>
                <w:szCs w:val="18"/>
                <w:highlight w:val="none"/>
              </w:rPr>
            </w:pPr>
            <w:r>
              <w:rPr>
                <w:rFonts w:hint="eastAsia" w:hAnsi="宋体" w:cs="宋体"/>
                <w:sz w:val="18"/>
                <w:szCs w:val="18"/>
                <w:highlight w:val="none"/>
              </w:rPr>
              <w:t>■</w:t>
            </w:r>
          </w:p>
        </w:tc>
        <w:tc>
          <w:tcPr>
            <w:tcW w:w="2109" w:type="dxa"/>
            <w:noWrap w:val="0"/>
            <w:vAlign w:val="center"/>
          </w:tcPr>
          <w:p>
            <w:pPr>
              <w:pStyle w:val="18"/>
              <w:ind w:firstLine="0" w:firstLineChars="0"/>
              <w:jc w:val="center"/>
              <w:rPr>
                <w:rFonts w:hAnsi="宋体" w:cs="宋体"/>
                <w:sz w:val="18"/>
                <w:szCs w:val="18"/>
                <w:highlight w:val="none"/>
              </w:rPr>
            </w:pPr>
            <w:r>
              <w:rPr>
                <w:rFonts w:hint="eastAsia" w:hAnsi="宋体" w:cs="宋体"/>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exact"/>
          <w:jc w:val="center"/>
        </w:trPr>
        <w:tc>
          <w:tcPr>
            <w:tcW w:w="8339" w:type="dxa"/>
            <w:gridSpan w:val="5"/>
            <w:noWrap w:val="0"/>
            <w:vAlign w:val="center"/>
          </w:tcPr>
          <w:p>
            <w:pPr>
              <w:pStyle w:val="18"/>
              <w:keepNext w:val="0"/>
              <w:keepLines w:val="0"/>
              <w:pageBreakBefore w:val="0"/>
              <w:widowControl/>
              <w:kinsoku/>
              <w:wordWrap/>
              <w:overflowPunct/>
              <w:topLinePunct w:val="0"/>
              <w:autoSpaceDE w:val="0"/>
              <w:autoSpaceDN w:val="0"/>
              <w:bidi w:val="0"/>
              <w:adjustRightInd/>
              <w:snapToGrid/>
              <w:ind w:left="0" w:leftChars="0" w:firstLine="360" w:firstLineChars="200"/>
              <w:jc w:val="both"/>
              <w:textAlignment w:val="auto"/>
              <w:rPr>
                <w:rFonts w:hAnsi="宋体" w:cs="宋体"/>
                <w:sz w:val="18"/>
                <w:szCs w:val="18"/>
              </w:rPr>
            </w:pPr>
            <w:r>
              <w:rPr>
                <w:rFonts w:hint="eastAsia" w:ascii="黑体" w:hAnsi="黑体" w:eastAsia="黑体" w:cs="黑体"/>
                <w:sz w:val="18"/>
                <w:szCs w:val="18"/>
              </w:rPr>
              <w:t>注：</w:t>
            </w:r>
            <w:r>
              <w:rPr>
                <w:rFonts w:hint="eastAsia" w:hAnsi="宋体" w:cs="宋体"/>
                <w:sz w:val="18"/>
                <w:szCs w:val="18"/>
              </w:rPr>
              <w:t>■表示规定必须进行的检验项目；□表示规定可不做的项目。</w:t>
            </w:r>
          </w:p>
        </w:tc>
      </w:tr>
    </w:tbl>
    <w:p>
      <w:pPr>
        <w:pStyle w:val="34"/>
        <w:keepNext w:val="0"/>
        <w:keepLines w:val="0"/>
        <w:pageBreakBefore w:val="0"/>
        <w:widowControl/>
        <w:numPr>
          <w:ilvl w:val="1"/>
          <w:numId w:val="0"/>
        </w:numPr>
        <w:kinsoku/>
        <w:wordWrap/>
        <w:overflowPunct/>
        <w:topLinePunct w:val="0"/>
        <w:autoSpaceDE/>
        <w:autoSpaceDN/>
        <w:bidi w:val="0"/>
        <w:adjustRightInd/>
        <w:snapToGrid/>
        <w:ind w:leftChars="0"/>
        <w:textAlignment w:val="auto"/>
        <w:outlineLvl w:val="9"/>
        <w:rPr>
          <w:rFonts w:hint="eastAsia" w:hAnsi="Times New Roman" w:cs="Times New Roman"/>
          <w:sz w:val="21"/>
          <w:szCs w:val="21"/>
        </w:rPr>
      </w:pPr>
    </w:p>
    <w:p>
      <w:pPr>
        <w:pStyle w:val="34"/>
        <w:outlineLvl w:val="1"/>
        <w:rPr>
          <w:rFonts w:hint="eastAsia" w:hAnsi="Times New Roman" w:cs="Times New Roman"/>
          <w:sz w:val="21"/>
          <w:szCs w:val="21"/>
        </w:rPr>
      </w:pPr>
      <w:r>
        <w:rPr>
          <w:rFonts w:hint="eastAsia" w:hAnsi="Times New Roman" w:cs="Times New Roman"/>
          <w:sz w:val="21"/>
          <w:szCs w:val="21"/>
        </w:rPr>
        <w:t>检验分类</w:t>
      </w:r>
    </w:p>
    <w:p>
      <w:pPr>
        <w:pStyle w:val="18"/>
        <w:rPr>
          <w:rFonts w:hint="eastAsia" w:ascii="Times New Roman" w:hAnsi="宋体" w:eastAsia="宋体" w:cs="宋体"/>
          <w:sz w:val="21"/>
          <w:szCs w:val="21"/>
        </w:rPr>
      </w:pPr>
      <w:r>
        <w:rPr>
          <w:rFonts w:hint="eastAsia" w:ascii="Times New Roman" w:hAnsi="宋体" w:eastAsia="宋体" w:cs="宋体"/>
          <w:sz w:val="21"/>
          <w:szCs w:val="21"/>
        </w:rPr>
        <w:t>检验分为全性能检验和抽样验收检验两类。</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全性能检验</w:t>
      </w:r>
    </w:p>
    <w:p>
      <w:pPr>
        <w:pStyle w:val="18"/>
        <w:rPr>
          <w:rFonts w:hint="eastAsia" w:ascii="Times New Roman" w:hAnsi="宋体" w:eastAsia="宋体" w:cs="宋体"/>
          <w:sz w:val="21"/>
          <w:szCs w:val="21"/>
        </w:rPr>
      </w:pPr>
      <w:r>
        <w:rPr>
          <w:rFonts w:hint="eastAsia" w:ascii="Times New Roman" w:hAnsi="宋体" w:eastAsia="宋体" w:cs="宋体"/>
          <w:sz w:val="21"/>
          <w:szCs w:val="21"/>
        </w:rPr>
        <w:t>检验项目均为否决项，任意样品出现任意一项不合格， 即判定该批次检验不合格 。检验项目见表8。</w:t>
      </w:r>
    </w:p>
    <w:p>
      <w:pPr>
        <w:pStyle w:val="34"/>
        <w:numPr>
          <w:ilvl w:val="2"/>
          <w:numId w:val="2"/>
        </w:numPr>
        <w:ind w:left="0" w:leftChars="0" w:firstLine="0" w:firstLineChars="0"/>
        <w:outlineLvl w:val="1"/>
        <w:rPr>
          <w:rFonts w:hint="eastAsia" w:hAnsi="Times New Roman" w:cs="Times New Roman"/>
          <w:sz w:val="21"/>
          <w:szCs w:val="21"/>
        </w:rPr>
      </w:pPr>
      <w:r>
        <w:rPr>
          <w:rFonts w:hint="eastAsia" w:hAnsi="Times New Roman" w:cs="Times New Roman"/>
          <w:sz w:val="21"/>
          <w:szCs w:val="21"/>
        </w:rPr>
        <w:t>抽样验收检验</w:t>
      </w:r>
    </w:p>
    <w:p>
      <w:pPr>
        <w:pStyle w:val="18"/>
      </w:pPr>
      <w:r>
        <w:rPr>
          <w:rFonts w:hint="eastAsia" w:ascii="Times New Roman" w:hAnsi="宋体" w:eastAsia="宋体" w:cs="宋体"/>
          <w:sz w:val="21"/>
          <w:szCs w:val="21"/>
        </w:rPr>
        <w:t>对于到货验收的电子标签，依据 GB/T 2828.1-2012《计数抽样检验程序》</w:t>
      </w:r>
      <w:r>
        <w:rPr>
          <w:rFonts w:hint="eastAsia" w:ascii="Times New Roman" w:hAnsi="宋体" w:eastAsia="宋体" w:cs="宋体"/>
          <w:sz w:val="21"/>
          <w:szCs w:val="21"/>
          <w:lang w:val="en-US" w:eastAsia="zh-CN"/>
        </w:rPr>
        <w:t>抽取相应比例的产品</w:t>
      </w:r>
      <w:r>
        <w:rPr>
          <w:rFonts w:hint="eastAsia" w:ascii="Times New Roman" w:hAnsi="宋体" w:eastAsia="宋体" w:cs="宋体"/>
          <w:sz w:val="21"/>
          <w:szCs w:val="21"/>
          <w:lang w:eastAsia="zh-CN"/>
        </w:rPr>
        <w:t>，</w:t>
      </w:r>
      <w:r>
        <w:rPr>
          <w:rFonts w:hint="eastAsia" w:ascii="Times New Roman" w:hAnsi="宋体" w:eastAsia="宋体" w:cs="宋体"/>
          <w:sz w:val="21"/>
          <w:szCs w:val="21"/>
        </w:rPr>
        <w:t>按表8进行抽样验收检验，出现任意一项不合格，判定该样品不合格。</w:t>
      </w:r>
    </w:p>
    <w:p/>
    <w:sectPr>
      <w:footerReference r:id="rId10" w:type="default"/>
      <w:footerReference r:id="rId11" w:type="even"/>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Italic">
    <w:altName w:val="Times New Roman"/>
    <w:panose1 w:val="02020503050405090304"/>
    <w:charset w:val="00"/>
    <w:family w:val="auto"/>
    <w:pitch w:val="default"/>
    <w:sig w:usb0="00000000" w:usb1="00000000" w:usb2="00000001" w:usb3="00000000" w:csb0="400001BF" w:csb1="DF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jc w:val="right"/>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4"/>
                            <w:jc w:val="right"/>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4"/>
                      <w:jc w:val="right"/>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pPr>
    <w:r>
      <w:fldChar w:fldCharType="begin"/>
    </w:r>
    <w:r>
      <w:instrText xml:space="preserve">PAGE   \* MERGEFORMAT</w:instrText>
    </w:r>
    <w:r>
      <w:fldChar w:fldCharType="separate"/>
    </w:r>
    <w:r>
      <w:rPr>
        <w:lang w:val="zh-CN"/>
      </w:rP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OwyWMo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OwyWMoBAACbAwAADgAAAAAAAAABACAAAAAeAQAAZHJzL2Uyb0Rv&#10;Yy54bWxQSwUGAAAAAAYABgBZAQAAWg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II</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posOffset>3237230</wp:posOffset>
              </wp:positionH>
              <wp:positionV relativeFrom="paragraph">
                <wp:posOffset>264160</wp:posOffset>
              </wp:positionV>
              <wp:extent cx="252730" cy="465455"/>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252730" cy="465455"/>
                      </a:xfrm>
                      <a:prstGeom prst="rect">
                        <a:avLst/>
                      </a:prstGeom>
                      <a:noFill/>
                      <a:ln>
                        <a:noFill/>
                      </a:ln>
                      <a:effectLst/>
                    </wps:spPr>
                    <wps:txbx>
                      <w:txbxContent>
                        <w:p/>
                      </w:txbxContent>
                    </wps:txbx>
                    <wps:bodyPr lIns="0" tIns="0" rIns="0" bIns="0"/>
                  </wps:wsp>
                </a:graphicData>
              </a:graphic>
            </wp:anchor>
          </w:drawing>
        </mc:Choice>
        <mc:Fallback>
          <w:pict>
            <v:shape id="_x0000_s1026" o:spid="_x0000_s1026" o:spt="202" type="#_x0000_t202" style="position:absolute;left:0pt;margin-left:254.9pt;margin-top:20.8pt;height:36.65pt;width:19.9pt;mso-position-horizontal-relative:margin;z-index:251664384;mso-width-relative:page;mso-height-relative:page;" filled="f" stroked="f" coordsize="21600,21600" o:gfxdata="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Snw+dgAAAAKAQAADwAAAAAAAAABACAAAAAiAAAAZHJzL2Rvd25yZXYueG1sUEsBAhQA&#10;FAAAAAgAh07iQEjaASK5AQAAdQMAAA4AAAAAAAAAAQAgAAAAJwEAAGRycy9lMm9Eb2MueG1sUEsF&#10;BgAAAAAGAAYAWQEAAFIFAAAAAA==&#10;">
              <v:fill on="f" focussize="0,0"/>
              <v:stroke on="f"/>
              <v:imagedata o:title=""/>
              <o:lock v:ext="edit" aspectratio="f"/>
              <v:textbox inset="0mm,0mm,0mm,0mm">
                <w:txbxConten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8z7AM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8z7AMoBAACbAwAADgAAAAAAAAABACAAAAAeAQAAZHJzL2Uyb0Rv&#10;Yy54bWxQSwUGAAAAAAYABgBZAQAAWg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6</w:t>
                    </w:r>
                    <w:r>
                      <w:fldChar w:fldCharType="end"/>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margin">
                <wp:posOffset>3237230</wp:posOffset>
              </wp:positionH>
              <wp:positionV relativeFrom="paragraph">
                <wp:posOffset>264160</wp:posOffset>
              </wp:positionV>
              <wp:extent cx="252730" cy="465455"/>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252730" cy="465455"/>
                      </a:xfrm>
                      <a:prstGeom prst="rect">
                        <a:avLst/>
                      </a:prstGeom>
                      <a:noFill/>
                      <a:ln>
                        <a:noFill/>
                      </a:ln>
                      <a:effectLst/>
                    </wps:spPr>
                    <wps:txbx>
                      <w:txbxContent>
                        <w:p/>
                      </w:txbxContent>
                    </wps:txbx>
                    <wps:bodyPr lIns="0" tIns="0" rIns="0" bIns="0"/>
                  </wps:wsp>
                </a:graphicData>
              </a:graphic>
            </wp:anchor>
          </w:drawing>
        </mc:Choice>
        <mc:Fallback>
          <w:pict>
            <v:shape id="_x0000_s1026" o:spid="_x0000_s1026" o:spt="202" type="#_x0000_t202" style="position:absolute;left:0pt;margin-left:254.9pt;margin-top:20.8pt;height:36.65pt;width:19.9pt;mso-position-horizontal-relative:margin;z-index:251666432;mso-width-relative:page;mso-height-relative:page;" filled="f" stroked="f" coordsize="21600,21600" o:gfxdata="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Snw+dgAAAAKAQAADwAAAAAAAAABACAAAAAiAAAAZHJzL2Rvd25yZXYueG1sUEsBAhQA&#10;FAAAAAgAh07iQDUlOpK5AQAAdQMAAA4AAAAAAAAAAQAgAAAAJwEAAGRycy9lMm9Eb2MueG1sUEsF&#10;BgAAAAAGAAYAWQEAAFIFAAAAAA==&#10;">
              <v:fill on="f" focussize="0,0"/>
              <v:stroke on="f"/>
              <v:imagedata o:title=""/>
              <o:lock v:ext="edit" aspectratio="f"/>
              <v:textbox inset="0mm,0mm,0mm,0mm">
                <w:txbxContent>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jc w:val="right"/>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4"/>
                            <w:jc w:val="right"/>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4"/>
                      <w:jc w:val="right"/>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ind w:firstLine="7350" w:firstLineChars="3500"/>
      <w:jc w:val="left"/>
      <w:rPr>
        <w:rFonts w:hint="default" w:hAnsi="黑体" w:eastAsia="黑体"/>
        <w:lang w:val="en-US" w:eastAsia="zh-CN"/>
      </w:rPr>
    </w:pPr>
    <w:r>
      <w:rPr>
        <w:rFonts w:hint="eastAsia" w:hAnsi="黑体"/>
        <w:lang w:val="en-US" w:eastAsia="zh-CN"/>
      </w:rPr>
      <w:t>Q/ND 10311 02—2025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2"/>
    </w:pPr>
    <w:r>
      <w:t>Q/XX 2XXXX XX—2018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p>
    <w:pPr>
      <w:spacing w:line="200" w:lineRule="exact"/>
      <w:rPr>
        <w:sz w:val="20"/>
        <w:szCs w:val="20"/>
      </w:rPr>
    </w:pPr>
  </w:p>
  <w:p>
    <w:pPr>
      <w:spacing w:line="200" w:lineRule="exact"/>
      <w:rPr>
        <w:sz w:val="20"/>
        <w:szCs w:val="20"/>
      </w:rPr>
    </w:pPr>
    <w:r>
      <w:rPr>
        <w:sz w:val="22"/>
        <w:szCs w:val="22"/>
        <w:lang w:eastAsia="en-US"/>
      </w:rPr>
      <mc:AlternateContent>
        <mc:Choice Requires="wps">
          <w:drawing>
            <wp:anchor distT="0" distB="0" distL="114300" distR="114300" simplePos="0" relativeHeight="251662336" behindDoc="1" locked="0" layoutInCell="1" allowOverlap="1">
              <wp:simplePos x="0" y="0"/>
              <wp:positionH relativeFrom="page">
                <wp:posOffset>5210175</wp:posOffset>
              </wp:positionH>
              <wp:positionV relativeFrom="page">
                <wp:posOffset>915035</wp:posOffset>
              </wp:positionV>
              <wp:extent cx="1212850" cy="33782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212850" cy="337820"/>
                      </a:xfrm>
                      <a:prstGeom prst="rect">
                        <a:avLst/>
                      </a:prstGeom>
                      <a:noFill/>
                      <a:ln>
                        <a:noFill/>
                      </a:ln>
                    </wps:spPr>
                    <wps:txbx>
                      <w:txbxContent>
                        <w:p>
                          <w:pPr>
                            <w:rPr>
                              <w:rFonts w:hint="eastAsia" w:ascii="黑体" w:hAnsi="黑体" w:eastAsia="黑体" w:cs="黑体"/>
                              <w:szCs w:val="21"/>
                            </w:rPr>
                          </w:pPr>
                          <w:r>
                            <w:rPr>
                              <w:rFonts w:hint="eastAsia" w:ascii="黑体" w:hAnsi="黑体" w:eastAsia="黑体" w:cs="黑体"/>
                              <w:szCs w:val="21"/>
                            </w:rPr>
                            <w:t>Q/ND 10311 02—2025</w:t>
                          </w:r>
                        </w:p>
                      </w:txbxContent>
                    </wps:txbx>
                    <wps:bodyPr lIns="0" tIns="0" rIns="0" bIns="0" upright="1"/>
                  </wps:wsp>
                </a:graphicData>
              </a:graphic>
            </wp:anchor>
          </w:drawing>
        </mc:Choice>
        <mc:Fallback>
          <w:pict>
            <v:shape id="_x0000_s1026" o:spid="_x0000_s1026" o:spt="202" type="#_x0000_t202" style="position:absolute;left:0pt;margin-left:410.25pt;margin-top:72.05pt;height:26.6pt;width:95.5pt;mso-position-horizontal-relative:page;mso-position-vertical-relative:page;z-index:-251654144;mso-width-relative:page;mso-height-relative:page;" filled="f" stroked="f" coordsize="21600,21600" o:gfxdata="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eCuCLaAAAADAEAAA8AAAAAAAAAAQAgAAAAIgAAAGRycy9kb3ducmV2LnhtbFBL&#10;AQIUABQAAAAIAIdO4kDY0P7fuwEAAHQDAAAOAAAAAAAAAAEAIAAAACkBAABkcnMvZTJvRG9jLnht&#10;bFBLBQYAAAAABgAGAFkBAABWBQAAAAA=&#10;">
              <v:fill on="f" focussize="0,0"/>
              <v:stroke on="f"/>
              <v:imagedata o:title=""/>
              <o:lock v:ext="edit" aspectratio="f"/>
              <v:textbox inset="0mm,0mm,0mm,0mm">
                <w:txbxContent>
                  <w:p>
                    <w:pPr>
                      <w:rPr>
                        <w:rFonts w:hint="eastAsia" w:ascii="黑体" w:hAnsi="黑体" w:eastAsia="黑体" w:cs="黑体"/>
                        <w:szCs w:val="21"/>
                      </w:rPr>
                    </w:pPr>
                    <w:r>
                      <w:rPr>
                        <w:rFonts w:hint="eastAsia" w:ascii="黑体" w:hAnsi="黑体" w:eastAsia="黑体" w:cs="黑体"/>
                        <w:szCs w:val="21"/>
                      </w:rPr>
                      <w:t>Q/ND 10311 02—2025</w:t>
                    </w:r>
                  </w:p>
                </w:txbxContent>
              </v:textbox>
            </v:shape>
          </w:pict>
        </mc:Fallback>
      </mc:AlternateContent>
    </w:r>
  </w:p>
  <w:p>
    <w:pPr>
      <w:spacing w:line="200" w:lineRule="exact"/>
      <w:rPr>
        <w:sz w:val="20"/>
        <w:szCs w:val="20"/>
      </w:rPr>
    </w:pPr>
  </w:p>
  <w:p>
    <w:pPr>
      <w:spacing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p>
    <w:pPr>
      <w:spacing w:line="200" w:lineRule="exact"/>
      <w:rPr>
        <w:sz w:val="20"/>
        <w:szCs w:val="20"/>
      </w:rPr>
    </w:pPr>
  </w:p>
  <w:p>
    <w:pPr>
      <w:spacing w:line="200" w:lineRule="exact"/>
      <w:rPr>
        <w:sz w:val="20"/>
        <w:szCs w:val="20"/>
      </w:rPr>
    </w:pPr>
    <w:r>
      <w:rPr>
        <w:sz w:val="22"/>
        <w:szCs w:val="22"/>
        <w:lang w:eastAsia="en-US"/>
      </w:rPr>
      <mc:AlternateContent>
        <mc:Choice Requires="wps">
          <w:drawing>
            <wp:anchor distT="0" distB="0" distL="114300" distR="114300" simplePos="0" relativeHeight="251669504" behindDoc="1" locked="0" layoutInCell="1" allowOverlap="1">
              <wp:simplePos x="0" y="0"/>
              <wp:positionH relativeFrom="page">
                <wp:posOffset>5210175</wp:posOffset>
              </wp:positionH>
              <wp:positionV relativeFrom="page">
                <wp:posOffset>915035</wp:posOffset>
              </wp:positionV>
              <wp:extent cx="1212850" cy="33782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212850" cy="337820"/>
                      </a:xfrm>
                      <a:prstGeom prst="rect">
                        <a:avLst/>
                      </a:prstGeom>
                      <a:noFill/>
                      <a:ln>
                        <a:noFill/>
                      </a:ln>
                    </wps:spPr>
                    <wps:txbx>
                      <w:txbxContent>
                        <w:p>
                          <w:pPr>
                            <w:rPr>
                              <w:rFonts w:hint="eastAsia" w:ascii="黑体" w:hAnsi="黑体" w:eastAsia="黑体" w:cs="黑体"/>
                              <w:szCs w:val="21"/>
                            </w:rPr>
                          </w:pPr>
                          <w:r>
                            <w:rPr>
                              <w:rFonts w:hint="eastAsia" w:ascii="黑体" w:hAnsi="黑体" w:eastAsia="黑体" w:cs="黑体"/>
                              <w:szCs w:val="21"/>
                            </w:rPr>
                            <w:t>Q/ND 10311 02—2025</w:t>
                          </w:r>
                        </w:p>
                      </w:txbxContent>
                    </wps:txbx>
                    <wps:bodyPr lIns="0" tIns="0" rIns="0" bIns="0" upright="1"/>
                  </wps:wsp>
                </a:graphicData>
              </a:graphic>
            </wp:anchor>
          </w:drawing>
        </mc:Choice>
        <mc:Fallback>
          <w:pict>
            <v:shape id="_x0000_s1026" o:spid="_x0000_s1026" o:spt="202" type="#_x0000_t202" style="position:absolute;left:0pt;margin-left:410.25pt;margin-top:72.05pt;height:26.6pt;width:95.5pt;mso-position-horizontal-relative:page;mso-position-vertical-relative:page;z-index:-251646976;mso-width-relative:page;mso-height-relative:page;" filled="f" stroked="f" coordsize="21600,21600" o:gfxdata="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14K4ItoAAAAMAQAADwAAAAAAAAABACAAAAAiAAAAZHJzL2Rvd25yZXYueG1sUEsB&#10;AhQAFAAAAAgAh07iQMyhjVm6AQAAcgMAAA4AAAAAAAAAAQAgAAAAKQEAAGRycy9lMm9Eb2MueG1s&#10;UEsFBgAAAAAGAAYAWQEAAFUFAAAAAA==&#10;">
              <v:fill on="f" focussize="0,0"/>
              <v:stroke on="f"/>
              <v:imagedata o:title=""/>
              <o:lock v:ext="edit" aspectratio="f"/>
              <v:textbox inset="0mm,0mm,0mm,0mm">
                <w:txbxContent>
                  <w:p>
                    <w:pPr>
                      <w:rPr>
                        <w:rFonts w:hint="eastAsia" w:ascii="黑体" w:hAnsi="黑体" w:eastAsia="黑体" w:cs="黑体"/>
                        <w:szCs w:val="21"/>
                      </w:rPr>
                    </w:pPr>
                    <w:r>
                      <w:rPr>
                        <w:rFonts w:hint="eastAsia" w:ascii="黑体" w:hAnsi="黑体" w:eastAsia="黑体" w:cs="黑体"/>
                        <w:szCs w:val="21"/>
                      </w:rPr>
                      <w:t>Q/ND 10311 02—2025</w:t>
                    </w:r>
                  </w:p>
                </w:txbxContent>
              </v:textbox>
            </v:shape>
          </w:pict>
        </mc:Fallback>
      </mc:AlternateContent>
    </w:r>
  </w:p>
  <w:p>
    <w:pPr>
      <w:spacing w:line="200" w:lineRule="exact"/>
      <w:rPr>
        <w:sz w:val="20"/>
        <w:szCs w:val="20"/>
      </w:rPr>
    </w:pPr>
  </w:p>
  <w:p>
    <w:pPr>
      <w:spacing w:line="200" w:lineRule="exact"/>
      <w:rPr>
        <w:sz w:val="20"/>
        <w:szCs w:val="20"/>
      </w:rPr>
    </w:pPr>
  </w:p>
  <w:p>
    <w:pPr>
      <w:spacing w:line="200" w:lineRule="exac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9F447"/>
    <w:multiLevelType w:val="multilevel"/>
    <w:tmpl w:val="8979F447"/>
    <w:lvl w:ilvl="0" w:tentative="0">
      <w:start w:val="1"/>
      <w:numFmt w:val="lowerLetter"/>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9C0CA0D4"/>
    <w:multiLevelType w:val="multilevel"/>
    <w:tmpl w:val="9C0CA0D4"/>
    <w:lvl w:ilvl="0" w:tentative="0">
      <w:start w:val="1"/>
      <w:numFmt w:val="lowerLetter"/>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CD1345D3"/>
    <w:multiLevelType w:val="multilevel"/>
    <w:tmpl w:val="CD1345D3"/>
    <w:lvl w:ilvl="0" w:tentative="0">
      <w:start w:val="1"/>
      <w:numFmt w:val="lowerLetter"/>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
    <w:nsid w:val="1D69D22B"/>
    <w:multiLevelType w:val="multilevel"/>
    <w:tmpl w:val="1D69D22B"/>
    <w:lvl w:ilvl="0" w:tentative="0">
      <w:start w:val="2"/>
      <w:numFmt w:val="upperLetter"/>
      <w:lvlText w:val="%1"/>
      <w:lvlJc w:val="left"/>
      <w:pPr>
        <w:tabs>
          <w:tab w:val="left" w:pos="420"/>
        </w:tabs>
        <w:ind w:left="0" w:hanging="425"/>
      </w:pPr>
      <w:rPr>
        <w:rFonts w:hint="default" w:ascii="宋体" w:hAnsi="宋体" w:eastAsia="宋体" w:cs="宋体"/>
      </w:rPr>
    </w:lvl>
    <w:lvl w:ilvl="1" w:tentative="0">
      <w:start w:val="1"/>
      <w:numFmt w:val="decimal"/>
      <w:pStyle w:val="95"/>
      <w:suff w:val="nothing"/>
      <w:lvlText w:val="表%1.%2　"/>
      <w:lvlJc w:val="left"/>
      <w:pPr>
        <w:tabs>
          <w:tab w:val="left" w:pos="420"/>
        </w:tabs>
        <w:ind w:left="5529" w:hanging="567"/>
      </w:pPr>
      <w:rPr>
        <w:rFonts w:hint="default" w:ascii="宋体" w:hAnsi="宋体" w:eastAsia="宋体" w:cs="宋体"/>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1DBF583A"/>
    <w:multiLevelType w:val="multilevel"/>
    <w:tmpl w:val="1DBF583A"/>
    <w:lvl w:ilvl="0" w:tentative="0">
      <w:start w:val="1"/>
      <w:numFmt w:val="decimal"/>
      <w:pStyle w:val="5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3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7"/>
      <w:suff w:val="nothing"/>
      <w:lvlText w:val="%1.%2.%3　"/>
      <w:lvlJc w:val="left"/>
      <w:pPr>
        <w:ind w:left="1844"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0D010ED"/>
    <w:multiLevelType w:val="multilevel"/>
    <w:tmpl w:val="20D010ED"/>
    <w:lvl w:ilvl="0" w:tentative="0">
      <w:start w:val="1"/>
      <w:numFmt w:val="decimal"/>
      <w:pStyle w:val="78"/>
      <w:lvlText w:val="图%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A8F7113"/>
    <w:multiLevelType w:val="multilevel"/>
    <w:tmpl w:val="2A8F7113"/>
    <w:lvl w:ilvl="0" w:tentative="0">
      <w:start w:val="1"/>
      <w:numFmt w:val="upperLetter"/>
      <w:suff w:val="space"/>
      <w:lvlText w:val="%1"/>
      <w:lvlJc w:val="left"/>
      <w:pPr>
        <w:ind w:left="623" w:hanging="425"/>
      </w:pPr>
      <w:rPr>
        <w:rFonts w:hint="eastAsia"/>
      </w:rPr>
    </w:lvl>
    <w:lvl w:ilvl="1" w:tentative="0">
      <w:start w:val="1"/>
      <w:numFmt w:val="decimal"/>
      <w:pStyle w:val="7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38"/>
      <w:suff w:val="nothing"/>
      <w:lvlText w:val="%1——"/>
      <w:lvlJc w:val="left"/>
      <w:pPr>
        <w:ind w:left="833" w:hanging="408"/>
      </w:pPr>
      <w:rPr>
        <w:rFonts w:hint="eastAsia"/>
      </w:rPr>
    </w:lvl>
    <w:lvl w:ilvl="1" w:tentative="0">
      <w:start w:val="1"/>
      <w:numFmt w:val="bullet"/>
      <w:pStyle w:val="39"/>
      <w:lvlText w:val=""/>
      <w:lvlJc w:val="left"/>
      <w:pPr>
        <w:tabs>
          <w:tab w:val="left" w:pos="760"/>
        </w:tabs>
        <w:ind w:left="1264" w:hanging="413"/>
      </w:pPr>
      <w:rPr>
        <w:rFonts w:hint="default" w:ascii="Symbol" w:hAnsi="Symbol"/>
        <w:color w:val="auto"/>
      </w:rPr>
    </w:lvl>
    <w:lvl w:ilvl="2" w:tentative="0">
      <w:start w:val="1"/>
      <w:numFmt w:val="bullet"/>
      <w:pStyle w:val="5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2D32091"/>
    <w:multiLevelType w:val="multilevel"/>
    <w:tmpl w:val="32D32091"/>
    <w:lvl w:ilvl="0" w:tentative="0">
      <w:start w:val="1"/>
      <w:numFmt w:val="lowerLetter"/>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0">
    <w:nsid w:val="3D733618"/>
    <w:multiLevelType w:val="multilevel"/>
    <w:tmpl w:val="3D733618"/>
    <w:lvl w:ilvl="0" w:tentative="0">
      <w:start w:val="1"/>
      <w:numFmt w:val="decimal"/>
      <w:pStyle w:val="19"/>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4"/>
      <w:lvlText w:val="%2)"/>
      <w:lvlJc w:val="left"/>
      <w:pPr>
        <w:tabs>
          <w:tab w:val="left" w:pos="1260"/>
        </w:tabs>
        <w:ind w:left="1259" w:hanging="419"/>
      </w:pPr>
      <w:rPr>
        <w:rFonts w:hint="eastAsia"/>
      </w:rPr>
    </w:lvl>
    <w:lvl w:ilvl="2" w:tentative="0">
      <w:start w:val="1"/>
      <w:numFmt w:val="decimal"/>
      <w:pStyle w:val="52"/>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646260FA"/>
    <w:multiLevelType w:val="multilevel"/>
    <w:tmpl w:val="646260FA"/>
    <w:lvl w:ilvl="0" w:tentative="0">
      <w:start w:val="1"/>
      <w:numFmt w:val="decimal"/>
      <w:pStyle w:val="76"/>
      <w:suff w:val="nothing"/>
      <w:lvlText w:val="表%1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788312ED"/>
    <w:multiLevelType w:val="multilevel"/>
    <w:tmpl w:val="788312ED"/>
    <w:lvl w:ilvl="0" w:tentative="0">
      <w:start w:val="1"/>
      <w:numFmt w:val="lowerLetter"/>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10"/>
  </w:num>
  <w:num w:numId="2">
    <w:abstractNumId w:val="5"/>
  </w:num>
  <w:num w:numId="3">
    <w:abstractNumId w:val="8"/>
  </w:num>
  <w:num w:numId="4">
    <w:abstractNumId w:val="11"/>
  </w:num>
  <w:num w:numId="5">
    <w:abstractNumId w:val="4"/>
  </w:num>
  <w:num w:numId="6">
    <w:abstractNumId w:val="12"/>
  </w:num>
  <w:num w:numId="7">
    <w:abstractNumId w:val="6"/>
  </w:num>
  <w:num w:numId="8">
    <w:abstractNumId w:val="7"/>
  </w:num>
  <w:num w:numId="9">
    <w:abstractNumId w:val="3"/>
  </w:num>
  <w:num w:numId="10">
    <w:abstractNumId w:val="13"/>
  </w:num>
  <w:num w:numId="11">
    <w:abstractNumId w:val="14"/>
  </w:num>
  <w:num w:numId="12">
    <w:abstractNumId w:val="1"/>
  </w:num>
  <w:num w:numId="13">
    <w:abstractNumId w:val="9"/>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attachedTemplate r:id="rId1"/>
  <w:revisionView w:markup="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D58"/>
    <w:rsid w:val="00000244"/>
    <w:rsid w:val="0000185F"/>
    <w:rsid w:val="0000586F"/>
    <w:rsid w:val="00010D92"/>
    <w:rsid w:val="00013D86"/>
    <w:rsid w:val="00013E02"/>
    <w:rsid w:val="0002143C"/>
    <w:rsid w:val="00025A65"/>
    <w:rsid w:val="00026C31"/>
    <w:rsid w:val="00027280"/>
    <w:rsid w:val="000320A7"/>
    <w:rsid w:val="00035925"/>
    <w:rsid w:val="000549D1"/>
    <w:rsid w:val="00063783"/>
    <w:rsid w:val="00063CAF"/>
    <w:rsid w:val="00067CDF"/>
    <w:rsid w:val="00074FBE"/>
    <w:rsid w:val="0008003F"/>
    <w:rsid w:val="00083A09"/>
    <w:rsid w:val="0009005E"/>
    <w:rsid w:val="00092857"/>
    <w:rsid w:val="000A20A9"/>
    <w:rsid w:val="000A48B1"/>
    <w:rsid w:val="000A7B96"/>
    <w:rsid w:val="000B3143"/>
    <w:rsid w:val="000B35AB"/>
    <w:rsid w:val="000C6B05"/>
    <w:rsid w:val="000C6DD6"/>
    <w:rsid w:val="000C73D4"/>
    <w:rsid w:val="000C7E0F"/>
    <w:rsid w:val="000D3D4C"/>
    <w:rsid w:val="000D454D"/>
    <w:rsid w:val="000D4F51"/>
    <w:rsid w:val="000D718B"/>
    <w:rsid w:val="000E0C46"/>
    <w:rsid w:val="000E4414"/>
    <w:rsid w:val="000F030C"/>
    <w:rsid w:val="000F129C"/>
    <w:rsid w:val="00104AA3"/>
    <w:rsid w:val="001056DE"/>
    <w:rsid w:val="001124C0"/>
    <w:rsid w:val="0013175F"/>
    <w:rsid w:val="001354C9"/>
    <w:rsid w:val="001512B4"/>
    <w:rsid w:val="001620A5"/>
    <w:rsid w:val="00164E53"/>
    <w:rsid w:val="0016699D"/>
    <w:rsid w:val="00172C9C"/>
    <w:rsid w:val="00175159"/>
    <w:rsid w:val="00176208"/>
    <w:rsid w:val="0018211B"/>
    <w:rsid w:val="00183CEA"/>
    <w:rsid w:val="001840D3"/>
    <w:rsid w:val="001900F8"/>
    <w:rsid w:val="00191258"/>
    <w:rsid w:val="00192680"/>
    <w:rsid w:val="00193037"/>
    <w:rsid w:val="00193A2C"/>
    <w:rsid w:val="001A288E"/>
    <w:rsid w:val="001B6DC2"/>
    <w:rsid w:val="001C149C"/>
    <w:rsid w:val="001C21AC"/>
    <w:rsid w:val="001C2494"/>
    <w:rsid w:val="001C47BA"/>
    <w:rsid w:val="001C59EA"/>
    <w:rsid w:val="001D406C"/>
    <w:rsid w:val="001D41EE"/>
    <w:rsid w:val="001D53AC"/>
    <w:rsid w:val="001E0380"/>
    <w:rsid w:val="001E13B1"/>
    <w:rsid w:val="001E719E"/>
    <w:rsid w:val="001F3A19"/>
    <w:rsid w:val="002027B8"/>
    <w:rsid w:val="00212F77"/>
    <w:rsid w:val="0022003D"/>
    <w:rsid w:val="00223554"/>
    <w:rsid w:val="002323A0"/>
    <w:rsid w:val="00234467"/>
    <w:rsid w:val="00237D8D"/>
    <w:rsid w:val="00241DA2"/>
    <w:rsid w:val="00247FEE"/>
    <w:rsid w:val="00250E7D"/>
    <w:rsid w:val="00251853"/>
    <w:rsid w:val="00251A9E"/>
    <w:rsid w:val="002565D5"/>
    <w:rsid w:val="002622C0"/>
    <w:rsid w:val="0027785F"/>
    <w:rsid w:val="002778AE"/>
    <w:rsid w:val="0028269A"/>
    <w:rsid w:val="00283590"/>
    <w:rsid w:val="00286973"/>
    <w:rsid w:val="002918B3"/>
    <w:rsid w:val="00294E70"/>
    <w:rsid w:val="002A1924"/>
    <w:rsid w:val="002A7420"/>
    <w:rsid w:val="002B0F12"/>
    <w:rsid w:val="002B1308"/>
    <w:rsid w:val="002B4554"/>
    <w:rsid w:val="002C4421"/>
    <w:rsid w:val="002C72D8"/>
    <w:rsid w:val="002D11FA"/>
    <w:rsid w:val="002D4100"/>
    <w:rsid w:val="002D4B96"/>
    <w:rsid w:val="002D6372"/>
    <w:rsid w:val="002D6A64"/>
    <w:rsid w:val="002E0DDF"/>
    <w:rsid w:val="002E2906"/>
    <w:rsid w:val="002E5635"/>
    <w:rsid w:val="002E64C3"/>
    <w:rsid w:val="002E6A2C"/>
    <w:rsid w:val="002F0174"/>
    <w:rsid w:val="002F1D8C"/>
    <w:rsid w:val="002F21DA"/>
    <w:rsid w:val="002F5FBE"/>
    <w:rsid w:val="00301F39"/>
    <w:rsid w:val="003028D3"/>
    <w:rsid w:val="00314ED3"/>
    <w:rsid w:val="00325926"/>
    <w:rsid w:val="00327A8A"/>
    <w:rsid w:val="00336610"/>
    <w:rsid w:val="00343BE8"/>
    <w:rsid w:val="00343F73"/>
    <w:rsid w:val="00345060"/>
    <w:rsid w:val="00350BBE"/>
    <w:rsid w:val="0035323B"/>
    <w:rsid w:val="003609D2"/>
    <w:rsid w:val="00363F22"/>
    <w:rsid w:val="00375564"/>
    <w:rsid w:val="00383191"/>
    <w:rsid w:val="003844E0"/>
    <w:rsid w:val="00386DED"/>
    <w:rsid w:val="003912E7"/>
    <w:rsid w:val="00391D6E"/>
    <w:rsid w:val="00393947"/>
    <w:rsid w:val="00393ADC"/>
    <w:rsid w:val="003A2275"/>
    <w:rsid w:val="003A2C8E"/>
    <w:rsid w:val="003A6A4F"/>
    <w:rsid w:val="003A7088"/>
    <w:rsid w:val="003A7FBC"/>
    <w:rsid w:val="003B00DF"/>
    <w:rsid w:val="003B1275"/>
    <w:rsid w:val="003B1778"/>
    <w:rsid w:val="003C11CB"/>
    <w:rsid w:val="003C4D91"/>
    <w:rsid w:val="003C75F3"/>
    <w:rsid w:val="003C78A3"/>
    <w:rsid w:val="003E1867"/>
    <w:rsid w:val="003E5729"/>
    <w:rsid w:val="003F4EE0"/>
    <w:rsid w:val="00402153"/>
    <w:rsid w:val="00402FC1"/>
    <w:rsid w:val="00405D51"/>
    <w:rsid w:val="004106EF"/>
    <w:rsid w:val="00425082"/>
    <w:rsid w:val="00431DEB"/>
    <w:rsid w:val="00446B29"/>
    <w:rsid w:val="00453F9A"/>
    <w:rsid w:val="00471E91"/>
    <w:rsid w:val="00474675"/>
    <w:rsid w:val="0047470C"/>
    <w:rsid w:val="00483A11"/>
    <w:rsid w:val="004A35F9"/>
    <w:rsid w:val="004B24C1"/>
    <w:rsid w:val="004B3805"/>
    <w:rsid w:val="004C292F"/>
    <w:rsid w:val="004C446A"/>
    <w:rsid w:val="004E6672"/>
    <w:rsid w:val="004E7257"/>
    <w:rsid w:val="00510280"/>
    <w:rsid w:val="00512F2E"/>
    <w:rsid w:val="00513D73"/>
    <w:rsid w:val="00514A43"/>
    <w:rsid w:val="00516B5A"/>
    <w:rsid w:val="005174E5"/>
    <w:rsid w:val="00522393"/>
    <w:rsid w:val="00522620"/>
    <w:rsid w:val="00525656"/>
    <w:rsid w:val="005343F9"/>
    <w:rsid w:val="00534C02"/>
    <w:rsid w:val="0054264B"/>
    <w:rsid w:val="00543786"/>
    <w:rsid w:val="005533D7"/>
    <w:rsid w:val="005664B4"/>
    <w:rsid w:val="005703DE"/>
    <w:rsid w:val="00582ED5"/>
    <w:rsid w:val="0058464E"/>
    <w:rsid w:val="00591703"/>
    <w:rsid w:val="0059361E"/>
    <w:rsid w:val="005A01CB"/>
    <w:rsid w:val="005A2B66"/>
    <w:rsid w:val="005A58FF"/>
    <w:rsid w:val="005A5EAF"/>
    <w:rsid w:val="005A64C0"/>
    <w:rsid w:val="005B3C11"/>
    <w:rsid w:val="005C1C28"/>
    <w:rsid w:val="005C201B"/>
    <w:rsid w:val="005C6DB5"/>
    <w:rsid w:val="005E12A3"/>
    <w:rsid w:val="005E19E7"/>
    <w:rsid w:val="005F2820"/>
    <w:rsid w:val="005F6D8C"/>
    <w:rsid w:val="00602663"/>
    <w:rsid w:val="0061716C"/>
    <w:rsid w:val="00617AAD"/>
    <w:rsid w:val="006243A1"/>
    <w:rsid w:val="00625210"/>
    <w:rsid w:val="00632E56"/>
    <w:rsid w:val="00635CBA"/>
    <w:rsid w:val="0064338B"/>
    <w:rsid w:val="00644234"/>
    <w:rsid w:val="00646542"/>
    <w:rsid w:val="006504F4"/>
    <w:rsid w:val="00654BC9"/>
    <w:rsid w:val="006552FD"/>
    <w:rsid w:val="00657364"/>
    <w:rsid w:val="00663AF3"/>
    <w:rsid w:val="00666B6C"/>
    <w:rsid w:val="00682682"/>
    <w:rsid w:val="00682702"/>
    <w:rsid w:val="00685344"/>
    <w:rsid w:val="00692368"/>
    <w:rsid w:val="006A2EBC"/>
    <w:rsid w:val="006A5EA0"/>
    <w:rsid w:val="006A783B"/>
    <w:rsid w:val="006A7B33"/>
    <w:rsid w:val="006B4E13"/>
    <w:rsid w:val="006B6B66"/>
    <w:rsid w:val="006B75DD"/>
    <w:rsid w:val="006C67E0"/>
    <w:rsid w:val="006C7ABA"/>
    <w:rsid w:val="006D0D60"/>
    <w:rsid w:val="006D1122"/>
    <w:rsid w:val="006D3C00"/>
    <w:rsid w:val="006D64A5"/>
    <w:rsid w:val="006E3675"/>
    <w:rsid w:val="006E4A7F"/>
    <w:rsid w:val="006F3AEE"/>
    <w:rsid w:val="006F5A62"/>
    <w:rsid w:val="00704DF6"/>
    <w:rsid w:val="0070651C"/>
    <w:rsid w:val="007132A3"/>
    <w:rsid w:val="00716421"/>
    <w:rsid w:val="00724EFB"/>
    <w:rsid w:val="007419C3"/>
    <w:rsid w:val="00742314"/>
    <w:rsid w:val="00743442"/>
    <w:rsid w:val="007467A7"/>
    <w:rsid w:val="007469DD"/>
    <w:rsid w:val="0074741B"/>
    <w:rsid w:val="0074759E"/>
    <w:rsid w:val="007478EA"/>
    <w:rsid w:val="0075415C"/>
    <w:rsid w:val="00757F65"/>
    <w:rsid w:val="00763502"/>
    <w:rsid w:val="00774720"/>
    <w:rsid w:val="007913AB"/>
    <w:rsid w:val="007914F7"/>
    <w:rsid w:val="00797009"/>
    <w:rsid w:val="007A77E7"/>
    <w:rsid w:val="007B1625"/>
    <w:rsid w:val="007B706E"/>
    <w:rsid w:val="007B71EB"/>
    <w:rsid w:val="007B7E24"/>
    <w:rsid w:val="007C206B"/>
    <w:rsid w:val="007C2B32"/>
    <w:rsid w:val="007C6205"/>
    <w:rsid w:val="007C686A"/>
    <w:rsid w:val="007C728E"/>
    <w:rsid w:val="007D2C53"/>
    <w:rsid w:val="007D3D60"/>
    <w:rsid w:val="007E1980"/>
    <w:rsid w:val="007E1BA7"/>
    <w:rsid w:val="007E33A0"/>
    <w:rsid w:val="007E46CE"/>
    <w:rsid w:val="007E4B76"/>
    <w:rsid w:val="007E5EA8"/>
    <w:rsid w:val="007F0CF1"/>
    <w:rsid w:val="007F12A5"/>
    <w:rsid w:val="007F1762"/>
    <w:rsid w:val="007F4CF1"/>
    <w:rsid w:val="007F6E9B"/>
    <w:rsid w:val="007F758D"/>
    <w:rsid w:val="007F7D52"/>
    <w:rsid w:val="00805BAA"/>
    <w:rsid w:val="0080654C"/>
    <w:rsid w:val="008071C6"/>
    <w:rsid w:val="008113F3"/>
    <w:rsid w:val="00814379"/>
    <w:rsid w:val="00817A00"/>
    <w:rsid w:val="00825070"/>
    <w:rsid w:val="00835DB3"/>
    <w:rsid w:val="0083617B"/>
    <w:rsid w:val="008371BD"/>
    <w:rsid w:val="008504A8"/>
    <w:rsid w:val="0085282E"/>
    <w:rsid w:val="0087198C"/>
    <w:rsid w:val="00871AFC"/>
    <w:rsid w:val="00872C1F"/>
    <w:rsid w:val="00873B42"/>
    <w:rsid w:val="008856D8"/>
    <w:rsid w:val="00892E82"/>
    <w:rsid w:val="00893ADA"/>
    <w:rsid w:val="008A0BDB"/>
    <w:rsid w:val="008A6D58"/>
    <w:rsid w:val="008B0C11"/>
    <w:rsid w:val="008B449D"/>
    <w:rsid w:val="008C1B58"/>
    <w:rsid w:val="008C39AE"/>
    <w:rsid w:val="008C3D77"/>
    <w:rsid w:val="008C47DF"/>
    <w:rsid w:val="008C590D"/>
    <w:rsid w:val="008C65E6"/>
    <w:rsid w:val="008E031B"/>
    <w:rsid w:val="008E2A22"/>
    <w:rsid w:val="008E7029"/>
    <w:rsid w:val="008E7EF6"/>
    <w:rsid w:val="008F1F98"/>
    <w:rsid w:val="008F64DE"/>
    <w:rsid w:val="008F6758"/>
    <w:rsid w:val="008F6D12"/>
    <w:rsid w:val="00903FF2"/>
    <w:rsid w:val="009040DD"/>
    <w:rsid w:val="00905B47"/>
    <w:rsid w:val="0091331C"/>
    <w:rsid w:val="0091541B"/>
    <w:rsid w:val="009279DE"/>
    <w:rsid w:val="00930116"/>
    <w:rsid w:val="00934512"/>
    <w:rsid w:val="0094212C"/>
    <w:rsid w:val="00945649"/>
    <w:rsid w:val="00954689"/>
    <w:rsid w:val="009617C9"/>
    <w:rsid w:val="00961C93"/>
    <w:rsid w:val="00962429"/>
    <w:rsid w:val="00965324"/>
    <w:rsid w:val="00967786"/>
    <w:rsid w:val="0097091E"/>
    <w:rsid w:val="00971964"/>
    <w:rsid w:val="009760D3"/>
    <w:rsid w:val="00977132"/>
    <w:rsid w:val="00981A4B"/>
    <w:rsid w:val="00982501"/>
    <w:rsid w:val="00984894"/>
    <w:rsid w:val="009877D3"/>
    <w:rsid w:val="00992CBA"/>
    <w:rsid w:val="00994E8F"/>
    <w:rsid w:val="009951DC"/>
    <w:rsid w:val="009959BB"/>
    <w:rsid w:val="00997158"/>
    <w:rsid w:val="009A0105"/>
    <w:rsid w:val="009A32F5"/>
    <w:rsid w:val="009A3A7C"/>
    <w:rsid w:val="009B2ADB"/>
    <w:rsid w:val="009B603A"/>
    <w:rsid w:val="009C2D0E"/>
    <w:rsid w:val="009C3DAC"/>
    <w:rsid w:val="009C42E0"/>
    <w:rsid w:val="009D5362"/>
    <w:rsid w:val="009E1415"/>
    <w:rsid w:val="009E1935"/>
    <w:rsid w:val="009E6116"/>
    <w:rsid w:val="009F4815"/>
    <w:rsid w:val="00A02E43"/>
    <w:rsid w:val="00A065F9"/>
    <w:rsid w:val="00A07F34"/>
    <w:rsid w:val="00A12BB3"/>
    <w:rsid w:val="00A22154"/>
    <w:rsid w:val="00A25C38"/>
    <w:rsid w:val="00A36BBE"/>
    <w:rsid w:val="00A4307A"/>
    <w:rsid w:val="00A4608B"/>
    <w:rsid w:val="00A47EBB"/>
    <w:rsid w:val="00A51CDD"/>
    <w:rsid w:val="00A62FA0"/>
    <w:rsid w:val="00A6730D"/>
    <w:rsid w:val="00A71625"/>
    <w:rsid w:val="00A71B9B"/>
    <w:rsid w:val="00A72433"/>
    <w:rsid w:val="00A751C7"/>
    <w:rsid w:val="00A8039D"/>
    <w:rsid w:val="00A87844"/>
    <w:rsid w:val="00A922E0"/>
    <w:rsid w:val="00A9263D"/>
    <w:rsid w:val="00AA038C"/>
    <w:rsid w:val="00AA7A09"/>
    <w:rsid w:val="00AB3B50"/>
    <w:rsid w:val="00AB442A"/>
    <w:rsid w:val="00AC05B1"/>
    <w:rsid w:val="00AC54D2"/>
    <w:rsid w:val="00AC6208"/>
    <w:rsid w:val="00AD356C"/>
    <w:rsid w:val="00AE2914"/>
    <w:rsid w:val="00AE47F5"/>
    <w:rsid w:val="00AE6D15"/>
    <w:rsid w:val="00AF2F3C"/>
    <w:rsid w:val="00B04182"/>
    <w:rsid w:val="00B07AE3"/>
    <w:rsid w:val="00B11430"/>
    <w:rsid w:val="00B353EB"/>
    <w:rsid w:val="00B439C4"/>
    <w:rsid w:val="00B4535E"/>
    <w:rsid w:val="00B52A8C"/>
    <w:rsid w:val="00B56C1B"/>
    <w:rsid w:val="00B618E2"/>
    <w:rsid w:val="00B62918"/>
    <w:rsid w:val="00B636A8"/>
    <w:rsid w:val="00B665C6"/>
    <w:rsid w:val="00B77966"/>
    <w:rsid w:val="00B805AF"/>
    <w:rsid w:val="00B82FC9"/>
    <w:rsid w:val="00B869EC"/>
    <w:rsid w:val="00B9397A"/>
    <w:rsid w:val="00B9633D"/>
    <w:rsid w:val="00BA2EBE"/>
    <w:rsid w:val="00BB0F28"/>
    <w:rsid w:val="00BB458A"/>
    <w:rsid w:val="00BD00D3"/>
    <w:rsid w:val="00BD1659"/>
    <w:rsid w:val="00BD3AA9"/>
    <w:rsid w:val="00BD4A18"/>
    <w:rsid w:val="00BD6DB2"/>
    <w:rsid w:val="00BE11CF"/>
    <w:rsid w:val="00BE21AB"/>
    <w:rsid w:val="00BE55CB"/>
    <w:rsid w:val="00BF617A"/>
    <w:rsid w:val="00C0044D"/>
    <w:rsid w:val="00C0379D"/>
    <w:rsid w:val="00C03931"/>
    <w:rsid w:val="00C0509A"/>
    <w:rsid w:val="00C05FE3"/>
    <w:rsid w:val="00C17684"/>
    <w:rsid w:val="00C2136D"/>
    <w:rsid w:val="00C214EE"/>
    <w:rsid w:val="00C2314B"/>
    <w:rsid w:val="00C24971"/>
    <w:rsid w:val="00C26BE5"/>
    <w:rsid w:val="00C26E4D"/>
    <w:rsid w:val="00C27909"/>
    <w:rsid w:val="00C27B03"/>
    <w:rsid w:val="00C314E1"/>
    <w:rsid w:val="00C34397"/>
    <w:rsid w:val="00C40025"/>
    <w:rsid w:val="00C4095D"/>
    <w:rsid w:val="00C50733"/>
    <w:rsid w:val="00C52A06"/>
    <w:rsid w:val="00C54312"/>
    <w:rsid w:val="00C601D2"/>
    <w:rsid w:val="00C657AB"/>
    <w:rsid w:val="00C65BCC"/>
    <w:rsid w:val="00C66970"/>
    <w:rsid w:val="00C756E7"/>
    <w:rsid w:val="00C85EA7"/>
    <w:rsid w:val="00C8691C"/>
    <w:rsid w:val="00C94457"/>
    <w:rsid w:val="00C9624C"/>
    <w:rsid w:val="00CA168A"/>
    <w:rsid w:val="00CA357E"/>
    <w:rsid w:val="00CA44F9"/>
    <w:rsid w:val="00CA4A69"/>
    <w:rsid w:val="00CB4F30"/>
    <w:rsid w:val="00CC3E0C"/>
    <w:rsid w:val="00CC58D3"/>
    <w:rsid w:val="00CC784D"/>
    <w:rsid w:val="00CD7D87"/>
    <w:rsid w:val="00D0337B"/>
    <w:rsid w:val="00D079B2"/>
    <w:rsid w:val="00D07D8A"/>
    <w:rsid w:val="00D114E9"/>
    <w:rsid w:val="00D12336"/>
    <w:rsid w:val="00D24043"/>
    <w:rsid w:val="00D25F43"/>
    <w:rsid w:val="00D429C6"/>
    <w:rsid w:val="00D47748"/>
    <w:rsid w:val="00D54CC3"/>
    <w:rsid w:val="00D6041A"/>
    <w:rsid w:val="00D633EB"/>
    <w:rsid w:val="00D82FF7"/>
    <w:rsid w:val="00D847FE"/>
    <w:rsid w:val="00D964EA"/>
    <w:rsid w:val="00D966D0"/>
    <w:rsid w:val="00D9757D"/>
    <w:rsid w:val="00DA0C59"/>
    <w:rsid w:val="00DA3991"/>
    <w:rsid w:val="00DA7E8A"/>
    <w:rsid w:val="00DB7E6C"/>
    <w:rsid w:val="00DD57C7"/>
    <w:rsid w:val="00DD5A29"/>
    <w:rsid w:val="00DD5D9D"/>
    <w:rsid w:val="00DE35CB"/>
    <w:rsid w:val="00DE74FC"/>
    <w:rsid w:val="00DF21E9"/>
    <w:rsid w:val="00E00F14"/>
    <w:rsid w:val="00E036E2"/>
    <w:rsid w:val="00E06386"/>
    <w:rsid w:val="00E17647"/>
    <w:rsid w:val="00E20B89"/>
    <w:rsid w:val="00E20C41"/>
    <w:rsid w:val="00E24EB4"/>
    <w:rsid w:val="00E2717C"/>
    <w:rsid w:val="00E320ED"/>
    <w:rsid w:val="00E33AFB"/>
    <w:rsid w:val="00E33E09"/>
    <w:rsid w:val="00E34218"/>
    <w:rsid w:val="00E34743"/>
    <w:rsid w:val="00E46282"/>
    <w:rsid w:val="00E46C69"/>
    <w:rsid w:val="00E5216E"/>
    <w:rsid w:val="00E70A19"/>
    <w:rsid w:val="00E726A2"/>
    <w:rsid w:val="00E72828"/>
    <w:rsid w:val="00E75C1B"/>
    <w:rsid w:val="00E82344"/>
    <w:rsid w:val="00E84456"/>
    <w:rsid w:val="00E84C82"/>
    <w:rsid w:val="00E84D64"/>
    <w:rsid w:val="00E87408"/>
    <w:rsid w:val="00E87C3E"/>
    <w:rsid w:val="00E914C4"/>
    <w:rsid w:val="00E92475"/>
    <w:rsid w:val="00E934F5"/>
    <w:rsid w:val="00E96961"/>
    <w:rsid w:val="00EA72EC"/>
    <w:rsid w:val="00EB11CB"/>
    <w:rsid w:val="00EB275A"/>
    <w:rsid w:val="00EB786A"/>
    <w:rsid w:val="00EC14B1"/>
    <w:rsid w:val="00EC1578"/>
    <w:rsid w:val="00EC1C72"/>
    <w:rsid w:val="00EC3CC9"/>
    <w:rsid w:val="00EC680A"/>
    <w:rsid w:val="00EC72E2"/>
    <w:rsid w:val="00EC76FD"/>
    <w:rsid w:val="00EE1C89"/>
    <w:rsid w:val="00EE2BED"/>
    <w:rsid w:val="00EE374B"/>
    <w:rsid w:val="00F11BB5"/>
    <w:rsid w:val="00F1417B"/>
    <w:rsid w:val="00F217FF"/>
    <w:rsid w:val="00F23331"/>
    <w:rsid w:val="00F34B99"/>
    <w:rsid w:val="00F524A3"/>
    <w:rsid w:val="00F52DAB"/>
    <w:rsid w:val="00F53D49"/>
    <w:rsid w:val="00F543F0"/>
    <w:rsid w:val="00F65D3F"/>
    <w:rsid w:val="00F7171B"/>
    <w:rsid w:val="00F81D29"/>
    <w:rsid w:val="00F8292A"/>
    <w:rsid w:val="00F91C4D"/>
    <w:rsid w:val="00F92FD9"/>
    <w:rsid w:val="00F95D50"/>
    <w:rsid w:val="00FA6684"/>
    <w:rsid w:val="00FA731E"/>
    <w:rsid w:val="00FB2B38"/>
    <w:rsid w:val="00FC6358"/>
    <w:rsid w:val="00FD320D"/>
    <w:rsid w:val="00FD767F"/>
    <w:rsid w:val="00FE23DE"/>
    <w:rsid w:val="00FF264E"/>
    <w:rsid w:val="01847806"/>
    <w:rsid w:val="01A52475"/>
    <w:rsid w:val="02CA290A"/>
    <w:rsid w:val="037F4DD0"/>
    <w:rsid w:val="041317F3"/>
    <w:rsid w:val="053551E1"/>
    <w:rsid w:val="05991D8A"/>
    <w:rsid w:val="064466CF"/>
    <w:rsid w:val="06D304E0"/>
    <w:rsid w:val="07304ED7"/>
    <w:rsid w:val="08143C2D"/>
    <w:rsid w:val="081715AF"/>
    <w:rsid w:val="08B7433D"/>
    <w:rsid w:val="090A7378"/>
    <w:rsid w:val="09CC63DB"/>
    <w:rsid w:val="0AC9473D"/>
    <w:rsid w:val="0B465B9C"/>
    <w:rsid w:val="0D5158FF"/>
    <w:rsid w:val="0D72273A"/>
    <w:rsid w:val="0D9B62E2"/>
    <w:rsid w:val="0DDD271D"/>
    <w:rsid w:val="0E824A4C"/>
    <w:rsid w:val="0F7A6B34"/>
    <w:rsid w:val="101B21E9"/>
    <w:rsid w:val="10F22E79"/>
    <w:rsid w:val="11433163"/>
    <w:rsid w:val="116806F1"/>
    <w:rsid w:val="11943AB0"/>
    <w:rsid w:val="11A95380"/>
    <w:rsid w:val="13323D01"/>
    <w:rsid w:val="14182508"/>
    <w:rsid w:val="14CA5971"/>
    <w:rsid w:val="14CB28E0"/>
    <w:rsid w:val="165509F8"/>
    <w:rsid w:val="166F7BB7"/>
    <w:rsid w:val="179A37C7"/>
    <w:rsid w:val="187571A2"/>
    <w:rsid w:val="18ED7EFC"/>
    <w:rsid w:val="1A02429C"/>
    <w:rsid w:val="1A1B7751"/>
    <w:rsid w:val="1AB92108"/>
    <w:rsid w:val="1B171500"/>
    <w:rsid w:val="1B8C0769"/>
    <w:rsid w:val="1CE54415"/>
    <w:rsid w:val="1EAE5864"/>
    <w:rsid w:val="1EB76FC9"/>
    <w:rsid w:val="20C37CBC"/>
    <w:rsid w:val="21C356E8"/>
    <w:rsid w:val="22C45359"/>
    <w:rsid w:val="23A27F16"/>
    <w:rsid w:val="258648F4"/>
    <w:rsid w:val="261A1265"/>
    <w:rsid w:val="27250855"/>
    <w:rsid w:val="27DF07A2"/>
    <w:rsid w:val="28A860A9"/>
    <w:rsid w:val="29E11AF3"/>
    <w:rsid w:val="2A6E2B14"/>
    <w:rsid w:val="2A9733D0"/>
    <w:rsid w:val="2AAB6E6B"/>
    <w:rsid w:val="2BCA0608"/>
    <w:rsid w:val="2C8F6C31"/>
    <w:rsid w:val="2EF951A1"/>
    <w:rsid w:val="2F5A567B"/>
    <w:rsid w:val="2FD82CD0"/>
    <w:rsid w:val="308C0E02"/>
    <w:rsid w:val="32361152"/>
    <w:rsid w:val="333B61A4"/>
    <w:rsid w:val="339259E4"/>
    <w:rsid w:val="351D1F1C"/>
    <w:rsid w:val="36DE2DC5"/>
    <w:rsid w:val="38191D7C"/>
    <w:rsid w:val="386C5955"/>
    <w:rsid w:val="39093C9F"/>
    <w:rsid w:val="3B581673"/>
    <w:rsid w:val="3B9249D0"/>
    <w:rsid w:val="3C4A2E77"/>
    <w:rsid w:val="3C567C4A"/>
    <w:rsid w:val="3EAE0CE9"/>
    <w:rsid w:val="3F7B3FB4"/>
    <w:rsid w:val="414F28C1"/>
    <w:rsid w:val="417D24F0"/>
    <w:rsid w:val="42BA1CEA"/>
    <w:rsid w:val="43697320"/>
    <w:rsid w:val="44FA25B8"/>
    <w:rsid w:val="467655B7"/>
    <w:rsid w:val="470D143B"/>
    <w:rsid w:val="471F0407"/>
    <w:rsid w:val="47F72653"/>
    <w:rsid w:val="497475E8"/>
    <w:rsid w:val="49CE182A"/>
    <w:rsid w:val="4AA57242"/>
    <w:rsid w:val="4AFC3310"/>
    <w:rsid w:val="4C81533D"/>
    <w:rsid w:val="4CFF31B1"/>
    <w:rsid w:val="4DBE1B39"/>
    <w:rsid w:val="4EF53E96"/>
    <w:rsid w:val="4F697395"/>
    <w:rsid w:val="4FB92958"/>
    <w:rsid w:val="50F76FDA"/>
    <w:rsid w:val="54286A3B"/>
    <w:rsid w:val="54A63930"/>
    <w:rsid w:val="54C01584"/>
    <w:rsid w:val="54E35204"/>
    <w:rsid w:val="554E0F03"/>
    <w:rsid w:val="56AB661D"/>
    <w:rsid w:val="56E81D04"/>
    <w:rsid w:val="57AE2C6E"/>
    <w:rsid w:val="57F148FD"/>
    <w:rsid w:val="596C5B60"/>
    <w:rsid w:val="5AB65BF1"/>
    <w:rsid w:val="5AF9268A"/>
    <w:rsid w:val="5CB116BE"/>
    <w:rsid w:val="5FAB4E04"/>
    <w:rsid w:val="629A1D40"/>
    <w:rsid w:val="62CC5C4B"/>
    <w:rsid w:val="631719D1"/>
    <w:rsid w:val="63C4043C"/>
    <w:rsid w:val="64900E0A"/>
    <w:rsid w:val="656B7E99"/>
    <w:rsid w:val="661D05FA"/>
    <w:rsid w:val="6713164A"/>
    <w:rsid w:val="6A7B278A"/>
    <w:rsid w:val="6B0F4B5A"/>
    <w:rsid w:val="6B442185"/>
    <w:rsid w:val="6D231330"/>
    <w:rsid w:val="6D234BC2"/>
    <w:rsid w:val="6D2F116F"/>
    <w:rsid w:val="6FBA42EB"/>
    <w:rsid w:val="71FA003C"/>
    <w:rsid w:val="73561F7D"/>
    <w:rsid w:val="73F93553"/>
    <w:rsid w:val="74D8263E"/>
    <w:rsid w:val="78E4127A"/>
    <w:rsid w:val="7947175E"/>
    <w:rsid w:val="7A914865"/>
    <w:rsid w:val="7AD2618C"/>
    <w:rsid w:val="7AD43EC4"/>
    <w:rsid w:val="7AF03FED"/>
    <w:rsid w:val="7C235DFF"/>
    <w:rsid w:val="7C4C70A6"/>
    <w:rsid w:val="7CB12739"/>
    <w:rsid w:val="7D2E186E"/>
    <w:rsid w:val="7D484513"/>
    <w:rsid w:val="7DB86945"/>
    <w:rsid w:val="7FA512AA"/>
    <w:rsid w:val="7FA54CC5"/>
    <w:rsid w:val="7FBE2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8" w:semiHidden="0" w:name="Normal"/>
    <w:lsdException w:qFormat="1" w:unhideWhenUsed="0" w:uiPriority="1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10" w:semiHidden="0" w:name="index 1"/>
    <w:lsdException w:unhideWhenUsed="0" w:uiPriority="10" w:semiHidden="0" w:name="index 2"/>
    <w:lsdException w:unhideWhenUsed="0" w:uiPriority="10" w:semiHidden="0" w:name="index 3"/>
    <w:lsdException w:unhideWhenUsed="0" w:uiPriority="10" w:semiHidden="0" w:name="index 4"/>
    <w:lsdException w:unhideWhenUsed="0" w:uiPriority="10" w:semiHidden="0" w:name="index 5"/>
    <w:lsdException w:unhideWhenUsed="0" w:uiPriority="10" w:semiHidden="0" w:name="index 6"/>
    <w:lsdException w:unhideWhenUsed="0" w:uiPriority="10" w:semiHidden="0" w:name="index 7"/>
    <w:lsdException w:unhideWhenUsed="0" w:uiPriority="10" w:semiHidden="0" w:name="index 8"/>
    <w:lsdException w:unhideWhenUsed="0" w:uiPriority="1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8" w:semiHidden="0" w:name="Normal Indent"/>
    <w:lsdException w:qFormat="1" w:unhideWhenUsed="0" w:uiPriority="1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10" w:semiHidden="0" w:name="index heading"/>
    <w:lsdException w:qFormat="1" w:unhideWhenUsed="0" w:uiPriority="10" w:semiHidden="0" w:name="caption"/>
    <w:lsdException w:unhideWhenUsed="0" w:uiPriority="10" w:semiHidden="0" w:name="table of figures"/>
    <w:lsdException w:unhideWhenUsed="0" w:uiPriority="10" w:semiHidden="0" w:name="envelope address"/>
    <w:lsdException w:unhideWhenUsed="0" w:uiPriority="10" w:semiHidden="0" w:name="envelope return"/>
    <w:lsdException w:qFormat="1" w:unhideWhenUsed="0" w:uiPriority="0" w:name="footnote reference"/>
    <w:lsdException w:qFormat="1" w:unhideWhenUsed="0" w:uiPriority="0" w:semiHidden="0" w:name="annotation reference"/>
    <w:lsdException w:unhideWhenUsed="0" w:uiPriority="10" w:semiHidden="0" w:name="line number"/>
    <w:lsdException w:qFormat="1" w:unhideWhenUsed="0" w:uiPriority="10" w:semiHidden="0" w:name="page number"/>
    <w:lsdException w:qFormat="1" w:unhideWhenUsed="0" w:uiPriority="0" w:name="endnote reference"/>
    <w:lsdException w:qFormat="1" w:unhideWhenUsed="0" w:uiPriority="0" w:name="endnote text"/>
    <w:lsdException w:unhideWhenUsed="0" w:uiPriority="10" w:semiHidden="0" w:name="table of authorities"/>
    <w:lsdException w:unhideWhenUsed="0" w:uiPriority="10" w:semiHidden="0" w:name="macro"/>
    <w:lsdException w:unhideWhenUsed="0" w:uiPriority="10" w:semiHidden="0" w:name="toa heading"/>
    <w:lsdException w:unhideWhenUsed="0" w:uiPriority="10" w:semiHidden="0" w:name="List"/>
    <w:lsdException w:unhideWhenUsed="0" w:uiPriority="10" w:semiHidden="0" w:name="List Bullet"/>
    <w:lsdException w:unhideWhenUsed="0" w:uiPriority="10" w:semiHidden="0" w:name="List Number"/>
    <w:lsdException w:unhideWhenUsed="0" w:uiPriority="10" w:semiHidden="0" w:name="List 2"/>
    <w:lsdException w:unhideWhenUsed="0" w:uiPriority="10" w:semiHidden="0" w:name="List 3"/>
    <w:lsdException w:unhideWhenUsed="0" w:uiPriority="10" w:semiHidden="0" w:name="List 4"/>
    <w:lsdException w:unhideWhenUsed="0" w:uiPriority="10" w:semiHidden="0" w:name="List 5"/>
    <w:lsdException w:unhideWhenUsed="0" w:uiPriority="10" w:semiHidden="0" w:name="List Bullet 2"/>
    <w:lsdException w:unhideWhenUsed="0" w:uiPriority="10" w:semiHidden="0" w:name="List Bullet 3"/>
    <w:lsdException w:unhideWhenUsed="0" w:uiPriority="10" w:semiHidden="0" w:name="List Bullet 4"/>
    <w:lsdException w:unhideWhenUsed="0" w:uiPriority="10" w:semiHidden="0" w:name="List Bullet 5"/>
    <w:lsdException w:unhideWhenUsed="0" w:uiPriority="10" w:semiHidden="0" w:name="List Number 2"/>
    <w:lsdException w:unhideWhenUsed="0" w:uiPriority="10" w:semiHidden="0" w:name="List Number 3"/>
    <w:lsdException w:unhideWhenUsed="0" w:uiPriority="10" w:semiHidden="0" w:name="List Number 4"/>
    <w:lsdException w:unhideWhenUsed="0" w:uiPriority="10" w:semiHidden="0" w:name="List Number 5"/>
    <w:lsdException w:unhideWhenUsed="0" w:uiPriority="10" w:semiHidden="0" w:name="Title"/>
    <w:lsdException w:unhideWhenUsed="0" w:uiPriority="10" w:semiHidden="0" w:name="Closing"/>
    <w:lsdException w:unhideWhenUsed="0" w:uiPriority="10" w:semiHidden="0" w:name="Signature"/>
    <w:lsdException w:qFormat="1" w:uiPriority="1" w:name="Default Paragraph Font"/>
    <w:lsdException w:unhideWhenUsed="0" w:uiPriority="8" w:semiHidden="0" w:name="Body Text"/>
    <w:lsdException w:unhideWhenUsed="0" w:uiPriority="8" w:semiHidden="0" w:name="Body Text Indent"/>
    <w:lsdException w:unhideWhenUsed="0" w:uiPriority="10" w:semiHidden="0" w:name="List Continue"/>
    <w:lsdException w:unhideWhenUsed="0" w:uiPriority="10" w:semiHidden="0" w:name="List Continue 2"/>
    <w:lsdException w:unhideWhenUsed="0" w:uiPriority="10" w:semiHidden="0" w:name="List Continue 3"/>
    <w:lsdException w:unhideWhenUsed="0" w:uiPriority="10" w:semiHidden="0" w:name="List Continue 4"/>
    <w:lsdException w:unhideWhenUsed="0" w:uiPriority="10" w:semiHidden="0" w:name="List Continue 5"/>
    <w:lsdException w:unhideWhenUsed="0" w:uiPriority="10" w:semiHidden="0" w:name="Message Header"/>
    <w:lsdException w:unhideWhenUsed="0" w:uiPriority="10" w:semiHidden="0" w:name="Subtitle"/>
    <w:lsdException w:unhideWhenUsed="0" w:uiPriority="10" w:semiHidden="0" w:name="Salutation"/>
    <w:lsdException w:unhideWhenUsed="0" w:uiPriority="10" w:semiHidden="0" w:name="Date"/>
    <w:lsdException w:unhideWhenUsed="0" w:uiPriority="8" w:semiHidden="0" w:name="Body Text First Indent"/>
    <w:lsdException w:unhideWhenUsed="0" w:uiPriority="8" w:semiHidden="0" w:name="Body Text First Indent 2"/>
    <w:lsdException w:unhideWhenUsed="0" w:uiPriority="10" w:semiHidden="0" w:name="Note Heading"/>
    <w:lsdException w:unhideWhenUsed="0" w:uiPriority="8" w:semiHidden="0" w:name="Body Text 2"/>
    <w:lsdException w:unhideWhenUsed="0" w:uiPriority="8" w:semiHidden="0" w:name="Body Text 3"/>
    <w:lsdException w:unhideWhenUsed="0" w:uiPriority="8" w:semiHidden="0" w:name="Body Text Indent 2"/>
    <w:lsdException w:unhideWhenUsed="0" w:uiPriority="8" w:semiHidden="0" w:name="Body Text Indent 3"/>
    <w:lsdException w:unhideWhenUsed="0" w:uiPriority="10" w:semiHidden="0" w:name="Block Text"/>
    <w:lsdException w:qFormat="1" w:unhideWhenUsed="0" w:uiPriority="99" w:semiHidden="0" w:name="Hyperlink"/>
    <w:lsdException w:unhideWhenUsed="0" w:uiPriority="10" w:semiHidden="0" w:name="FollowedHyperlink"/>
    <w:lsdException w:unhideWhenUsed="0" w:uiPriority="10" w:semiHidden="0" w:name="Strong"/>
    <w:lsdException w:unhideWhenUsed="0" w:uiPriority="10" w:semiHidden="0" w:name="Emphasis"/>
    <w:lsdException w:qFormat="1" w:unhideWhenUsed="0" w:uiPriority="0" w:name="Document Map"/>
    <w:lsdException w:unhideWhenUsed="0" w:uiPriority="9" w:semiHidden="0" w:name="Plain Text"/>
    <w:lsdException w:unhideWhenUsed="0" w:uiPriority="10" w:semiHidden="0" w:name="E-mail Signature"/>
    <w:lsdException w:qFormat="1" w:uiPriority="99" w:semiHidden="0" w:name="Normal (Web)"/>
    <w:lsdException w:unhideWhenUsed="0" w:uiPriority="10" w:semiHidden="0" w:name="HTML Acronym"/>
    <w:lsdException w:unhideWhenUsed="0" w:uiPriority="10" w:semiHidden="0" w:name="HTML Address"/>
    <w:lsdException w:unhideWhenUsed="0" w:uiPriority="10" w:semiHidden="0" w:name="HTML Cite"/>
    <w:lsdException w:unhideWhenUsed="0" w:uiPriority="10" w:semiHidden="0" w:name="HTML Code"/>
    <w:lsdException w:unhideWhenUsed="0" w:uiPriority="10" w:semiHidden="0" w:name="HTML Definition"/>
    <w:lsdException w:unhideWhenUsed="0" w:uiPriority="10" w:semiHidden="0" w:name="HTML Keyboard"/>
    <w:lsdException w:unhideWhenUsed="0" w:uiPriority="10" w:semiHidden="0" w:name="HTML Preformatted"/>
    <w:lsdException w:unhideWhenUsed="0" w:uiPriority="10" w:semiHidden="0" w:name="HTML Sample"/>
    <w:lsdException w:unhideWhenUsed="0" w:uiPriority="10" w:semiHidden="0" w:name="HTML Typewriter"/>
    <w:lsdException w:unhideWhenUsed="0" w:uiPriority="10" w:semiHidden="0" w:name="HTML Variable"/>
    <w:lsdException w:qFormat="1" w:uiPriority="99" w:name="Normal Table"/>
    <w:lsdException w:qFormat="1" w:unhideWhenUsed="0" w:uiPriority="1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1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4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8"/>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2"/>
    <w:qFormat/>
    <w:uiPriority w:val="10"/>
    <w:pPr>
      <w:keepNext/>
      <w:keepLines/>
      <w:spacing w:before="340" w:after="330" w:line="578" w:lineRule="auto"/>
      <w:outlineLvl w:val="0"/>
    </w:pPr>
    <w:rPr>
      <w:b/>
      <w:bCs/>
      <w:kern w:val="44"/>
      <w:sz w:val="44"/>
      <w:szCs w:val="4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2"/>
      </w:tabs>
      <w:ind w:firstLine="6259" w:firstLineChars="500"/>
      <w:jc w:val="left"/>
    </w:pPr>
    <w:rPr>
      <w:rFonts w:ascii="宋体"/>
      <w:szCs w:val="21"/>
    </w:rPr>
  </w:style>
  <w:style w:type="paragraph" w:styleId="4">
    <w:name w:val="caption"/>
    <w:basedOn w:val="1"/>
    <w:next w:val="1"/>
    <w:qFormat/>
    <w:uiPriority w:val="10"/>
    <w:pPr>
      <w:spacing w:before="152" w:after="160"/>
    </w:pPr>
    <w:rPr>
      <w:rFonts w:ascii="Arial" w:hAnsi="Arial" w:eastAsia="黑体" w:cs="Arial"/>
      <w:sz w:val="20"/>
      <w:szCs w:val="20"/>
    </w:rPr>
  </w:style>
  <w:style w:type="paragraph" w:styleId="5">
    <w:name w:val="Document Map"/>
    <w:basedOn w:val="1"/>
    <w:semiHidden/>
    <w:qFormat/>
    <w:uiPriority w:val="0"/>
    <w:pPr>
      <w:shd w:val="clear" w:color="auto" w:fill="000080"/>
    </w:pPr>
  </w:style>
  <w:style w:type="paragraph" w:styleId="6">
    <w:name w:val="annotation text"/>
    <w:basedOn w:val="1"/>
    <w:link w:val="117"/>
    <w:qFormat/>
    <w:uiPriority w:val="0"/>
    <w:pPr>
      <w:jc w:val="left"/>
    </w:pPr>
  </w:style>
  <w:style w:type="paragraph" w:styleId="7">
    <w:name w:val="toc 5"/>
    <w:basedOn w:val="1"/>
    <w:next w:val="1"/>
    <w:semiHidden/>
    <w:qFormat/>
    <w:uiPriority w:val="0"/>
    <w:pPr>
      <w:tabs>
        <w:tab w:val="right" w:leader="dot" w:pos="9242"/>
      </w:tabs>
      <w:ind w:firstLine="3755" w:firstLineChars="300"/>
      <w:jc w:val="left"/>
    </w:pPr>
    <w:rPr>
      <w:rFonts w:ascii="宋体"/>
      <w:szCs w:val="21"/>
    </w:rPr>
  </w:style>
  <w:style w:type="paragraph" w:styleId="8">
    <w:name w:val="toc 3"/>
    <w:basedOn w:val="1"/>
    <w:next w:val="1"/>
    <w:qFormat/>
    <w:uiPriority w:val="39"/>
    <w:pPr>
      <w:tabs>
        <w:tab w:val="right" w:leader="dot" w:pos="9242"/>
      </w:tabs>
      <w:ind w:firstLine="1252" w:firstLineChars="100"/>
      <w:jc w:val="left"/>
    </w:pPr>
    <w:rPr>
      <w:rFonts w:ascii="宋体"/>
      <w:szCs w:val="21"/>
    </w:rPr>
  </w:style>
  <w:style w:type="paragraph" w:styleId="9">
    <w:name w:val="toc 8"/>
    <w:basedOn w:val="1"/>
    <w:next w:val="1"/>
    <w:semiHidden/>
    <w:qFormat/>
    <w:uiPriority w:val="0"/>
    <w:pPr>
      <w:tabs>
        <w:tab w:val="right" w:leader="dot" w:pos="9242"/>
      </w:tabs>
      <w:ind w:firstLine="7511" w:firstLineChars="600"/>
      <w:jc w:val="left"/>
    </w:pPr>
    <w:rPr>
      <w:rFonts w:ascii="宋体"/>
      <w:szCs w:val="21"/>
    </w:rPr>
  </w:style>
  <w:style w:type="paragraph" w:styleId="10">
    <w:name w:val="endnote text"/>
    <w:basedOn w:val="1"/>
    <w:semiHidden/>
    <w:qFormat/>
    <w:uiPriority w:val="0"/>
    <w:pPr>
      <w:snapToGrid w:val="0"/>
      <w:jc w:val="left"/>
    </w:pPr>
  </w:style>
  <w:style w:type="paragraph" w:styleId="11">
    <w:name w:val="Balloon Text"/>
    <w:basedOn w:val="1"/>
    <w:link w:val="113"/>
    <w:qFormat/>
    <w:uiPriority w:val="10"/>
    <w:rPr>
      <w:sz w:val="18"/>
      <w:szCs w:val="18"/>
    </w:rPr>
  </w:style>
  <w:style w:type="paragraph" w:styleId="12">
    <w:name w:val="footer"/>
    <w:basedOn w:val="1"/>
    <w:link w:val="47"/>
    <w:qFormat/>
    <w:uiPriority w:val="99"/>
    <w:pPr>
      <w:tabs>
        <w:tab w:val="center" w:pos="4153"/>
        <w:tab w:val="right" w:pos="8306"/>
      </w:tabs>
      <w:snapToGrid w:val="0"/>
      <w:jc w:val="left"/>
    </w:pPr>
    <w:rPr>
      <w:sz w:val="18"/>
      <w:szCs w:val="18"/>
    </w:rPr>
  </w:style>
  <w:style w:type="paragraph" w:styleId="13">
    <w:name w:val="header"/>
    <w:basedOn w:val="1"/>
    <w:link w:val="35"/>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tabs>
        <w:tab w:val="right" w:leader="dot" w:pos="9242"/>
      </w:tabs>
      <w:spacing w:before="79" w:beforeLines="25" w:after="79" w:afterLines="25"/>
      <w:jc w:val="left"/>
    </w:pPr>
    <w:rPr>
      <w:rFonts w:ascii="宋体"/>
      <w:szCs w:val="21"/>
    </w:rPr>
  </w:style>
  <w:style w:type="paragraph" w:styleId="15">
    <w:name w:val="toc 4"/>
    <w:basedOn w:val="1"/>
    <w:next w:val="1"/>
    <w:semiHidden/>
    <w:qFormat/>
    <w:uiPriority w:val="0"/>
    <w:pPr>
      <w:tabs>
        <w:tab w:val="right" w:leader="dot" w:pos="9242"/>
      </w:tabs>
      <w:ind w:firstLine="2504" w:firstLineChars="200"/>
      <w:jc w:val="left"/>
    </w:pPr>
    <w:rPr>
      <w:rFonts w:ascii="宋体"/>
      <w:szCs w:val="21"/>
    </w:rPr>
  </w:style>
  <w:style w:type="paragraph" w:styleId="16">
    <w:name w:val="index heading"/>
    <w:basedOn w:val="1"/>
    <w:next w:val="17"/>
    <w:qFormat/>
    <w:uiPriority w:val="10"/>
    <w:pPr>
      <w:spacing w:before="120" w:after="120"/>
      <w:jc w:val="center"/>
    </w:pPr>
    <w:rPr>
      <w:rFonts w:ascii="Calibri" w:hAnsi="Calibri"/>
      <w:b/>
      <w:bCs/>
      <w:iCs/>
      <w:szCs w:val="20"/>
    </w:rPr>
  </w:style>
  <w:style w:type="paragraph" w:styleId="17">
    <w:name w:val="index 1"/>
    <w:basedOn w:val="1"/>
    <w:next w:val="18"/>
    <w:qFormat/>
    <w:uiPriority w:val="10"/>
    <w:pPr>
      <w:tabs>
        <w:tab w:val="right" w:leader="dot" w:pos="9299"/>
      </w:tabs>
      <w:jc w:val="left"/>
    </w:pPr>
    <w:rPr>
      <w:rFonts w:ascii="宋体"/>
      <w:szCs w:val="21"/>
    </w:rPr>
  </w:style>
  <w:style w:type="paragraph" w:customStyle="1" w:styleId="18">
    <w:name w:val="段"/>
    <w:link w:val="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9">
    <w:name w:val="footnote text"/>
    <w:basedOn w:val="1"/>
    <w:qFormat/>
    <w:uiPriority w:val="10"/>
    <w:pPr>
      <w:numPr>
        <w:ilvl w:val="0"/>
        <w:numId w:val="1"/>
      </w:numPr>
      <w:snapToGrid w:val="0"/>
      <w:jc w:val="left"/>
    </w:pPr>
    <w:rPr>
      <w:rFonts w:ascii="宋体"/>
      <w:sz w:val="18"/>
      <w:szCs w:val="18"/>
    </w:rPr>
  </w:style>
  <w:style w:type="paragraph" w:styleId="20">
    <w:name w:val="toc 6"/>
    <w:basedOn w:val="1"/>
    <w:next w:val="1"/>
    <w:semiHidden/>
    <w:qFormat/>
    <w:uiPriority w:val="0"/>
    <w:pPr>
      <w:tabs>
        <w:tab w:val="right" w:leader="dot" w:pos="9242"/>
      </w:tabs>
      <w:ind w:firstLine="5007" w:firstLineChars="400"/>
      <w:jc w:val="left"/>
    </w:pPr>
    <w:rPr>
      <w:rFonts w:ascii="宋体"/>
      <w:szCs w:val="21"/>
    </w:rPr>
  </w:style>
  <w:style w:type="paragraph" w:styleId="21">
    <w:name w:val="toc 2"/>
    <w:basedOn w:val="1"/>
    <w:next w:val="1"/>
    <w:semiHidden/>
    <w:qFormat/>
    <w:uiPriority w:val="0"/>
    <w:pPr>
      <w:tabs>
        <w:tab w:val="right" w:leader="dot" w:pos="9242"/>
      </w:tabs>
    </w:pPr>
    <w:rPr>
      <w:rFonts w:ascii="宋体"/>
      <w:szCs w:val="21"/>
    </w:rPr>
  </w:style>
  <w:style w:type="paragraph" w:styleId="22">
    <w:name w:val="toc 9"/>
    <w:basedOn w:val="1"/>
    <w:next w:val="1"/>
    <w:semiHidden/>
    <w:qFormat/>
    <w:uiPriority w:val="0"/>
    <w:pPr>
      <w:ind w:left="1470"/>
      <w:jc w:val="left"/>
    </w:pPr>
    <w:rPr>
      <w:sz w:val="20"/>
      <w:szCs w:val="20"/>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4">
    <w:name w:val="annotation subject"/>
    <w:basedOn w:val="6"/>
    <w:next w:val="6"/>
    <w:link w:val="118"/>
    <w:qFormat/>
    <w:uiPriority w:val="10"/>
    <w:rPr>
      <w:b/>
      <w:bCs/>
    </w:rPr>
  </w:style>
  <w:style w:type="table" w:styleId="26">
    <w:name w:val="Table Grid"/>
    <w:basedOn w:val="2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endnote reference"/>
    <w:semiHidden/>
    <w:qFormat/>
    <w:uiPriority w:val="0"/>
    <w:rPr>
      <w:vertAlign w:val="superscript"/>
    </w:rPr>
  </w:style>
  <w:style w:type="character" w:styleId="29">
    <w:name w:val="page number"/>
    <w:qFormat/>
    <w:uiPriority w:val="10"/>
    <w:rPr>
      <w:rFonts w:ascii="Times New Roman" w:hAnsi="Times New Roman" w:eastAsia="宋体"/>
      <w:sz w:val="18"/>
    </w:rPr>
  </w:style>
  <w:style w:type="character" w:styleId="30">
    <w:name w:val="Hyperlink"/>
    <w:qFormat/>
    <w:uiPriority w:val="99"/>
    <w:rPr>
      <w:color w:val="0000FF"/>
      <w:spacing w:val="0"/>
      <w:w w:val="100"/>
      <w:szCs w:val="21"/>
      <w:u w:val="single"/>
    </w:rPr>
  </w:style>
  <w:style w:type="character" w:styleId="31">
    <w:name w:val="annotation reference"/>
    <w:basedOn w:val="27"/>
    <w:qFormat/>
    <w:uiPriority w:val="0"/>
    <w:rPr>
      <w:sz w:val="21"/>
      <w:szCs w:val="21"/>
    </w:rPr>
  </w:style>
  <w:style w:type="character" w:styleId="32">
    <w:name w:val="footnote reference"/>
    <w:semiHidden/>
    <w:qFormat/>
    <w:uiPriority w:val="0"/>
    <w:rPr>
      <w:vertAlign w:val="superscript"/>
    </w:rPr>
  </w:style>
  <w:style w:type="character" w:customStyle="1" w:styleId="33">
    <w:name w:val="段 Char"/>
    <w:link w:val="18"/>
    <w:qFormat/>
    <w:uiPriority w:val="0"/>
    <w:rPr>
      <w:rFonts w:ascii="宋体"/>
      <w:sz w:val="21"/>
    </w:rPr>
  </w:style>
  <w:style w:type="paragraph" w:customStyle="1" w:styleId="34">
    <w:name w:val="一级条标题"/>
    <w:next w:val="18"/>
    <w:qFormat/>
    <w:uiPriority w:val="1"/>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35">
    <w:name w:val="页眉 Char"/>
    <w:link w:val="13"/>
    <w:qFormat/>
    <w:uiPriority w:val="99"/>
    <w:rPr>
      <w:kern w:val="2"/>
      <w:sz w:val="18"/>
      <w:szCs w:val="18"/>
    </w:rPr>
  </w:style>
  <w:style w:type="paragraph" w:customStyle="1" w:styleId="36">
    <w:name w:val="章标题"/>
    <w:next w:val="18"/>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7">
    <w:name w:val="二级条标题"/>
    <w:basedOn w:val="34"/>
    <w:next w:val="18"/>
    <w:link w:val="110"/>
    <w:qFormat/>
    <w:uiPriority w:val="2"/>
    <w:pPr>
      <w:numPr>
        <w:ilvl w:val="2"/>
      </w:numPr>
      <w:ind w:left="0"/>
      <w:outlineLvl w:val="3"/>
    </w:pPr>
  </w:style>
  <w:style w:type="paragraph" w:customStyle="1" w:styleId="38">
    <w:name w:val="列项——（一级）"/>
    <w:qFormat/>
    <w:uiPriority w:val="9"/>
    <w:pPr>
      <w:widowControl w:val="0"/>
      <w:numPr>
        <w:ilvl w:val="0"/>
        <w:numId w:val="3"/>
      </w:numPr>
      <w:jc w:val="both"/>
    </w:pPr>
    <w:rPr>
      <w:rFonts w:ascii="宋体" w:hAnsi="Times New Roman" w:eastAsia="宋体" w:cs="Times New Roman"/>
      <w:sz w:val="21"/>
      <w:lang w:val="en-US" w:eastAsia="zh-CN" w:bidi="ar-SA"/>
    </w:rPr>
  </w:style>
  <w:style w:type="paragraph" w:customStyle="1" w:styleId="39">
    <w:name w:val="列项●（二级）"/>
    <w:qFormat/>
    <w:uiPriority w:val="9"/>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0">
    <w:name w:val="目次、标准名称标题"/>
    <w:basedOn w:val="1"/>
    <w:next w:val="1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三级条标题"/>
    <w:basedOn w:val="37"/>
    <w:next w:val="18"/>
    <w:link w:val="111"/>
    <w:qFormat/>
    <w:uiPriority w:val="2"/>
    <w:pPr>
      <w:numPr>
        <w:ilvl w:val="3"/>
      </w:numPr>
      <w:outlineLvl w:val="4"/>
    </w:pPr>
  </w:style>
  <w:style w:type="paragraph" w:customStyle="1" w:styleId="42">
    <w:name w:val="示例"/>
    <w:next w:val="43"/>
    <w:qFormat/>
    <w:uiPriority w:val="8"/>
    <w:pPr>
      <w:widowControl w:val="0"/>
      <w:ind w:firstLine="363"/>
      <w:jc w:val="both"/>
    </w:pPr>
    <w:rPr>
      <w:rFonts w:ascii="宋体" w:hAnsi="Times New Roman" w:eastAsia="宋体" w:cs="Times New Roman"/>
      <w:sz w:val="18"/>
      <w:szCs w:val="18"/>
      <w:lang w:val="en-US" w:eastAsia="zh-CN" w:bidi="ar-SA"/>
    </w:rPr>
  </w:style>
  <w:style w:type="paragraph" w:customStyle="1" w:styleId="4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4">
    <w:name w:val="数字编号列项（二级）"/>
    <w:qFormat/>
    <w:uiPriority w:val="10"/>
    <w:pPr>
      <w:numPr>
        <w:ilvl w:val="1"/>
        <w:numId w:val="4"/>
      </w:numPr>
      <w:jc w:val="both"/>
    </w:pPr>
    <w:rPr>
      <w:rFonts w:ascii="宋体" w:hAnsi="Times New Roman" w:eastAsia="宋体" w:cs="Times New Roman"/>
      <w:sz w:val="21"/>
      <w:lang w:val="en-US" w:eastAsia="zh-CN" w:bidi="ar-SA"/>
    </w:rPr>
  </w:style>
  <w:style w:type="paragraph" w:customStyle="1" w:styleId="45">
    <w:name w:val="四级条标题"/>
    <w:basedOn w:val="41"/>
    <w:next w:val="18"/>
    <w:qFormat/>
    <w:uiPriority w:val="3"/>
    <w:pPr>
      <w:numPr>
        <w:ilvl w:val="4"/>
      </w:numPr>
      <w:outlineLvl w:val="5"/>
    </w:pPr>
  </w:style>
  <w:style w:type="paragraph" w:customStyle="1" w:styleId="46">
    <w:name w:val="五级条标题"/>
    <w:basedOn w:val="45"/>
    <w:next w:val="18"/>
    <w:qFormat/>
    <w:uiPriority w:val="4"/>
    <w:pPr>
      <w:numPr>
        <w:ilvl w:val="5"/>
      </w:numPr>
      <w:outlineLvl w:val="6"/>
    </w:pPr>
  </w:style>
  <w:style w:type="character" w:customStyle="1" w:styleId="47">
    <w:name w:val="页脚 Char"/>
    <w:link w:val="12"/>
    <w:qFormat/>
    <w:uiPriority w:val="99"/>
    <w:rPr>
      <w:kern w:val="2"/>
      <w:sz w:val="18"/>
      <w:szCs w:val="18"/>
    </w:rPr>
  </w:style>
  <w:style w:type="paragraph" w:customStyle="1" w:styleId="48">
    <w:name w:val="注："/>
    <w:next w:val="18"/>
    <w:qFormat/>
    <w:uiPriority w:val="1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49">
    <w:name w:val="注×："/>
    <w:qFormat/>
    <w:uiPriority w:val="1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0">
    <w:name w:val="字母编号列项（一级）"/>
    <w:qFormat/>
    <w:uiPriority w:val="9"/>
    <w:pPr>
      <w:numPr>
        <w:ilvl w:val="0"/>
        <w:numId w:val="4"/>
      </w:numPr>
      <w:jc w:val="both"/>
    </w:pPr>
    <w:rPr>
      <w:rFonts w:ascii="宋体" w:hAnsi="Times New Roman" w:eastAsia="宋体" w:cs="Times New Roman"/>
      <w:sz w:val="21"/>
      <w:lang w:val="en-US" w:eastAsia="zh-CN" w:bidi="ar-SA"/>
    </w:rPr>
  </w:style>
  <w:style w:type="paragraph" w:customStyle="1" w:styleId="51">
    <w:name w:val="列项◆（三级）"/>
    <w:basedOn w:val="1"/>
    <w:qFormat/>
    <w:uiPriority w:val="9"/>
    <w:pPr>
      <w:numPr>
        <w:ilvl w:val="2"/>
        <w:numId w:val="3"/>
      </w:numPr>
    </w:pPr>
    <w:rPr>
      <w:rFonts w:ascii="宋体"/>
      <w:szCs w:val="21"/>
    </w:rPr>
  </w:style>
  <w:style w:type="paragraph" w:customStyle="1" w:styleId="52">
    <w:name w:val="编号列项（三级）"/>
    <w:qFormat/>
    <w:uiPriority w:val="9"/>
    <w:pPr>
      <w:numPr>
        <w:ilvl w:val="2"/>
        <w:numId w:val="4"/>
      </w:numPr>
    </w:pPr>
    <w:rPr>
      <w:rFonts w:ascii="宋体" w:hAnsi="Times New Roman" w:eastAsia="宋体" w:cs="Times New Roman"/>
      <w:sz w:val="21"/>
      <w:lang w:val="en-US" w:eastAsia="zh-CN" w:bidi="ar-SA"/>
    </w:rPr>
  </w:style>
  <w:style w:type="paragraph" w:customStyle="1" w:styleId="53">
    <w:name w:val="示例×："/>
    <w:basedOn w:val="36"/>
    <w:qFormat/>
    <w:uiPriority w:val="8"/>
    <w:pPr>
      <w:numPr>
        <w:numId w:val="0"/>
      </w:numPr>
      <w:spacing w:beforeLines="0" w:afterLines="0"/>
      <w:ind w:firstLine="363"/>
      <w:outlineLvl w:val="9"/>
    </w:pPr>
    <w:rPr>
      <w:rFonts w:ascii="宋体" w:eastAsia="宋体"/>
      <w:sz w:val="18"/>
      <w:szCs w:val="18"/>
    </w:rPr>
  </w:style>
  <w:style w:type="paragraph" w:customStyle="1" w:styleId="54">
    <w:name w:val="二级无"/>
    <w:basedOn w:val="37"/>
    <w:qFormat/>
    <w:uiPriority w:val="2"/>
    <w:pPr>
      <w:spacing w:beforeLines="0" w:afterLines="0"/>
    </w:pPr>
    <w:rPr>
      <w:rFonts w:ascii="宋体" w:eastAsia="宋体"/>
    </w:rPr>
  </w:style>
  <w:style w:type="paragraph" w:customStyle="1" w:styleId="55">
    <w:name w:val="注：（正文）"/>
    <w:basedOn w:val="48"/>
    <w:next w:val="18"/>
    <w:qFormat/>
    <w:uiPriority w:val="10"/>
  </w:style>
  <w:style w:type="paragraph" w:customStyle="1" w:styleId="56">
    <w:name w:val="注×：（正文）"/>
    <w:qFormat/>
    <w:uiPriority w:val="10"/>
    <w:pPr>
      <w:numPr>
        <w:ilvl w:val="0"/>
        <w:numId w:val="5"/>
      </w:numPr>
      <w:jc w:val="both"/>
    </w:pPr>
    <w:rPr>
      <w:rFonts w:ascii="宋体" w:hAnsi="Times New Roman" w:eastAsia="宋体" w:cs="Times New Roman"/>
      <w:sz w:val="18"/>
      <w:szCs w:val="18"/>
      <w:lang w:val="en-US" w:eastAsia="zh-CN" w:bidi="ar-SA"/>
    </w:rPr>
  </w:style>
  <w:style w:type="paragraph" w:customStyle="1" w:styleId="57">
    <w:name w:val="参考文献"/>
    <w:basedOn w:val="1"/>
    <w:next w:val="18"/>
    <w:qFormat/>
    <w:uiPriority w:val="6"/>
    <w:pPr>
      <w:keepNext/>
      <w:pageBreakBefore/>
      <w:widowControl/>
      <w:shd w:val="clear" w:color="FFFFFF" w:fill="FFFFFF"/>
      <w:spacing w:before="640" w:after="200"/>
      <w:jc w:val="center"/>
      <w:outlineLvl w:val="0"/>
    </w:pPr>
    <w:rPr>
      <w:rFonts w:ascii="黑体" w:eastAsia="黑体"/>
      <w:kern w:val="0"/>
      <w:szCs w:val="20"/>
    </w:rPr>
  </w:style>
  <w:style w:type="paragraph" w:customStyle="1" w:styleId="58">
    <w:name w:val="附录标题"/>
    <w:basedOn w:val="18"/>
    <w:next w:val="18"/>
    <w:qFormat/>
    <w:uiPriority w:val="9"/>
    <w:pPr>
      <w:ind w:firstLine="0" w:firstLineChars="0"/>
      <w:jc w:val="center"/>
    </w:pPr>
    <w:rPr>
      <w:rFonts w:ascii="黑体" w:eastAsia="黑体"/>
    </w:rPr>
  </w:style>
  <w:style w:type="paragraph" w:customStyle="1" w:styleId="59">
    <w:name w:val="附录公式"/>
    <w:basedOn w:val="18"/>
    <w:next w:val="18"/>
    <w:link w:val="60"/>
    <w:qFormat/>
    <w:uiPriority w:val="9"/>
  </w:style>
  <w:style w:type="character" w:customStyle="1" w:styleId="60">
    <w:name w:val="附录公式 Char"/>
    <w:link w:val="59"/>
    <w:qFormat/>
    <w:uiPriority w:val="9"/>
    <w:rPr>
      <w:rFonts w:ascii="宋体"/>
      <w:sz w:val="21"/>
    </w:rPr>
  </w:style>
  <w:style w:type="paragraph" w:customStyle="1" w:styleId="61">
    <w:name w:val="列项说明"/>
    <w:basedOn w:val="1"/>
    <w:qFormat/>
    <w:uiPriority w:val="9"/>
    <w:pPr>
      <w:adjustRightInd w:val="0"/>
      <w:spacing w:line="320" w:lineRule="exact"/>
      <w:ind w:left="400" w:leftChars="200" w:hanging="200" w:hangingChars="200"/>
      <w:jc w:val="left"/>
      <w:textAlignment w:val="baseline"/>
    </w:pPr>
    <w:rPr>
      <w:rFonts w:ascii="宋体"/>
      <w:kern w:val="0"/>
      <w:szCs w:val="20"/>
    </w:rPr>
  </w:style>
  <w:style w:type="paragraph" w:customStyle="1" w:styleId="62">
    <w:name w:val="列项说明数字编号"/>
    <w:qFormat/>
    <w:uiPriority w:val="9"/>
    <w:pPr>
      <w:ind w:left="600" w:leftChars="400" w:hanging="200" w:hangingChars="200"/>
    </w:pPr>
    <w:rPr>
      <w:rFonts w:ascii="宋体" w:hAnsi="Times New Roman" w:eastAsia="宋体" w:cs="Times New Roman"/>
      <w:sz w:val="21"/>
      <w:lang w:val="en-US" w:eastAsia="zh-CN" w:bidi="ar-SA"/>
    </w:rPr>
  </w:style>
  <w:style w:type="paragraph" w:customStyle="1" w:styleId="63">
    <w:name w:val="目次、索引正文"/>
    <w:qFormat/>
    <w:uiPriority w:val="9"/>
    <w:pPr>
      <w:spacing w:line="320" w:lineRule="exact"/>
      <w:jc w:val="both"/>
    </w:pPr>
    <w:rPr>
      <w:rFonts w:ascii="宋体" w:hAnsi="Times New Roman" w:eastAsia="宋体" w:cs="Times New Roman"/>
      <w:sz w:val="21"/>
      <w:lang w:val="en-US" w:eastAsia="zh-CN" w:bidi="ar-SA"/>
    </w:rPr>
  </w:style>
  <w:style w:type="paragraph" w:customStyle="1" w:styleId="64">
    <w:name w:val="前言、引言标题"/>
    <w:next w:val="1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5">
    <w:name w:val="三级无"/>
    <w:basedOn w:val="41"/>
    <w:qFormat/>
    <w:uiPriority w:val="2"/>
    <w:pPr>
      <w:spacing w:beforeLines="0" w:afterLines="0"/>
    </w:pPr>
    <w:rPr>
      <w:rFonts w:ascii="宋体" w:eastAsia="宋体"/>
    </w:rPr>
  </w:style>
  <w:style w:type="paragraph" w:customStyle="1" w:styleId="66">
    <w:name w:val="示例后文字"/>
    <w:basedOn w:val="18"/>
    <w:next w:val="18"/>
    <w:qFormat/>
    <w:uiPriority w:val="8"/>
    <w:pPr>
      <w:ind w:firstLine="360"/>
    </w:pPr>
    <w:rPr>
      <w:sz w:val="18"/>
    </w:rPr>
  </w:style>
  <w:style w:type="paragraph" w:customStyle="1" w:styleId="67">
    <w:name w:val="首示例"/>
    <w:next w:val="18"/>
    <w:link w:val="68"/>
    <w:qFormat/>
    <w:uiPriority w:val="10"/>
    <w:pPr>
      <w:tabs>
        <w:tab w:val="left" w:pos="360"/>
      </w:tabs>
    </w:pPr>
    <w:rPr>
      <w:rFonts w:ascii="宋体" w:hAnsi="宋体" w:eastAsia="宋体" w:cs="Times New Roman"/>
      <w:kern w:val="2"/>
      <w:sz w:val="18"/>
      <w:szCs w:val="18"/>
      <w:lang w:val="en-US" w:eastAsia="zh-CN" w:bidi="ar-SA"/>
    </w:rPr>
  </w:style>
  <w:style w:type="character" w:customStyle="1" w:styleId="68">
    <w:name w:val="首示例 Char"/>
    <w:link w:val="67"/>
    <w:qFormat/>
    <w:uiPriority w:val="10"/>
    <w:rPr>
      <w:rFonts w:ascii="宋体" w:hAnsi="宋体"/>
      <w:kern w:val="2"/>
      <w:sz w:val="18"/>
      <w:szCs w:val="18"/>
    </w:rPr>
  </w:style>
  <w:style w:type="paragraph" w:customStyle="1" w:styleId="69">
    <w:name w:val="四级无"/>
    <w:basedOn w:val="45"/>
    <w:qFormat/>
    <w:uiPriority w:val="3"/>
    <w:pPr>
      <w:spacing w:beforeLines="0" w:afterLines="0"/>
    </w:pPr>
    <w:rPr>
      <w:rFonts w:ascii="宋体" w:eastAsia="宋体"/>
    </w:rPr>
  </w:style>
  <w:style w:type="paragraph" w:customStyle="1" w:styleId="70">
    <w:name w:val="条文脚注"/>
    <w:basedOn w:val="19"/>
    <w:qFormat/>
    <w:uiPriority w:val="10"/>
    <w:pPr>
      <w:numPr>
        <w:numId w:val="0"/>
      </w:numPr>
      <w:jc w:val="both"/>
    </w:pPr>
  </w:style>
  <w:style w:type="paragraph" w:customStyle="1" w:styleId="71">
    <w:name w:val="图标脚注说明"/>
    <w:basedOn w:val="18"/>
    <w:qFormat/>
    <w:uiPriority w:val="10"/>
    <w:pPr>
      <w:ind w:left="840" w:hanging="420" w:firstLineChars="0"/>
    </w:pPr>
    <w:rPr>
      <w:sz w:val="18"/>
      <w:szCs w:val="18"/>
    </w:rPr>
  </w:style>
  <w:style w:type="paragraph" w:customStyle="1" w:styleId="72">
    <w:name w:val="图表脚注说明"/>
    <w:basedOn w:val="1"/>
    <w:qFormat/>
    <w:uiPriority w:val="10"/>
    <w:pPr>
      <w:ind w:left="544" w:hanging="181"/>
    </w:pPr>
    <w:rPr>
      <w:rFonts w:ascii="宋体"/>
      <w:sz w:val="18"/>
      <w:szCs w:val="18"/>
    </w:rPr>
  </w:style>
  <w:style w:type="paragraph" w:customStyle="1" w:styleId="73">
    <w:name w:val="图的脚注"/>
    <w:next w:val="18"/>
    <w:qFormat/>
    <w:uiPriority w:val="1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74">
    <w:name w:val="五级无"/>
    <w:basedOn w:val="46"/>
    <w:qFormat/>
    <w:uiPriority w:val="4"/>
    <w:pPr>
      <w:spacing w:beforeLines="0" w:afterLines="0"/>
    </w:pPr>
    <w:rPr>
      <w:rFonts w:ascii="宋体" w:eastAsia="宋体"/>
    </w:rPr>
  </w:style>
  <w:style w:type="paragraph" w:customStyle="1" w:styleId="75">
    <w:name w:val="一级条标题（术语定义）"/>
    <w:basedOn w:val="34"/>
    <w:qFormat/>
    <w:uiPriority w:val="1"/>
    <w:rPr>
      <w:rFonts w:ascii="宋体"/>
    </w:rPr>
  </w:style>
  <w:style w:type="paragraph" w:customStyle="1" w:styleId="76">
    <w:name w:val="正文表标题"/>
    <w:next w:val="18"/>
    <w:qFormat/>
    <w:uiPriority w:val="8"/>
    <w:pPr>
      <w:numPr>
        <w:ilvl w:val="0"/>
        <w:numId w:val="6"/>
      </w:numPr>
      <w:spacing w:before="156" w:beforeLines="50" w:after="156" w:afterLines="50" w:line="276" w:lineRule="auto"/>
      <w:jc w:val="center"/>
    </w:pPr>
    <w:rPr>
      <w:rFonts w:ascii="黑体" w:hAnsi="Times New Roman" w:eastAsia="黑体" w:cs="Times New Roman"/>
      <w:sz w:val="21"/>
      <w:lang w:val="en-US" w:eastAsia="zh-CN" w:bidi="ar-SA"/>
    </w:rPr>
  </w:style>
  <w:style w:type="paragraph" w:customStyle="1" w:styleId="77">
    <w:name w:val="正文公式编号制表符"/>
    <w:basedOn w:val="18"/>
    <w:next w:val="18"/>
    <w:qFormat/>
    <w:uiPriority w:val="8"/>
    <w:pPr>
      <w:ind w:firstLine="0" w:firstLineChars="0"/>
    </w:pPr>
  </w:style>
  <w:style w:type="paragraph" w:customStyle="1" w:styleId="78">
    <w:name w:val="正文图标题"/>
    <w:basedOn w:val="79"/>
    <w:next w:val="18"/>
    <w:qFormat/>
    <w:uiPriority w:val="8"/>
    <w:pPr>
      <w:numPr>
        <w:ilvl w:val="0"/>
        <w:numId w:val="7"/>
      </w:numPr>
      <w:tabs>
        <w:tab w:val="left" w:pos="363"/>
      </w:tabs>
      <w:spacing w:before="156" w:beforeLines="50" w:after="156" w:afterLines="50"/>
      <w:jc w:val="center"/>
    </w:pPr>
    <w:rPr>
      <w:rFonts w:ascii="黑体" w:hAnsi="Times New Roman" w:eastAsia="黑体" w:cs="Times New Roman"/>
      <w:sz w:val="21"/>
      <w:lang w:val="en-US" w:eastAsia="zh-CN" w:bidi="ar-SA"/>
    </w:rPr>
  </w:style>
  <w:style w:type="paragraph" w:customStyle="1" w:styleId="79">
    <w:name w:val="附录图标题"/>
    <w:basedOn w:val="1"/>
    <w:next w:val="18"/>
    <w:qFormat/>
    <w:uiPriority w:val="9"/>
    <w:pPr>
      <w:numPr>
        <w:ilvl w:val="1"/>
        <w:numId w:val="8"/>
      </w:numPr>
      <w:tabs>
        <w:tab w:val="left" w:pos="363"/>
      </w:tabs>
      <w:spacing w:before="156" w:beforeLines="50" w:after="156" w:afterLines="50"/>
      <w:ind w:left="0" w:firstLine="0"/>
      <w:jc w:val="center"/>
    </w:pPr>
    <w:rPr>
      <w:rFonts w:ascii="黑体" w:eastAsia="黑体"/>
      <w:szCs w:val="21"/>
    </w:rPr>
  </w:style>
  <w:style w:type="paragraph" w:customStyle="1" w:styleId="80">
    <w:name w:val="终结线"/>
    <w:basedOn w:val="1"/>
    <w:qFormat/>
    <w:uiPriority w:val="10"/>
    <w:pPr>
      <w:framePr w:hSpace="181" w:vSpace="181" w:wrap="around" w:vAnchor="text" w:hAnchor="margin" w:xAlign="center" w:y="285"/>
    </w:pPr>
  </w:style>
  <w:style w:type="paragraph" w:customStyle="1" w:styleId="81">
    <w:name w:val="标准书脚_奇数页"/>
    <w:qFormat/>
    <w:uiPriority w:val="10"/>
    <w:pPr>
      <w:spacing w:before="120"/>
      <w:ind w:right="198"/>
      <w:jc w:val="right"/>
    </w:pPr>
    <w:rPr>
      <w:rFonts w:ascii="宋体" w:hAnsi="Times New Roman" w:eastAsia="宋体" w:cs="Times New Roman"/>
      <w:sz w:val="18"/>
      <w:szCs w:val="18"/>
      <w:lang w:val="en-US" w:eastAsia="zh-CN" w:bidi="ar-SA"/>
    </w:rPr>
  </w:style>
  <w:style w:type="paragraph" w:customStyle="1" w:styleId="82">
    <w:name w:val="标准书眉_奇数页"/>
    <w:next w:val="1"/>
    <w:qFormat/>
    <w:uiPriority w:val="1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3">
    <w:name w:val="封面标准号2"/>
    <w:qFormat/>
    <w:uiPriority w:val="1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84">
    <w:name w:val="标准书脚_偶数页"/>
    <w:qFormat/>
    <w:uiPriority w:val="10"/>
    <w:pPr>
      <w:spacing w:before="120"/>
      <w:ind w:left="221"/>
    </w:pPr>
    <w:rPr>
      <w:rFonts w:ascii="宋体" w:hAnsi="Times New Roman" w:eastAsia="宋体" w:cs="Times New Roman"/>
      <w:sz w:val="18"/>
      <w:szCs w:val="18"/>
      <w:lang w:val="en-US" w:eastAsia="zh-CN" w:bidi="ar-SA"/>
    </w:rPr>
  </w:style>
  <w:style w:type="paragraph" w:customStyle="1" w:styleId="85">
    <w:name w:val="标准书眉_偶数页"/>
    <w:basedOn w:val="82"/>
    <w:next w:val="1"/>
    <w:qFormat/>
    <w:uiPriority w:val="10"/>
    <w:pPr>
      <w:jc w:val="left"/>
    </w:pPr>
  </w:style>
  <w:style w:type="character" w:customStyle="1" w:styleId="86">
    <w:name w:val="发布"/>
    <w:qFormat/>
    <w:uiPriority w:val="10"/>
    <w:rPr>
      <w:rFonts w:ascii="黑体" w:eastAsia="黑体"/>
      <w:spacing w:val="85"/>
      <w:w w:val="100"/>
      <w:position w:val="3"/>
      <w:sz w:val="28"/>
      <w:szCs w:val="28"/>
    </w:rPr>
  </w:style>
  <w:style w:type="paragraph" w:customStyle="1" w:styleId="87">
    <w:name w:val="封面标准代替信息"/>
    <w:qFormat/>
    <w:uiPriority w:val="1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8">
    <w:name w:val="封面标准名称"/>
    <w:qFormat/>
    <w:uiPriority w:val="1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9">
    <w:name w:val="封面标准英文名称"/>
    <w:basedOn w:val="88"/>
    <w:qFormat/>
    <w:uiPriority w:val="10"/>
    <w:pPr>
      <w:framePr w:wrap="around"/>
      <w:spacing w:before="370" w:line="400" w:lineRule="exact"/>
    </w:pPr>
    <w:rPr>
      <w:rFonts w:ascii="Times New Roman"/>
      <w:sz w:val="28"/>
      <w:szCs w:val="28"/>
    </w:rPr>
  </w:style>
  <w:style w:type="paragraph" w:customStyle="1" w:styleId="90">
    <w:name w:val="封面一致性程度标识"/>
    <w:basedOn w:val="89"/>
    <w:qFormat/>
    <w:uiPriority w:val="10"/>
    <w:pPr>
      <w:framePr w:wrap="around"/>
      <w:spacing w:before="440"/>
    </w:pPr>
    <w:rPr>
      <w:rFonts w:ascii="宋体" w:eastAsia="宋体"/>
    </w:rPr>
  </w:style>
  <w:style w:type="paragraph" w:customStyle="1" w:styleId="91">
    <w:name w:val="封面标准文稿类别"/>
    <w:basedOn w:val="90"/>
    <w:qFormat/>
    <w:uiPriority w:val="10"/>
    <w:pPr>
      <w:framePr w:wrap="around"/>
      <w:spacing w:after="160" w:line="240" w:lineRule="auto"/>
    </w:pPr>
    <w:rPr>
      <w:sz w:val="24"/>
    </w:rPr>
  </w:style>
  <w:style w:type="paragraph" w:customStyle="1" w:styleId="92">
    <w:name w:val="封面标准文稿编辑信息"/>
    <w:basedOn w:val="91"/>
    <w:qFormat/>
    <w:uiPriority w:val="10"/>
    <w:pPr>
      <w:framePr w:wrap="around"/>
      <w:spacing w:before="180" w:line="180" w:lineRule="exact"/>
    </w:pPr>
    <w:rPr>
      <w:sz w:val="21"/>
    </w:rPr>
  </w:style>
  <w:style w:type="paragraph" w:customStyle="1" w:styleId="93">
    <w:name w:val="附录标识"/>
    <w:basedOn w:val="1"/>
    <w:next w:val="18"/>
    <w:qFormat/>
    <w:uiPriority w:val="9"/>
    <w:pPr>
      <w:keepNext/>
      <w:widowControl/>
      <w:shd w:val="clear" w:color="FFFFFF" w:fill="FFFFFF"/>
      <w:tabs>
        <w:tab w:val="left" w:pos="360"/>
        <w:tab w:val="left" w:pos="6405"/>
      </w:tabs>
      <w:spacing w:before="240" w:after="240"/>
      <w:jc w:val="center"/>
      <w:outlineLvl w:val="0"/>
    </w:pPr>
    <w:rPr>
      <w:rFonts w:ascii="黑体" w:hAnsi="黑体" w:eastAsia="黑体"/>
      <w:kern w:val="0"/>
      <w:szCs w:val="20"/>
    </w:rPr>
  </w:style>
  <w:style w:type="paragraph" w:customStyle="1" w:styleId="94">
    <w:name w:val="附录表标号"/>
    <w:basedOn w:val="1"/>
    <w:next w:val="18"/>
    <w:qFormat/>
    <w:uiPriority w:val="9"/>
    <w:pPr>
      <w:spacing w:line="14" w:lineRule="exact"/>
      <w:ind w:left="811" w:hanging="448"/>
      <w:jc w:val="center"/>
      <w:outlineLvl w:val="0"/>
    </w:pPr>
    <w:rPr>
      <w:color w:val="FFFFFF"/>
    </w:rPr>
  </w:style>
  <w:style w:type="paragraph" w:customStyle="1" w:styleId="95">
    <w:name w:val="附录表标题"/>
    <w:basedOn w:val="1"/>
    <w:next w:val="18"/>
    <w:qFormat/>
    <w:uiPriority w:val="9"/>
    <w:pPr>
      <w:numPr>
        <w:ilvl w:val="1"/>
        <w:numId w:val="9"/>
      </w:numPr>
      <w:tabs>
        <w:tab w:val="left" w:pos="180"/>
        <w:tab w:val="clear" w:pos="420"/>
      </w:tabs>
      <w:spacing w:before="50" w:beforeLines="50" w:after="50" w:afterLines="50"/>
      <w:ind w:left="0" w:firstLine="0"/>
      <w:jc w:val="center"/>
    </w:pPr>
    <w:rPr>
      <w:rFonts w:ascii="黑体" w:hAnsi="黑体" w:eastAsia="黑体"/>
      <w:szCs w:val="21"/>
    </w:rPr>
  </w:style>
  <w:style w:type="paragraph" w:customStyle="1" w:styleId="96">
    <w:name w:val="附录二级条标题"/>
    <w:basedOn w:val="1"/>
    <w:next w:val="18"/>
    <w:qFormat/>
    <w:uiPriority w:val="9"/>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7">
    <w:name w:val="附录三级条标题"/>
    <w:basedOn w:val="96"/>
    <w:next w:val="18"/>
    <w:qFormat/>
    <w:uiPriority w:val="9"/>
    <w:pPr>
      <w:outlineLvl w:val="4"/>
    </w:pPr>
  </w:style>
  <w:style w:type="paragraph" w:customStyle="1" w:styleId="98">
    <w:name w:val="附录四级条标题"/>
    <w:basedOn w:val="97"/>
    <w:next w:val="18"/>
    <w:qFormat/>
    <w:uiPriority w:val="9"/>
    <w:pPr>
      <w:outlineLvl w:val="5"/>
    </w:pPr>
  </w:style>
  <w:style w:type="paragraph" w:customStyle="1" w:styleId="99">
    <w:name w:val="附录图标号"/>
    <w:basedOn w:val="1"/>
    <w:qFormat/>
    <w:uiPriority w:val="9"/>
    <w:pPr>
      <w:keepNext/>
      <w:pageBreakBefore/>
      <w:widowControl/>
      <w:spacing w:line="14" w:lineRule="exact"/>
      <w:ind w:firstLine="363"/>
      <w:jc w:val="center"/>
      <w:outlineLvl w:val="0"/>
    </w:pPr>
    <w:rPr>
      <w:color w:val="FFFFFF"/>
    </w:rPr>
  </w:style>
  <w:style w:type="paragraph" w:customStyle="1" w:styleId="100">
    <w:name w:val="附录五级条标题"/>
    <w:basedOn w:val="98"/>
    <w:next w:val="18"/>
    <w:qFormat/>
    <w:uiPriority w:val="9"/>
    <w:pPr>
      <w:outlineLvl w:val="6"/>
    </w:pPr>
  </w:style>
  <w:style w:type="paragraph" w:customStyle="1" w:styleId="101">
    <w:name w:val="附录章标题"/>
    <w:next w:val="18"/>
    <w:qFormat/>
    <w:uiPriority w:val="9"/>
    <w:pPr>
      <w:numPr>
        <w:ilvl w:val="1"/>
        <w:numId w:val="10"/>
      </w:numPr>
      <w:wordWrap w:val="0"/>
      <w:overflowPunct w:val="0"/>
      <w:autoSpaceDE w:val="0"/>
      <w:spacing w:before="312" w:beforeLines="100" w:after="312"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18"/>
    <w:qFormat/>
    <w:uiPriority w:val="9"/>
    <w:pPr>
      <w:autoSpaceDN w:val="0"/>
      <w:spacing w:before="50" w:beforeLines="50" w:after="50" w:afterLines="50"/>
      <w:outlineLvl w:val="2"/>
    </w:pPr>
  </w:style>
  <w:style w:type="paragraph" w:customStyle="1" w:styleId="103">
    <w:name w:val="其他标准标志"/>
    <w:basedOn w:val="1"/>
    <w:qFormat/>
    <w:uiPriority w:val="1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104">
    <w:name w:val="其他标准称谓"/>
    <w:next w:val="1"/>
    <w:qFormat/>
    <w:uiPriority w:val="1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5">
    <w:name w:val="其他发布部门"/>
    <w:basedOn w:val="1"/>
    <w:qFormat/>
    <w:uiPriority w:val="10"/>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106">
    <w:name w:val="文献分类号"/>
    <w:qFormat/>
    <w:uiPriority w:val="1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7">
    <w:name w:val="其他发布日期"/>
    <w:basedOn w:val="1"/>
    <w:qFormat/>
    <w:uiPriority w:val="10"/>
    <w:pPr>
      <w:framePr w:w="3997" w:h="471" w:hRule="exact" w:vSpace="181" w:wrap="around" w:vAnchor="page" w:hAnchor="page" w:x="1419" w:y="14097" w:anchorLock="1"/>
      <w:widowControl/>
      <w:jc w:val="left"/>
    </w:pPr>
    <w:rPr>
      <w:rFonts w:eastAsia="黑体"/>
      <w:kern w:val="0"/>
      <w:sz w:val="28"/>
      <w:szCs w:val="20"/>
    </w:rPr>
  </w:style>
  <w:style w:type="paragraph" w:customStyle="1" w:styleId="108">
    <w:name w:val="其他实施日期"/>
    <w:basedOn w:val="1"/>
    <w:qFormat/>
    <w:uiPriority w:val="10"/>
    <w:pPr>
      <w:framePr w:w="3997" w:h="471" w:hRule="exact" w:vSpace="181" w:wrap="around" w:vAnchor="page" w:hAnchor="page" w:x="7089" w:y="14097" w:anchorLock="1"/>
      <w:widowControl/>
      <w:jc w:val="right"/>
    </w:pPr>
    <w:rPr>
      <w:rFonts w:eastAsia="黑体"/>
      <w:kern w:val="0"/>
      <w:sz w:val="28"/>
      <w:szCs w:val="20"/>
    </w:rPr>
  </w:style>
  <w:style w:type="paragraph" w:customStyle="1" w:styleId="109">
    <w:name w:val="样式 标题 1 + 非加粗"/>
    <w:basedOn w:val="2"/>
    <w:qFormat/>
    <w:uiPriority w:val="10"/>
    <w:pPr>
      <w:spacing w:before="100" w:beforeLines="100" w:after="100" w:afterLines="100" w:line="240" w:lineRule="auto"/>
    </w:pPr>
    <w:rPr>
      <w:rFonts w:eastAsia="黑体"/>
      <w:b w:val="0"/>
      <w:bCs w:val="0"/>
      <w:sz w:val="21"/>
    </w:rPr>
  </w:style>
  <w:style w:type="character" w:customStyle="1" w:styleId="110">
    <w:name w:val="二级条标题 Char"/>
    <w:link w:val="37"/>
    <w:qFormat/>
    <w:locked/>
    <w:uiPriority w:val="2"/>
    <w:rPr>
      <w:rFonts w:ascii="黑体" w:eastAsia="黑体"/>
      <w:sz w:val="21"/>
      <w:szCs w:val="21"/>
    </w:rPr>
  </w:style>
  <w:style w:type="character" w:customStyle="1" w:styleId="111">
    <w:name w:val="三级条标题 Char"/>
    <w:link w:val="41"/>
    <w:qFormat/>
    <w:uiPriority w:val="2"/>
    <w:rPr>
      <w:rFonts w:ascii="黑体" w:eastAsia="黑体"/>
      <w:sz w:val="21"/>
      <w:szCs w:val="21"/>
    </w:rPr>
  </w:style>
  <w:style w:type="character" w:customStyle="1" w:styleId="112">
    <w:name w:val="标题 1 Char"/>
    <w:link w:val="2"/>
    <w:qFormat/>
    <w:uiPriority w:val="10"/>
    <w:rPr>
      <w:b/>
      <w:bCs/>
      <w:kern w:val="44"/>
      <w:sz w:val="44"/>
      <w:szCs w:val="44"/>
    </w:rPr>
  </w:style>
  <w:style w:type="character" w:customStyle="1" w:styleId="113">
    <w:name w:val="批注框文本 Char"/>
    <w:link w:val="11"/>
    <w:qFormat/>
    <w:uiPriority w:val="10"/>
    <w:rPr>
      <w:kern w:val="2"/>
      <w:sz w:val="18"/>
      <w:szCs w:val="18"/>
    </w:rPr>
  </w:style>
  <w:style w:type="paragraph" w:customStyle="1" w:styleId="114">
    <w:name w:val="附录一级无"/>
    <w:basedOn w:val="102"/>
    <w:qFormat/>
    <w:uiPriority w:val="9"/>
    <w:pPr>
      <w:tabs>
        <w:tab w:val="left" w:pos="57"/>
      </w:tabs>
      <w:spacing w:before="0" w:beforeLines="0" w:after="0" w:afterLines="0"/>
      <w:ind w:left="363" w:hanging="363"/>
    </w:pPr>
    <w:rPr>
      <w:rFonts w:ascii="宋体" w:eastAsia="宋体"/>
      <w:szCs w:val="21"/>
    </w:rPr>
  </w:style>
  <w:style w:type="paragraph" w:styleId="115">
    <w:name w:val="List Paragraph"/>
    <w:basedOn w:val="1"/>
    <w:qFormat/>
    <w:uiPriority w:val="44"/>
    <w:pPr>
      <w:ind w:firstLine="420" w:firstLineChars="200"/>
    </w:pPr>
  </w:style>
  <w:style w:type="paragraph" w:customStyle="1" w:styleId="116">
    <w:name w:val="一级无"/>
    <w:basedOn w:val="75"/>
    <w:qFormat/>
    <w:uiPriority w:val="1"/>
    <w:rPr>
      <w:rFonts w:eastAsia="宋体"/>
    </w:rPr>
  </w:style>
  <w:style w:type="character" w:customStyle="1" w:styleId="117">
    <w:name w:val="批注文字 Char"/>
    <w:basedOn w:val="27"/>
    <w:link w:val="6"/>
    <w:qFormat/>
    <w:uiPriority w:val="0"/>
    <w:rPr>
      <w:kern w:val="2"/>
      <w:sz w:val="21"/>
      <w:szCs w:val="24"/>
    </w:rPr>
  </w:style>
  <w:style w:type="character" w:customStyle="1" w:styleId="118">
    <w:name w:val="批注主题 Char"/>
    <w:basedOn w:val="117"/>
    <w:link w:val="24"/>
    <w:qFormat/>
    <w:uiPriority w:val="10"/>
    <w:rPr>
      <w:b/>
      <w:bCs/>
      <w:kern w:val="2"/>
      <w:sz w:val="21"/>
      <w:szCs w:val="24"/>
    </w:rPr>
  </w:style>
  <w:style w:type="paragraph" w:customStyle="1" w:styleId="119">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0">
    <w:name w:val="WPSOffice手动目录 1"/>
    <w:qFormat/>
    <w:uiPriority w:val="0"/>
    <w:rPr>
      <w:rFonts w:ascii="Times New Roman" w:hAnsi="Times New Roman" w:eastAsia="宋体" w:cs="Times New Roman"/>
      <w:lang w:val="en-US" w:eastAsia="zh-CN" w:bidi="ar-SA"/>
    </w:rPr>
  </w:style>
  <w:style w:type="character" w:customStyle="1" w:styleId="121">
    <w:name w:val="font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1649;&#29702;&#26631;&#20934;&#27169;&#26495;201803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79C684-C43B-4129-97F7-674A3884AB2A}">
  <ds:schemaRefs/>
</ds:datastoreItem>
</file>

<file path=docProps/app.xml><?xml version="1.0" encoding="utf-8"?>
<Properties xmlns="http://schemas.openxmlformats.org/officeDocument/2006/extended-properties" xmlns:vt="http://schemas.openxmlformats.org/officeDocument/2006/docPropsVTypes">
  <Template>管理标准模板20180315.dotx</Template>
  <Pages>17</Pages>
  <Words>907</Words>
  <Characters>5174</Characters>
  <Lines>43</Lines>
  <Paragraphs>12</Paragraphs>
  <TotalTime>1</TotalTime>
  <ScaleCrop>false</ScaleCrop>
  <LinksUpToDate>false</LinksUpToDate>
  <CharactersWithSpaces>6069</CharactersWithSpaces>
  <Application>WPS Office_11.8.2.12287_F1E327BC-269C-435d-A152-05C5408002CA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2018-07-06T07:47:00Z</dcterms:created>
  <dcterms:modified xsi:type="dcterms:W3CDTF">2025-08-11T10:30:24Z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2052-11.8.2.12287</vt:lpwstr>
  </property>
  <property fmtid="{D5CDD505-2E9C-101B-9397-08002B2CF9AE}" pid="3" name="ICV">
    <vt:lpwstr>4D5423D02D0344E5BF070B4C73307D23</vt:lpwstr>
  </property>
</Properties>
</file>