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D55A4">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呼和浩特供电公司2026年35千伏及以上输变电工程社会稳定风险评估</w:t>
      </w:r>
    </w:p>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框架服务招标</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w:t>
      </w:r>
      <w:r>
        <w:rPr>
          <w:rFonts w:hint="eastAsia" w:ascii="宋体" w:hAnsi="宋体" w:cs="宋体"/>
          <w:b/>
          <w:bCs/>
          <w:kern w:val="0"/>
          <w:sz w:val="24"/>
          <w:u w:val="single"/>
          <w:lang w:eastAsia="zh-CN"/>
        </w:rPr>
        <w:t>呼和浩特供电公司2026年35千伏及以上输变电工程社会稳定风险评估框架服务招标</w:t>
      </w:r>
      <w:r>
        <w:rPr>
          <w:rFonts w:hint="eastAsia" w:ascii="宋体" w:hAnsi="宋体" w:cs="宋体"/>
          <w:kern w:val="0"/>
          <w:sz w:val="24"/>
        </w:rPr>
        <w:t>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w:t>
      </w:r>
      <w:r>
        <w:rPr>
          <w:rFonts w:hint="eastAsia" w:ascii="宋体" w:hAnsi="宋体" w:cs="宋体"/>
          <w:sz w:val="24"/>
          <w:lang w:eastAsia="zh-CN"/>
        </w:rPr>
        <w:t>呼和浩特供电公司2026年35千伏及以上输变电工程社会稳定风险评估框架服务招标；</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HG20250101-467</w:t>
      </w:r>
    </w:p>
    <w:p w14:paraId="3F4B667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采</w:t>
      </w:r>
      <w:r>
        <w:rPr>
          <w:rFonts w:hint="eastAsia" w:ascii="宋体" w:hAnsi="宋体" w:eastAsia="宋体" w:cs="宋体"/>
          <w:sz w:val="24"/>
          <w:szCs w:val="24"/>
        </w:rPr>
        <w:t>购内容:</w:t>
      </w:r>
    </w:p>
    <w:tbl>
      <w:tblPr>
        <w:tblStyle w:val="10"/>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357"/>
        <w:gridCol w:w="3983"/>
        <w:gridCol w:w="1906"/>
      </w:tblGrid>
      <w:tr w14:paraId="3A8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15" w:type="dxa"/>
            <w:noWrap w:val="0"/>
            <w:vAlign w:val="center"/>
          </w:tcPr>
          <w:p w14:paraId="73B4B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编号</w:t>
            </w:r>
          </w:p>
        </w:tc>
        <w:tc>
          <w:tcPr>
            <w:tcW w:w="2357"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3983"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采购内容</w:t>
            </w:r>
          </w:p>
        </w:tc>
        <w:tc>
          <w:tcPr>
            <w:tcW w:w="1906"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val="en-US" w:eastAsia="zh-CN"/>
              </w:rPr>
              <w:t>单价</w:t>
            </w:r>
            <w:r>
              <w:rPr>
                <w:rFonts w:hint="eastAsia" w:ascii="宋体" w:hAnsi="宋体" w:cs="宋体"/>
                <w:sz w:val="24"/>
                <w:lang w:eastAsia="zh-CN"/>
              </w:rPr>
              <w:t>最高投标</w:t>
            </w:r>
            <w:r>
              <w:rPr>
                <w:rFonts w:hint="eastAsia" w:ascii="宋体" w:hAnsi="宋体" w:cs="宋体"/>
                <w:sz w:val="24"/>
                <w:lang w:val="en-US" w:eastAsia="zh-CN"/>
              </w:rPr>
              <w:t>限价</w:t>
            </w:r>
            <w:r>
              <w:rPr>
                <w:rFonts w:hint="eastAsia" w:ascii="宋体" w:hAnsi="宋体" w:cs="宋体"/>
                <w:sz w:val="24"/>
                <w:lang w:eastAsia="zh-CN"/>
              </w:rPr>
              <w:t>（元）</w:t>
            </w:r>
          </w:p>
        </w:tc>
      </w:tr>
      <w:tr w14:paraId="36E7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915" w:type="dxa"/>
            <w:noWrap w:val="0"/>
            <w:vAlign w:val="center"/>
          </w:tcPr>
          <w:p w14:paraId="4665F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w:t>
            </w:r>
          </w:p>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tc>
        <w:tc>
          <w:tcPr>
            <w:tcW w:w="2357"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呼和浩特供电公司2026年35千伏及以上输变电工程社会稳定风险评估框架服务招标</w:t>
            </w:r>
          </w:p>
        </w:tc>
        <w:tc>
          <w:tcPr>
            <w:tcW w:w="3983" w:type="dxa"/>
            <w:noWrap w:val="0"/>
            <w:vAlign w:val="center"/>
          </w:tcPr>
          <w:p w14:paraId="5A75C6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eastAsia="zh-CN"/>
              </w:rPr>
              <w:t>社会稳定风险评估方案的制定，组织调查论证，开展社会稳定风险评估，编制社会稳定风险评估报告、组织评审，通过审查并协助招标人取得批复文件等工作</w:t>
            </w:r>
          </w:p>
        </w:tc>
        <w:tc>
          <w:tcPr>
            <w:tcW w:w="1906" w:type="dxa"/>
            <w:noWrap w:val="0"/>
            <w:vAlign w:val="center"/>
          </w:tcPr>
          <w:p w14:paraId="15E23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仿宋" w:hAnsi="仿宋" w:eastAsia="仿宋" w:cs="仿宋"/>
                <w:sz w:val="24"/>
                <w:szCs w:val="24"/>
                <w:highlight w:val="none"/>
                <w:lang w:val="en-US" w:eastAsia="zh-CN"/>
              </w:rPr>
              <w:t>180000.00</w:t>
            </w:r>
          </w:p>
        </w:tc>
      </w:tr>
    </w:tbl>
    <w:p w14:paraId="3AB17FC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5、框架协议期：合同签订后至2026年12月31日</w:t>
      </w:r>
    </w:p>
    <w:p w14:paraId="45A026B0">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6、服务地点：呼和浩特市</w:t>
      </w:r>
    </w:p>
    <w:p w14:paraId="3DCF86AD">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7、入围家数：入围3家</w:t>
      </w:r>
    </w:p>
    <w:p w14:paraId="3FDDBDFF">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8、预估发生金额：本项目服务期内预估发生金额500000元，预估金额仅供参考，不代表招标人承诺，具体以实际发生量为准</w:t>
      </w:r>
    </w:p>
    <w:p w14:paraId="784C8A19">
      <w:pPr>
        <w:spacing w:line="336"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9、</w:t>
      </w:r>
      <w:r>
        <w:rPr>
          <w:rFonts w:hint="default" w:ascii="宋体" w:hAnsi="宋体" w:cs="宋体"/>
          <w:sz w:val="24"/>
          <w:szCs w:val="24"/>
          <w:lang w:val="en-US" w:eastAsia="zh-CN"/>
        </w:rPr>
        <w:t>分配原则：第一轮按中标排序轮流分配，之后结合工作完成情况，原则上平均分配</w:t>
      </w:r>
    </w:p>
    <w:p w14:paraId="338DC24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lang w:eastAsia="zh-CN"/>
        </w:rPr>
        <w:t>、服务质量：达到国家及行业标准，满足</w:t>
      </w:r>
      <w:r>
        <w:rPr>
          <w:rFonts w:hint="eastAsia" w:ascii="宋体" w:hAnsi="宋体" w:cs="宋体"/>
          <w:sz w:val="24"/>
          <w:szCs w:val="24"/>
          <w:lang w:val="en-US" w:eastAsia="zh-CN"/>
        </w:rPr>
        <w:t>招标人</w:t>
      </w:r>
      <w:r>
        <w:rPr>
          <w:rFonts w:hint="eastAsia" w:ascii="宋体" w:hAnsi="宋体" w:cs="宋体"/>
          <w:sz w:val="24"/>
          <w:szCs w:val="24"/>
          <w:lang w:eastAsia="zh-CN"/>
        </w:rPr>
        <w:t>要求</w:t>
      </w:r>
    </w:p>
    <w:p w14:paraId="077840D8">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11</w:t>
      </w:r>
      <w:r>
        <w:rPr>
          <w:rFonts w:hint="eastAsia" w:ascii="宋体" w:hAnsi="宋体" w:cs="宋体"/>
          <w:sz w:val="24"/>
          <w:szCs w:val="24"/>
          <w:lang w:eastAsia="zh-CN"/>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3、投标人需具有一般纳税人资格（提供一般纳税人登记表或税务局相关网站查询截图等）；</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3517C127">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1.在呼和浩特市政法委(维稳办）备案（若2026年度均未开展，则提供2025年度备案）；</w:t>
      </w:r>
    </w:p>
    <w:p w14:paraId="6A54429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val="en-US" w:eastAsia="zh-CN"/>
        </w:rPr>
        <w:t>2.</w:t>
      </w:r>
      <w:r>
        <w:rPr>
          <w:rFonts w:hint="eastAsia" w:ascii="宋体" w:hAnsi="宋体" w:eastAsia="宋体" w:cs="宋体"/>
          <w:sz w:val="24"/>
          <w:lang w:eastAsia="zh-CN"/>
        </w:rPr>
        <w:t>供应商近三年(2022年</w:t>
      </w:r>
      <w:r>
        <w:rPr>
          <w:rFonts w:hint="eastAsia" w:ascii="宋体" w:hAnsi="宋体" w:eastAsia="宋体" w:cs="宋体"/>
          <w:sz w:val="24"/>
          <w:lang w:val="en-US" w:eastAsia="zh-CN"/>
        </w:rPr>
        <w:t>12</w:t>
      </w:r>
      <w:r>
        <w:rPr>
          <w:rFonts w:hint="eastAsia" w:ascii="宋体" w:hAnsi="宋体" w:eastAsia="宋体" w:cs="宋体"/>
          <w:sz w:val="24"/>
          <w:lang w:eastAsia="zh-CN"/>
        </w:rPr>
        <w:t>月1日至今，以签订合同时间为准)须具有</w:t>
      </w:r>
      <w:r>
        <w:rPr>
          <w:rFonts w:hint="eastAsia" w:ascii="宋体" w:hAnsi="宋体" w:eastAsia="宋体" w:cs="宋体"/>
          <w:sz w:val="24"/>
          <w:lang w:val="en-US" w:eastAsia="zh-CN"/>
        </w:rPr>
        <w:t>同类业绩</w:t>
      </w:r>
      <w:r>
        <w:rPr>
          <w:rFonts w:hint="eastAsia" w:ascii="宋体" w:hAnsi="宋体" w:eastAsia="宋体" w:cs="宋体"/>
          <w:sz w:val="24"/>
          <w:lang w:eastAsia="zh-CN"/>
        </w:rPr>
        <w:t>，需提供合同扫描件及配套发票扫描件。合同至少应包括合同首页、服务内容、签订日期及双方签字盖章等内容。(发票扫描件后需附国家税务总局发票查询截图，时间以合同签订时间为准)。</w:t>
      </w:r>
    </w:p>
    <w:p w14:paraId="3D5B3656">
      <w:pPr>
        <w:spacing w:line="360" w:lineRule="auto"/>
        <w:ind w:firstLine="482" w:firstLineChars="200"/>
        <w:jc w:val="left"/>
        <w:rPr>
          <w:rFonts w:hint="eastAsia" w:ascii="宋体" w:hAnsi="宋体" w:cs="宋体"/>
          <w:b/>
          <w:sz w:val="24"/>
        </w:rPr>
      </w:pPr>
      <w:r>
        <w:rPr>
          <w:rFonts w:ascii="宋体" w:hAnsi="宋体" w:cs="宋体"/>
          <w:b/>
          <w:sz w:val="24"/>
        </w:rPr>
        <w:t xml:space="preserve"> </w:t>
      </w:r>
      <w:bookmarkEnd w:id="1"/>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1、采购文件每套售价：本项目不收取采购文件费。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3、项目实行在线报名和获取采购文件。凡有意参加响应者，请于</w:t>
      </w:r>
      <w:r>
        <w:rPr>
          <w:rFonts w:hint="eastAsia" w:ascii="宋体" w:hAnsi="宋体" w:cs="宋体"/>
          <w:sz w:val="24"/>
          <w:highlight w:val="none"/>
          <w:lang w:eastAsia="zh-CN"/>
        </w:rPr>
        <w:t>2025年12月09日至2025年12月15日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前（北京时间），进入《内蒙古电力集团电子采购系统》（http://guocai-impc.cppchina.cn/）在线递交报名资料和获取采购文件，逾期不予受理。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采购文件。</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客服电话：供应商下载采购文件失败或遇到其他问题请拨打客服电话：400-0809-508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bookmarkStart w:id="2" w:name="_GoBack"/>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2025年12月09日</w:t>
      </w:r>
      <w:r>
        <w:rPr>
          <w:rFonts w:hint="eastAsia" w:ascii="宋体" w:hAnsi="宋体" w:cs="宋体"/>
          <w:b/>
          <w:bCs/>
          <w:sz w:val="24"/>
          <w:highlight w:val="none"/>
        </w:rPr>
        <w:t>9:00～</w:t>
      </w:r>
      <w:r>
        <w:rPr>
          <w:rFonts w:hint="eastAsia" w:ascii="宋体" w:hAnsi="宋体" w:cs="宋体"/>
          <w:b/>
          <w:bCs/>
          <w:sz w:val="24"/>
          <w:highlight w:val="none"/>
          <w:lang w:eastAsia="zh-CN"/>
        </w:rPr>
        <w:t>2025年12月29日上午9:00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2025年12月29日上午9:00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2025年12月29日上午9:00</w:t>
      </w:r>
    </w:p>
    <w:p w14:paraId="267FAE5E">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2025年12月29日上午9:00</w:t>
      </w:r>
      <w:r>
        <w:rPr>
          <w:rFonts w:hint="eastAsia" w:ascii="宋体" w:hAnsi="宋体" w:cs="宋体"/>
          <w:b/>
          <w:bCs/>
          <w:sz w:val="24"/>
          <w:highlight w:val="none"/>
        </w:rPr>
        <w:t>～9:30</w:t>
      </w:r>
    </w:p>
    <w:bookmarkEnd w:id="2"/>
    <w:p w14:paraId="44EB2D6D">
      <w:pPr>
        <w:adjustRightInd w:val="0"/>
        <w:spacing w:line="360" w:lineRule="auto"/>
        <w:rPr>
          <w:rFonts w:hint="eastAsia" w:ascii="宋体" w:hAnsi="宋体" w:cs="宋体"/>
          <w:b/>
          <w:sz w:val="24"/>
        </w:rPr>
      </w:pPr>
      <w:r>
        <w:rPr>
          <w:rFonts w:hint="eastAsia" w:ascii="宋体" w:hAnsi="宋体" w:cs="宋体"/>
          <w:b/>
          <w:kern w:val="0"/>
          <w:sz w:val="24"/>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如果截标或开标时间及地点有改变，代理机构将提前通知，逾期提交的响应文件将不予受理，不接受邮寄方式提交响应文件。</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8.1平台使用费：本项目采用全流程电子招投标，每标段每家供应商需（在线下载采购文件后，上传响应文件前）在线向电子交易平台缴纳电子投标服务费。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005DFA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35473BC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成交供应商需在成交结果公告发布后5日内向内蒙古产权交易中心有限责任公司缴纳场所服务费的，收取标准如下：按采购限价或预估价1‰收取场所服务费，成交供应商为2家及以上的，由成交供应商平均分摊或按照标段分配比例承担场所服务费，每标段每家不足500元的按500元统一收取。</w:t>
      </w:r>
    </w:p>
    <w:p w14:paraId="643970D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373D55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31B64A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2E5A39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71EE86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471A21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E931C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4DA1D2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45BB5BDE">
      <w:pPr>
        <w:spacing w:line="360" w:lineRule="auto"/>
        <w:ind w:firstLine="480" w:firstLineChars="200"/>
        <w:rPr>
          <w:rFonts w:hint="eastAsia" w:ascii="宋体" w:hAnsi="宋体" w:cs="宋体"/>
          <w:sz w:val="24"/>
          <w:highlight w:val="yellow"/>
        </w:rPr>
      </w:pPr>
      <w:r>
        <w:rPr>
          <w:rFonts w:hint="eastAsia" w:ascii="宋体" w:hAnsi="宋体" w:cs="宋体"/>
          <w:sz w:val="24"/>
          <w:highlight w:val="none"/>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14BA7E1E"/>
    <w:rsid w:val="1A254FD4"/>
    <w:rsid w:val="1C647D6A"/>
    <w:rsid w:val="1FF93968"/>
    <w:rsid w:val="2114639E"/>
    <w:rsid w:val="36A56977"/>
    <w:rsid w:val="37702892"/>
    <w:rsid w:val="3F217C17"/>
    <w:rsid w:val="41537901"/>
    <w:rsid w:val="42E06053"/>
    <w:rsid w:val="4D3F5ADF"/>
    <w:rsid w:val="4F934F18"/>
    <w:rsid w:val="53951342"/>
    <w:rsid w:val="550A5C7C"/>
    <w:rsid w:val="55674E7D"/>
    <w:rsid w:val="56C34335"/>
    <w:rsid w:val="5A6C206F"/>
    <w:rsid w:val="5F2A04DF"/>
    <w:rsid w:val="63696264"/>
    <w:rsid w:val="66B27F22"/>
    <w:rsid w:val="66F81DD8"/>
    <w:rsid w:val="68E32614"/>
    <w:rsid w:val="691E53FA"/>
    <w:rsid w:val="6CC16468"/>
    <w:rsid w:val="6CFA617E"/>
    <w:rsid w:val="6DF1477B"/>
    <w:rsid w:val="6EBD7464"/>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4175</Words>
  <Characters>4867</Characters>
  <Lines>0</Lines>
  <Paragraphs>0</Paragraphs>
  <TotalTime>1</TotalTime>
  <ScaleCrop>false</ScaleCrop>
  <LinksUpToDate>false</LinksUpToDate>
  <CharactersWithSpaces>4904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2025-12-09T05:48:55Z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