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B1463C">
      <w:pPr>
        <w:spacing w:line="360" w:lineRule="auto"/>
        <w:jc w:val="center"/>
        <w:rPr>
          <w:rFonts w:hint="eastAsia" w:ascii="宋体" w:hAnsi="宋体" w:eastAsia="宋体" w:cs="宋体"/>
          <w:b/>
          <w:bCs/>
          <w:sz w:val="24"/>
          <w:szCs w:val="24"/>
        </w:rPr>
      </w:pPr>
      <w:bookmarkStart w:id="0" w:name="_Toc495644242"/>
      <w:r>
        <w:rPr>
          <w:rFonts w:hint="eastAsia" w:ascii="宋体" w:hAnsi="宋体" w:eastAsia="宋体" w:cs="宋体"/>
          <w:b/>
          <w:sz w:val="32"/>
          <w:szCs w:val="32"/>
          <w:lang w:eastAsia="zh-CN"/>
        </w:rPr>
        <w:t>锡林郭勒超高压供电分公司2025年生产工程第四批服务采购项目（二次）询比采购公告</w:t>
      </w:r>
    </w:p>
    <w:bookmarkEnd w:id="0"/>
    <w:p w14:paraId="62032CB8">
      <w:pPr>
        <w:spacing w:line="360" w:lineRule="auto"/>
        <w:ind w:right="-54" w:firstLine="480" w:firstLineChars="200"/>
        <w:rPr>
          <w:rFonts w:hint="eastAsia" w:ascii="宋体" w:hAnsi="宋体" w:eastAsia="宋体" w:cs="宋体"/>
          <w:sz w:val="24"/>
          <w:szCs w:val="24"/>
        </w:rPr>
      </w:pPr>
      <w:bookmarkStart w:id="1" w:name="_Toc495644243"/>
      <w:r>
        <w:rPr>
          <w:rFonts w:hint="eastAsia" w:ascii="宋体" w:hAnsi="宋体" w:eastAsia="宋体" w:cs="宋体"/>
          <w:sz w:val="24"/>
          <w:szCs w:val="24"/>
        </w:rPr>
        <w:t>依据《国有企业采购操作规范》及《国有企业采购操作规范》释义等相关的规定，</w:t>
      </w:r>
      <w:r>
        <w:rPr>
          <w:rFonts w:hint="eastAsia" w:ascii="宋体" w:hAnsi="宋体" w:eastAsia="宋体" w:cs="宋体"/>
          <w:kern w:val="0"/>
          <w:sz w:val="24"/>
          <w:szCs w:val="24"/>
        </w:rPr>
        <w:t>内蒙古电力（集团）有限责任公司锡林郭勒超高压供电分公司</w:t>
      </w:r>
      <w:r>
        <w:rPr>
          <w:rFonts w:hint="eastAsia" w:ascii="宋体" w:hAnsi="宋体" w:eastAsia="宋体" w:cs="宋体"/>
          <w:bCs/>
          <w:sz w:val="24"/>
          <w:szCs w:val="24"/>
        </w:rPr>
        <w:t>委托法正项目管理集团有限公司</w:t>
      </w:r>
      <w:r>
        <w:rPr>
          <w:rFonts w:hint="eastAsia" w:ascii="宋体" w:hAnsi="宋体" w:eastAsia="宋体" w:cs="宋体"/>
          <w:sz w:val="24"/>
          <w:szCs w:val="24"/>
        </w:rPr>
        <w:t>,对该项目进行询比采购,现发布询比采购公告如下:</w:t>
      </w:r>
    </w:p>
    <w:p w14:paraId="0932FBA7">
      <w:pPr>
        <w:spacing w:line="360" w:lineRule="auto"/>
        <w:ind w:right="-54"/>
        <w:rPr>
          <w:rFonts w:hint="eastAsia" w:ascii="宋体" w:hAnsi="宋体" w:eastAsia="宋体" w:cs="宋体"/>
          <w:b/>
          <w:sz w:val="24"/>
          <w:szCs w:val="24"/>
        </w:rPr>
      </w:pPr>
      <w:r>
        <w:rPr>
          <w:rFonts w:hint="eastAsia" w:ascii="宋体" w:hAnsi="宋体" w:eastAsia="宋体" w:cs="宋体"/>
          <w:b/>
          <w:sz w:val="24"/>
          <w:szCs w:val="24"/>
        </w:rPr>
        <w:t>1.项目概况与采购范围</w:t>
      </w:r>
      <w:bookmarkEnd w:id="1"/>
    </w:p>
    <w:p w14:paraId="66C1062D">
      <w:pPr>
        <w:snapToGrid w:val="0"/>
        <w:spacing w:line="360" w:lineRule="auto"/>
        <w:ind w:right="-65" w:rightChars="-19" w:firstLine="480" w:firstLineChars="200"/>
        <w:rPr>
          <w:rFonts w:hint="eastAsia" w:ascii="宋体" w:hAnsi="宋体" w:eastAsia="宋体" w:cs="宋体"/>
          <w:sz w:val="24"/>
          <w:szCs w:val="22"/>
          <w:lang w:eastAsia="zh-CN"/>
        </w:rPr>
      </w:pPr>
      <w:bookmarkStart w:id="2" w:name="_Toc495644244"/>
      <w:r>
        <w:rPr>
          <w:rFonts w:hint="eastAsia" w:ascii="宋体" w:hAnsi="宋体" w:eastAsia="宋体" w:cs="宋体"/>
          <w:sz w:val="24"/>
          <w:szCs w:val="22"/>
        </w:rPr>
        <w:t>1.1采购项目名称：</w:t>
      </w:r>
      <w:r>
        <w:rPr>
          <w:rFonts w:hint="eastAsia" w:ascii="宋体" w:hAnsi="宋体" w:eastAsia="宋体" w:cs="宋体"/>
          <w:sz w:val="24"/>
          <w:szCs w:val="22"/>
          <w:lang w:eastAsia="zh-CN"/>
        </w:rPr>
        <w:t>锡林郭勒超高压供电分公司2025年生产工程第四批服务采购项目（二次）</w:t>
      </w:r>
    </w:p>
    <w:p w14:paraId="2675C8FB">
      <w:pPr>
        <w:snapToGrid w:val="0"/>
        <w:spacing w:line="360" w:lineRule="auto"/>
        <w:ind w:right="-65" w:rightChars="-19" w:firstLine="480" w:firstLineChars="200"/>
        <w:rPr>
          <w:rFonts w:hint="eastAsia" w:ascii="宋体" w:hAnsi="宋体" w:eastAsia="宋体" w:cs="宋体"/>
          <w:sz w:val="24"/>
          <w:szCs w:val="22"/>
          <w:lang w:eastAsia="zh-CN"/>
        </w:rPr>
      </w:pPr>
      <w:r>
        <w:rPr>
          <w:rFonts w:hint="eastAsia" w:ascii="宋体" w:hAnsi="宋体" w:eastAsia="宋体" w:cs="宋体"/>
          <w:sz w:val="24"/>
          <w:szCs w:val="22"/>
        </w:rPr>
        <w:t>1.2项目编号：</w:t>
      </w:r>
      <w:r>
        <w:rPr>
          <w:rFonts w:hint="eastAsia" w:ascii="宋体" w:hAnsi="宋体" w:eastAsia="宋体" w:cs="宋体"/>
          <w:sz w:val="24"/>
          <w:szCs w:val="22"/>
          <w:lang w:eastAsia="zh-CN"/>
        </w:rPr>
        <w:t>XCGS-2025-FW-074</w:t>
      </w:r>
    </w:p>
    <w:p w14:paraId="1FB1A459">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1.3标包划分：本项目分为</w:t>
      </w:r>
      <w:r>
        <w:rPr>
          <w:rFonts w:hint="eastAsia" w:ascii="宋体" w:hAnsi="宋体" w:eastAsia="宋体" w:cs="宋体"/>
          <w:sz w:val="24"/>
          <w:szCs w:val="22"/>
          <w:lang w:val="en-US" w:eastAsia="zh-CN"/>
        </w:rPr>
        <w:t>2</w:t>
      </w:r>
      <w:r>
        <w:rPr>
          <w:rFonts w:hint="eastAsia" w:ascii="宋体" w:hAnsi="宋体" w:eastAsia="宋体" w:cs="宋体"/>
          <w:sz w:val="24"/>
          <w:szCs w:val="22"/>
        </w:rPr>
        <w:t xml:space="preserve">个标段 </w:t>
      </w:r>
    </w:p>
    <w:p w14:paraId="353BDF1F">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1.4资金来源：企业自筹</w:t>
      </w:r>
    </w:p>
    <w:p w14:paraId="42E36ABD">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1.5采购内容：</w:t>
      </w:r>
    </w:p>
    <w:tbl>
      <w:tblPr>
        <w:tblStyle w:val="12"/>
        <w:tblW w:w="104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7"/>
        <w:gridCol w:w="1764"/>
        <w:gridCol w:w="3573"/>
        <w:gridCol w:w="436"/>
        <w:gridCol w:w="586"/>
        <w:gridCol w:w="1078"/>
        <w:gridCol w:w="1132"/>
        <w:gridCol w:w="1386"/>
      </w:tblGrid>
      <w:tr w14:paraId="1D5B6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131C5A4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序号</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2C12762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子项目名称</w:t>
            </w:r>
          </w:p>
        </w:tc>
        <w:tc>
          <w:tcPr>
            <w:tcW w:w="3573" w:type="dxa"/>
            <w:tcBorders>
              <w:top w:val="single" w:color="000000" w:sz="4" w:space="0"/>
              <w:left w:val="single" w:color="000000" w:sz="4" w:space="0"/>
              <w:bottom w:val="single" w:color="000000" w:sz="4" w:space="0"/>
              <w:right w:val="single" w:color="000000" w:sz="4" w:space="0"/>
            </w:tcBorders>
            <w:noWrap/>
            <w:vAlign w:val="center"/>
          </w:tcPr>
          <w:p w14:paraId="4B71273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服务描述</w:t>
            </w:r>
          </w:p>
        </w:tc>
        <w:tc>
          <w:tcPr>
            <w:tcW w:w="436" w:type="dxa"/>
            <w:tcBorders>
              <w:top w:val="single" w:color="000000" w:sz="4" w:space="0"/>
              <w:left w:val="single" w:color="000000" w:sz="4" w:space="0"/>
              <w:bottom w:val="single" w:color="000000" w:sz="4" w:space="0"/>
              <w:right w:val="single" w:color="000000" w:sz="4" w:space="0"/>
            </w:tcBorders>
            <w:noWrap/>
            <w:vAlign w:val="center"/>
          </w:tcPr>
          <w:p w14:paraId="6F5B88D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单位</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20CC1EB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采购数量</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C9052E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采购控制单价（元）</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2B80ADB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采购控制总价（元）</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780021A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分包方案</w:t>
            </w:r>
          </w:p>
        </w:tc>
      </w:tr>
      <w:tr w14:paraId="3F208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38A2374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4C1316D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59FB7A0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绝缘手套试验，具体详见技术规范。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93FAD8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付</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FA369E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96</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9CCA2E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181124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10080.00 </w:t>
            </w:r>
          </w:p>
        </w:tc>
        <w:tc>
          <w:tcPr>
            <w:tcW w:w="1386" w:type="dxa"/>
            <w:vMerge w:val="restart"/>
            <w:tcBorders>
              <w:top w:val="single" w:color="000000" w:sz="4" w:space="0"/>
              <w:left w:val="single" w:color="000000" w:sz="4" w:space="0"/>
              <w:right w:val="single" w:color="000000" w:sz="4" w:space="0"/>
            </w:tcBorders>
            <w:noWrap w:val="0"/>
            <w:vAlign w:val="center"/>
          </w:tcPr>
          <w:p w14:paraId="1AC01A4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第一标段：安全工器具试验服务</w:t>
            </w:r>
          </w:p>
          <w:p w14:paraId="4E55DE2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（106422.00）</w:t>
            </w:r>
          </w:p>
        </w:tc>
      </w:tr>
      <w:tr w14:paraId="1533E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581835F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090CFF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5244D76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绝缘靴试验，具体详见技术规范。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D9A9ED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双</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500CB3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E63DD2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AD560A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11025.00 </w:t>
            </w:r>
          </w:p>
        </w:tc>
        <w:tc>
          <w:tcPr>
            <w:tcW w:w="1386" w:type="dxa"/>
            <w:vMerge w:val="continue"/>
            <w:tcBorders>
              <w:left w:val="single" w:color="000000" w:sz="4" w:space="0"/>
              <w:right w:val="single" w:color="000000" w:sz="4" w:space="0"/>
            </w:tcBorders>
            <w:noWrap w:val="0"/>
            <w:vAlign w:val="center"/>
          </w:tcPr>
          <w:p w14:paraId="45C962D6">
            <w:pPr>
              <w:widowControl/>
              <w:jc w:val="center"/>
              <w:textAlignment w:val="center"/>
              <w:rPr>
                <w:rFonts w:hint="eastAsia" w:ascii="宋体" w:hAnsi="宋体" w:eastAsia="宋体" w:cs="宋体"/>
                <w:color w:val="000000"/>
                <w:kern w:val="0"/>
                <w:sz w:val="18"/>
                <w:szCs w:val="18"/>
                <w:lang w:val="en-US" w:eastAsia="zh-CN" w:bidi="ar"/>
              </w:rPr>
            </w:pPr>
          </w:p>
        </w:tc>
      </w:tr>
      <w:tr w14:paraId="54667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67B3483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B101E3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D303DA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500kV接地线试验，具体详见技术规范。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AF9AE4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副</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53CF78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B17922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530.00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208B456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2120.00 </w:t>
            </w:r>
          </w:p>
        </w:tc>
        <w:tc>
          <w:tcPr>
            <w:tcW w:w="1386" w:type="dxa"/>
            <w:vMerge w:val="continue"/>
            <w:tcBorders>
              <w:left w:val="single" w:color="000000" w:sz="4" w:space="0"/>
              <w:right w:val="single" w:color="000000" w:sz="4" w:space="0"/>
            </w:tcBorders>
            <w:noWrap w:val="0"/>
            <w:vAlign w:val="center"/>
          </w:tcPr>
          <w:p w14:paraId="6FACA462">
            <w:pPr>
              <w:widowControl/>
              <w:jc w:val="center"/>
              <w:textAlignment w:val="center"/>
              <w:rPr>
                <w:rFonts w:hint="eastAsia" w:ascii="宋体" w:hAnsi="宋体" w:eastAsia="宋体" w:cs="宋体"/>
                <w:color w:val="000000"/>
                <w:kern w:val="0"/>
                <w:sz w:val="18"/>
                <w:szCs w:val="18"/>
                <w:lang w:val="en-US" w:eastAsia="zh-CN" w:bidi="ar"/>
              </w:rPr>
            </w:pPr>
          </w:p>
        </w:tc>
      </w:tr>
      <w:tr w14:paraId="307EB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1666068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4</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599F30E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EC6DA2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220kV接地线试验，具体详见技术规范。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A52AA1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副</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774B91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19</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927849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340.00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4673DFA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6460.00 </w:t>
            </w:r>
          </w:p>
        </w:tc>
        <w:tc>
          <w:tcPr>
            <w:tcW w:w="1386" w:type="dxa"/>
            <w:vMerge w:val="continue"/>
            <w:tcBorders>
              <w:left w:val="single" w:color="000000" w:sz="4" w:space="0"/>
              <w:right w:val="single" w:color="000000" w:sz="4" w:space="0"/>
            </w:tcBorders>
            <w:noWrap w:val="0"/>
            <w:vAlign w:val="center"/>
          </w:tcPr>
          <w:p w14:paraId="65278F5D">
            <w:pPr>
              <w:widowControl/>
              <w:jc w:val="center"/>
              <w:textAlignment w:val="center"/>
              <w:rPr>
                <w:rFonts w:hint="eastAsia" w:ascii="宋体" w:hAnsi="宋体" w:eastAsia="宋体" w:cs="宋体"/>
                <w:color w:val="000000"/>
                <w:kern w:val="0"/>
                <w:sz w:val="18"/>
                <w:szCs w:val="18"/>
                <w:lang w:val="en-US" w:eastAsia="zh-CN" w:bidi="ar"/>
              </w:rPr>
            </w:pPr>
          </w:p>
        </w:tc>
      </w:tr>
      <w:tr w14:paraId="7705B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1B6B2CC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D87AC9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DE5EEE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35kV接地线试验，具体详见技术规范。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1443A2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副</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89E630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829EB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185.00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5D6E6D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3330.00 </w:t>
            </w:r>
          </w:p>
        </w:tc>
        <w:tc>
          <w:tcPr>
            <w:tcW w:w="1386" w:type="dxa"/>
            <w:vMerge w:val="continue"/>
            <w:tcBorders>
              <w:left w:val="single" w:color="000000" w:sz="4" w:space="0"/>
              <w:right w:val="single" w:color="000000" w:sz="4" w:space="0"/>
            </w:tcBorders>
            <w:noWrap w:val="0"/>
            <w:vAlign w:val="center"/>
          </w:tcPr>
          <w:p w14:paraId="16CF6121">
            <w:pPr>
              <w:widowControl/>
              <w:jc w:val="center"/>
              <w:textAlignment w:val="center"/>
              <w:rPr>
                <w:rFonts w:hint="eastAsia" w:ascii="宋体" w:hAnsi="宋体" w:eastAsia="宋体" w:cs="宋体"/>
                <w:color w:val="000000"/>
                <w:kern w:val="0"/>
                <w:sz w:val="18"/>
                <w:szCs w:val="18"/>
                <w:lang w:val="en-US" w:eastAsia="zh-CN" w:bidi="ar"/>
              </w:rPr>
            </w:pPr>
          </w:p>
        </w:tc>
      </w:tr>
      <w:tr w14:paraId="00DACD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7A254E5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6</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3867369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6CE8E3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500kV拉闸杆试验，具体详见技术规范。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2BCB6BD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03BB0D5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2B4130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450.00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CE07FA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10800.00 </w:t>
            </w:r>
          </w:p>
        </w:tc>
        <w:tc>
          <w:tcPr>
            <w:tcW w:w="1386" w:type="dxa"/>
            <w:vMerge w:val="continue"/>
            <w:tcBorders>
              <w:left w:val="single" w:color="000000" w:sz="4" w:space="0"/>
              <w:right w:val="single" w:color="000000" w:sz="4" w:space="0"/>
            </w:tcBorders>
            <w:noWrap w:val="0"/>
            <w:vAlign w:val="center"/>
          </w:tcPr>
          <w:p w14:paraId="47E8E3B9">
            <w:pPr>
              <w:widowControl/>
              <w:jc w:val="center"/>
              <w:textAlignment w:val="center"/>
              <w:rPr>
                <w:rFonts w:hint="eastAsia" w:ascii="宋体" w:hAnsi="宋体" w:eastAsia="宋体" w:cs="宋体"/>
                <w:color w:val="000000"/>
                <w:kern w:val="0"/>
                <w:sz w:val="18"/>
                <w:szCs w:val="18"/>
                <w:lang w:val="en-US" w:eastAsia="zh-CN" w:bidi="ar"/>
              </w:rPr>
            </w:pPr>
          </w:p>
        </w:tc>
      </w:tr>
      <w:tr w14:paraId="323A1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C85766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7</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51568BB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26EBBD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220kV拉闸杆试验，具体详见技术规范。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070019B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1750E54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4BD15E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255.00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79C02D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5610.00 </w:t>
            </w:r>
          </w:p>
        </w:tc>
        <w:tc>
          <w:tcPr>
            <w:tcW w:w="1386" w:type="dxa"/>
            <w:vMerge w:val="continue"/>
            <w:tcBorders>
              <w:left w:val="single" w:color="000000" w:sz="4" w:space="0"/>
              <w:right w:val="single" w:color="000000" w:sz="4" w:space="0"/>
            </w:tcBorders>
            <w:noWrap w:val="0"/>
            <w:vAlign w:val="center"/>
          </w:tcPr>
          <w:p w14:paraId="7F73ED58">
            <w:pPr>
              <w:widowControl/>
              <w:jc w:val="center"/>
              <w:textAlignment w:val="center"/>
              <w:rPr>
                <w:rFonts w:hint="eastAsia" w:ascii="宋体" w:hAnsi="宋体" w:eastAsia="宋体" w:cs="宋体"/>
                <w:color w:val="000000"/>
                <w:kern w:val="0"/>
                <w:sz w:val="18"/>
                <w:szCs w:val="18"/>
                <w:lang w:val="en-US" w:eastAsia="zh-CN" w:bidi="ar"/>
              </w:rPr>
            </w:pPr>
          </w:p>
        </w:tc>
      </w:tr>
      <w:tr w14:paraId="293B7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7F7B868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8</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25A6D4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7AF653C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66kV拉闸杆试验，具体详见技术规范。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1B2348B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53EA6D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707B15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153.00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0DF4ED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1224.00 </w:t>
            </w:r>
          </w:p>
        </w:tc>
        <w:tc>
          <w:tcPr>
            <w:tcW w:w="1386" w:type="dxa"/>
            <w:vMerge w:val="continue"/>
            <w:tcBorders>
              <w:left w:val="single" w:color="000000" w:sz="4" w:space="0"/>
              <w:right w:val="single" w:color="000000" w:sz="4" w:space="0"/>
            </w:tcBorders>
            <w:noWrap w:val="0"/>
            <w:vAlign w:val="center"/>
          </w:tcPr>
          <w:p w14:paraId="2B32F831">
            <w:pPr>
              <w:widowControl/>
              <w:jc w:val="center"/>
              <w:textAlignment w:val="center"/>
              <w:rPr>
                <w:rFonts w:hint="eastAsia" w:ascii="宋体" w:hAnsi="宋体" w:eastAsia="宋体" w:cs="宋体"/>
                <w:color w:val="000000"/>
                <w:kern w:val="0"/>
                <w:sz w:val="18"/>
                <w:szCs w:val="18"/>
                <w:lang w:val="en-US" w:eastAsia="zh-CN" w:bidi="ar"/>
              </w:rPr>
            </w:pPr>
          </w:p>
        </w:tc>
      </w:tr>
      <w:tr w14:paraId="15B5D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454A2C0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9</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9CBC07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662ED5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1938862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192A76A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9E8B3E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2A66D45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2400.00 </w:t>
            </w:r>
          </w:p>
        </w:tc>
        <w:tc>
          <w:tcPr>
            <w:tcW w:w="1386" w:type="dxa"/>
            <w:vMerge w:val="continue"/>
            <w:tcBorders>
              <w:left w:val="single" w:color="000000" w:sz="4" w:space="0"/>
              <w:right w:val="single" w:color="000000" w:sz="4" w:space="0"/>
            </w:tcBorders>
            <w:noWrap w:val="0"/>
            <w:vAlign w:val="center"/>
          </w:tcPr>
          <w:p w14:paraId="1852642B">
            <w:pPr>
              <w:widowControl/>
              <w:jc w:val="center"/>
              <w:textAlignment w:val="center"/>
              <w:rPr>
                <w:rFonts w:hint="eastAsia" w:ascii="宋体" w:hAnsi="宋体" w:eastAsia="宋体" w:cs="宋体"/>
                <w:color w:val="000000"/>
                <w:kern w:val="0"/>
                <w:sz w:val="18"/>
                <w:szCs w:val="18"/>
                <w:lang w:val="en-US" w:eastAsia="zh-CN" w:bidi="ar"/>
              </w:rPr>
            </w:pPr>
          </w:p>
        </w:tc>
      </w:tr>
      <w:tr w14:paraId="5F5E6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97C7B1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4134F2B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387F399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500kV验电器试验，具体详见技术规范。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75A23D1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63E9313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112BB7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865.00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6C8E12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24220.00 </w:t>
            </w:r>
          </w:p>
        </w:tc>
        <w:tc>
          <w:tcPr>
            <w:tcW w:w="1386" w:type="dxa"/>
            <w:vMerge w:val="continue"/>
            <w:tcBorders>
              <w:left w:val="single" w:color="000000" w:sz="4" w:space="0"/>
              <w:right w:val="single" w:color="000000" w:sz="4" w:space="0"/>
            </w:tcBorders>
            <w:noWrap w:val="0"/>
            <w:vAlign w:val="center"/>
          </w:tcPr>
          <w:p w14:paraId="6B39022B">
            <w:pPr>
              <w:widowControl/>
              <w:jc w:val="center"/>
              <w:textAlignment w:val="center"/>
              <w:rPr>
                <w:rFonts w:hint="eastAsia" w:ascii="宋体" w:hAnsi="宋体" w:eastAsia="宋体" w:cs="宋体"/>
                <w:color w:val="000000"/>
                <w:kern w:val="0"/>
                <w:sz w:val="18"/>
                <w:szCs w:val="18"/>
                <w:lang w:val="en-US" w:eastAsia="zh-CN" w:bidi="ar"/>
              </w:rPr>
            </w:pPr>
          </w:p>
        </w:tc>
      </w:tr>
      <w:tr w14:paraId="7AD95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3D9416A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11</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6E7312B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03B3DD4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220kV验电器试验，具体详见技术规范。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CA53A8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ECFA3F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E638E3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357.00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283AEC7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11424.00 </w:t>
            </w:r>
          </w:p>
        </w:tc>
        <w:tc>
          <w:tcPr>
            <w:tcW w:w="1386" w:type="dxa"/>
            <w:vMerge w:val="continue"/>
            <w:tcBorders>
              <w:left w:val="single" w:color="000000" w:sz="4" w:space="0"/>
              <w:right w:val="single" w:color="000000" w:sz="4" w:space="0"/>
            </w:tcBorders>
            <w:noWrap w:val="0"/>
            <w:vAlign w:val="center"/>
          </w:tcPr>
          <w:p w14:paraId="4CA6516F">
            <w:pPr>
              <w:widowControl/>
              <w:jc w:val="center"/>
              <w:textAlignment w:val="center"/>
              <w:rPr>
                <w:rFonts w:hint="eastAsia" w:ascii="宋体" w:hAnsi="宋体" w:eastAsia="宋体" w:cs="宋体"/>
                <w:color w:val="000000"/>
                <w:kern w:val="0"/>
                <w:sz w:val="18"/>
                <w:szCs w:val="18"/>
                <w:lang w:val="en-US" w:eastAsia="zh-CN" w:bidi="ar"/>
              </w:rPr>
            </w:pPr>
          </w:p>
        </w:tc>
      </w:tr>
      <w:tr w14:paraId="26927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66DDB7D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12</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DF79ED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0D56FE7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66kV验电器试验，具体详见技术规范。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5FAC110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FC9E51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D74931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204.00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4C8B9B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816.00 </w:t>
            </w:r>
          </w:p>
        </w:tc>
        <w:tc>
          <w:tcPr>
            <w:tcW w:w="1386" w:type="dxa"/>
            <w:vMerge w:val="continue"/>
            <w:tcBorders>
              <w:left w:val="single" w:color="000000" w:sz="4" w:space="0"/>
              <w:right w:val="single" w:color="000000" w:sz="4" w:space="0"/>
            </w:tcBorders>
            <w:noWrap w:val="0"/>
            <w:vAlign w:val="center"/>
          </w:tcPr>
          <w:p w14:paraId="20AECB09">
            <w:pPr>
              <w:widowControl/>
              <w:jc w:val="center"/>
              <w:textAlignment w:val="center"/>
              <w:rPr>
                <w:rFonts w:hint="eastAsia" w:ascii="宋体" w:hAnsi="宋体" w:eastAsia="宋体" w:cs="宋体"/>
                <w:color w:val="000000"/>
                <w:kern w:val="0"/>
                <w:sz w:val="18"/>
                <w:szCs w:val="18"/>
                <w:lang w:val="en-US" w:eastAsia="zh-CN" w:bidi="ar"/>
              </w:rPr>
            </w:pPr>
          </w:p>
        </w:tc>
      </w:tr>
      <w:tr w14:paraId="7D156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3F07F1B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13</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DCFDF3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1C654E4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FCD14F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15CDCA4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29</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88D79A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146.00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45F5032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4234.00 </w:t>
            </w:r>
          </w:p>
        </w:tc>
        <w:tc>
          <w:tcPr>
            <w:tcW w:w="1386" w:type="dxa"/>
            <w:vMerge w:val="continue"/>
            <w:tcBorders>
              <w:left w:val="single" w:color="000000" w:sz="4" w:space="0"/>
              <w:right w:val="single" w:color="000000" w:sz="4" w:space="0"/>
            </w:tcBorders>
            <w:noWrap w:val="0"/>
            <w:vAlign w:val="center"/>
          </w:tcPr>
          <w:p w14:paraId="4191D1A7">
            <w:pPr>
              <w:widowControl/>
              <w:jc w:val="center"/>
              <w:textAlignment w:val="center"/>
              <w:rPr>
                <w:rFonts w:hint="eastAsia" w:ascii="宋体" w:hAnsi="宋体" w:eastAsia="宋体" w:cs="宋体"/>
                <w:color w:val="000000"/>
                <w:kern w:val="0"/>
                <w:sz w:val="18"/>
                <w:szCs w:val="18"/>
                <w:lang w:val="en-US" w:eastAsia="zh-CN" w:bidi="ar"/>
              </w:rPr>
            </w:pPr>
          </w:p>
        </w:tc>
      </w:tr>
      <w:tr w14:paraId="36184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75460CA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14</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32F8D21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C79AFB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380V验电器试验，具体详见技术规范。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E4CBC9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0DD2A11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6FE15F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ED15E2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2125.00 </w:t>
            </w:r>
          </w:p>
        </w:tc>
        <w:tc>
          <w:tcPr>
            <w:tcW w:w="1386" w:type="dxa"/>
            <w:vMerge w:val="continue"/>
            <w:tcBorders>
              <w:left w:val="single" w:color="000000" w:sz="4" w:space="0"/>
              <w:right w:val="single" w:color="000000" w:sz="4" w:space="0"/>
            </w:tcBorders>
            <w:noWrap w:val="0"/>
            <w:vAlign w:val="center"/>
          </w:tcPr>
          <w:p w14:paraId="03FF7445">
            <w:pPr>
              <w:widowControl/>
              <w:jc w:val="center"/>
              <w:textAlignment w:val="center"/>
              <w:rPr>
                <w:rFonts w:hint="eastAsia" w:ascii="宋体" w:hAnsi="宋体" w:eastAsia="宋体" w:cs="宋体"/>
                <w:color w:val="000000"/>
                <w:kern w:val="0"/>
                <w:sz w:val="18"/>
                <w:szCs w:val="18"/>
                <w:lang w:val="en-US" w:eastAsia="zh-CN" w:bidi="ar"/>
              </w:rPr>
            </w:pPr>
          </w:p>
        </w:tc>
      </w:tr>
      <w:tr w14:paraId="26A5A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106C43A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15</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5855E6A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5A2FCA9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安全带试验，具体详见技术规范。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46843E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付</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88AA6D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BF1DDE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72F5F3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1440.00 </w:t>
            </w:r>
          </w:p>
        </w:tc>
        <w:tc>
          <w:tcPr>
            <w:tcW w:w="1386" w:type="dxa"/>
            <w:vMerge w:val="continue"/>
            <w:tcBorders>
              <w:left w:val="single" w:color="000000" w:sz="4" w:space="0"/>
              <w:right w:val="single" w:color="000000" w:sz="4" w:space="0"/>
            </w:tcBorders>
            <w:noWrap w:val="0"/>
            <w:vAlign w:val="center"/>
          </w:tcPr>
          <w:p w14:paraId="10BFC863">
            <w:pPr>
              <w:widowControl/>
              <w:jc w:val="center"/>
              <w:textAlignment w:val="center"/>
              <w:rPr>
                <w:rFonts w:hint="eastAsia" w:ascii="宋体" w:hAnsi="宋体" w:eastAsia="宋体" w:cs="宋体"/>
                <w:color w:val="000000"/>
                <w:kern w:val="0"/>
                <w:sz w:val="18"/>
                <w:szCs w:val="18"/>
                <w:lang w:val="en-US" w:eastAsia="zh-CN" w:bidi="ar"/>
              </w:rPr>
            </w:pPr>
          </w:p>
        </w:tc>
      </w:tr>
      <w:tr w14:paraId="1775E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22A8D0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16</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197475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5D1A66B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安全绳试验，具体详见技术规范。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0F28F70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1FBA67C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6AD2C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34B9EA3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1260.00 </w:t>
            </w:r>
          </w:p>
        </w:tc>
        <w:tc>
          <w:tcPr>
            <w:tcW w:w="1386" w:type="dxa"/>
            <w:vMerge w:val="continue"/>
            <w:tcBorders>
              <w:left w:val="single" w:color="000000" w:sz="4" w:space="0"/>
              <w:right w:val="single" w:color="000000" w:sz="4" w:space="0"/>
            </w:tcBorders>
            <w:noWrap w:val="0"/>
            <w:vAlign w:val="center"/>
          </w:tcPr>
          <w:p w14:paraId="15F64C9B">
            <w:pPr>
              <w:widowControl/>
              <w:jc w:val="center"/>
              <w:textAlignment w:val="center"/>
              <w:rPr>
                <w:rFonts w:hint="eastAsia" w:ascii="宋体" w:hAnsi="宋体" w:eastAsia="宋体" w:cs="宋体"/>
                <w:color w:val="000000"/>
                <w:kern w:val="0"/>
                <w:sz w:val="18"/>
                <w:szCs w:val="18"/>
                <w:lang w:val="en-US" w:eastAsia="zh-CN" w:bidi="ar"/>
              </w:rPr>
            </w:pPr>
          </w:p>
        </w:tc>
      </w:tr>
      <w:tr w14:paraId="0D030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DC3605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17</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B87FFF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6581BCA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除冰器试验，具体详见技术规范。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EA9982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9660A2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FEF8B3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102.00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7C4C7C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714.00 </w:t>
            </w:r>
          </w:p>
        </w:tc>
        <w:tc>
          <w:tcPr>
            <w:tcW w:w="1386" w:type="dxa"/>
            <w:vMerge w:val="continue"/>
            <w:tcBorders>
              <w:left w:val="single" w:color="000000" w:sz="4" w:space="0"/>
              <w:right w:val="single" w:color="000000" w:sz="4" w:space="0"/>
            </w:tcBorders>
            <w:noWrap w:val="0"/>
            <w:vAlign w:val="center"/>
          </w:tcPr>
          <w:p w14:paraId="1D790FAA">
            <w:pPr>
              <w:widowControl/>
              <w:jc w:val="center"/>
              <w:textAlignment w:val="center"/>
              <w:rPr>
                <w:rFonts w:hint="eastAsia" w:ascii="宋体" w:hAnsi="宋体" w:eastAsia="宋体" w:cs="宋体"/>
                <w:color w:val="000000"/>
                <w:kern w:val="0"/>
                <w:sz w:val="18"/>
                <w:szCs w:val="18"/>
                <w:lang w:val="en-US" w:eastAsia="zh-CN" w:bidi="ar"/>
              </w:rPr>
            </w:pPr>
          </w:p>
        </w:tc>
      </w:tr>
      <w:tr w14:paraId="1E156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12F3B9D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18</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608D991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02B54E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绝缘梯试验，具体详见技术规范。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DEEB58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部</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664BF40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D0374A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204.00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4B805B7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7140.00 </w:t>
            </w:r>
          </w:p>
        </w:tc>
        <w:tc>
          <w:tcPr>
            <w:tcW w:w="1386" w:type="dxa"/>
            <w:vMerge w:val="continue"/>
            <w:tcBorders>
              <w:left w:val="single" w:color="000000" w:sz="4" w:space="0"/>
              <w:bottom w:val="single" w:color="000000" w:sz="4" w:space="0"/>
              <w:right w:val="single" w:color="000000" w:sz="4" w:space="0"/>
            </w:tcBorders>
            <w:noWrap w:val="0"/>
            <w:vAlign w:val="center"/>
          </w:tcPr>
          <w:p w14:paraId="07595017">
            <w:pPr>
              <w:widowControl/>
              <w:jc w:val="center"/>
              <w:textAlignment w:val="center"/>
              <w:rPr>
                <w:rFonts w:hint="eastAsia" w:ascii="宋体" w:hAnsi="宋体" w:eastAsia="宋体" w:cs="宋体"/>
                <w:color w:val="000000"/>
                <w:kern w:val="0"/>
                <w:sz w:val="18"/>
                <w:szCs w:val="18"/>
                <w:lang w:val="en-US" w:eastAsia="zh-CN" w:bidi="ar"/>
              </w:rPr>
            </w:pPr>
          </w:p>
        </w:tc>
      </w:tr>
      <w:tr w14:paraId="7DBE7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2"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0D78E88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19</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20F9D9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2026年驾驶员服务采购项目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8CF186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A04B21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项</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890445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72FC37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326761.00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04B646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326761.00 </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00D698F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第二标段：驾驶员服务</w:t>
            </w:r>
          </w:p>
          <w:p w14:paraId="1C75DDC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（326761.00）</w:t>
            </w:r>
          </w:p>
        </w:tc>
      </w:tr>
    </w:tbl>
    <w:p w14:paraId="73ED5805">
      <w:pPr>
        <w:pStyle w:val="15"/>
        <w:rPr>
          <w:rFonts w:hint="eastAsia"/>
          <w:szCs w:val="21"/>
        </w:rPr>
      </w:pPr>
    </w:p>
    <w:p w14:paraId="41F0E5E7">
      <w:pPr>
        <w:keepNext w:val="0"/>
        <w:keepLines w:val="0"/>
        <w:pageBreakBefore w:val="0"/>
        <w:widowControl w:val="0"/>
        <w:kinsoku/>
        <w:wordWrap/>
        <w:overflowPunct/>
        <w:topLinePunct w:val="0"/>
        <w:autoSpaceDE/>
        <w:autoSpaceDN/>
        <w:bidi w:val="0"/>
        <w:adjustRightInd/>
        <w:snapToGrid w:val="0"/>
        <w:spacing w:line="360" w:lineRule="auto"/>
        <w:ind w:right="0" w:rightChars="0" w:firstLine="480" w:firstLineChars="200"/>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rPr>
        <w:t>1.</w:t>
      </w:r>
      <w:bookmarkEnd w:id="2"/>
      <w:bookmarkStart w:id="3" w:name="_Toc37411142"/>
      <w:bookmarkStart w:id="4" w:name="_Toc37409907"/>
      <w:bookmarkStart w:id="5" w:name="_Toc37407095"/>
      <w:r>
        <w:rPr>
          <w:rFonts w:hint="eastAsia" w:ascii="宋体" w:hAnsi="宋体" w:eastAsia="宋体" w:cs="宋体"/>
          <w:sz w:val="24"/>
          <w:szCs w:val="22"/>
          <w:highlight w:val="none"/>
        </w:rPr>
        <w:t>6服务期限：</w:t>
      </w:r>
      <w:r>
        <w:rPr>
          <w:rFonts w:hint="eastAsia" w:ascii="宋体" w:hAnsi="宋体" w:eastAsia="宋体" w:cs="宋体"/>
          <w:sz w:val="24"/>
          <w:szCs w:val="22"/>
          <w:highlight w:val="none"/>
          <w:lang w:val="en-US" w:eastAsia="zh-CN"/>
        </w:rPr>
        <w:t>第一标段：自合同签订之日起至2026年11月30日；</w:t>
      </w:r>
    </w:p>
    <w:p w14:paraId="4DF226C6">
      <w:pPr>
        <w:keepNext w:val="0"/>
        <w:keepLines w:val="0"/>
        <w:pageBreakBefore w:val="0"/>
        <w:widowControl w:val="0"/>
        <w:kinsoku/>
        <w:wordWrap/>
        <w:overflowPunct/>
        <w:topLinePunct w:val="0"/>
        <w:autoSpaceDE/>
        <w:autoSpaceDN/>
        <w:bidi w:val="0"/>
        <w:adjustRightInd/>
        <w:snapToGrid w:val="0"/>
        <w:spacing w:line="360" w:lineRule="auto"/>
        <w:ind w:right="-65" w:rightChars="-19" w:firstLine="2085" w:firstLineChars="869"/>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lang w:val="en-US" w:eastAsia="zh-CN"/>
        </w:rPr>
        <w:t>第二标段：自合同签订之日起至2026年12月31日；</w:t>
      </w:r>
    </w:p>
    <w:p w14:paraId="193E1710">
      <w:pPr>
        <w:snapToGrid w:val="0"/>
        <w:spacing w:line="360" w:lineRule="auto"/>
        <w:ind w:right="-65" w:rightChars="-19" w:firstLine="480" w:firstLineChars="200"/>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lang w:val="en-US" w:eastAsia="zh-CN"/>
        </w:rPr>
        <w:t>1.7服务地点：第一标段：锡林郭勒超高压供电分公司所辖八座变电站；</w:t>
      </w:r>
    </w:p>
    <w:p w14:paraId="091C03B6">
      <w:pPr>
        <w:keepNext w:val="0"/>
        <w:keepLines w:val="0"/>
        <w:pageBreakBefore w:val="0"/>
        <w:widowControl w:val="0"/>
        <w:kinsoku/>
        <w:wordWrap/>
        <w:overflowPunct/>
        <w:topLinePunct w:val="0"/>
        <w:autoSpaceDE/>
        <w:autoSpaceDN/>
        <w:bidi w:val="0"/>
        <w:adjustRightInd/>
        <w:snapToGrid w:val="0"/>
        <w:spacing w:line="360" w:lineRule="auto"/>
        <w:ind w:right="-65" w:rightChars="-19" w:firstLine="2085" w:firstLineChars="869"/>
        <w:textAlignment w:val="auto"/>
        <w:rPr>
          <w:rFonts w:hint="default" w:ascii="宋体" w:hAnsi="宋体" w:eastAsia="宋体" w:cs="宋体"/>
          <w:sz w:val="24"/>
          <w:szCs w:val="22"/>
          <w:highlight w:val="yellow"/>
          <w:lang w:val="en-US" w:eastAsia="zh-CN"/>
        </w:rPr>
      </w:pPr>
      <w:r>
        <w:rPr>
          <w:rFonts w:hint="eastAsia" w:ascii="宋体" w:hAnsi="宋体" w:eastAsia="宋体" w:cs="宋体"/>
          <w:sz w:val="24"/>
          <w:szCs w:val="22"/>
          <w:highlight w:val="none"/>
          <w:lang w:val="en-US" w:eastAsia="zh-CN"/>
        </w:rPr>
        <w:t>第二标段：锡林郭勒超高压供电分公司。</w:t>
      </w:r>
    </w:p>
    <w:bookmarkEnd w:id="3"/>
    <w:bookmarkEnd w:id="4"/>
    <w:bookmarkEnd w:id="5"/>
    <w:p w14:paraId="19B19CA1">
      <w:pPr>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2.供应商资格要求：</w:t>
      </w:r>
    </w:p>
    <w:p w14:paraId="6E6F6576">
      <w:pPr>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2.1通用资格要求</w:t>
      </w:r>
    </w:p>
    <w:p w14:paraId="5141C003">
      <w:pPr>
        <w:spacing w:line="360" w:lineRule="auto"/>
        <w:ind w:firstLine="360" w:firstLineChars="150"/>
        <w:rPr>
          <w:rFonts w:hint="eastAsia" w:ascii="宋体" w:hAnsi="宋体" w:eastAsia="宋体" w:cs="宋体"/>
          <w:sz w:val="24"/>
          <w:szCs w:val="24"/>
        </w:rPr>
      </w:pPr>
      <w:bookmarkStart w:id="6" w:name="_Toc495644245"/>
      <w:r>
        <w:rPr>
          <w:rFonts w:hint="eastAsia" w:ascii="宋体" w:hAnsi="宋体" w:eastAsia="宋体" w:cs="宋体"/>
          <w:sz w:val="24"/>
          <w:szCs w:val="24"/>
        </w:rPr>
        <w:t>（1）本次采购要求供应商具有中华人民共和国法人资格或其他组织，且具有独立订立合同的权利；</w:t>
      </w:r>
    </w:p>
    <w:p w14:paraId="09F0F7C7">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（2）单位负责人为同一人或者存在控股、管理关系的不同单位，不得参加同一标段竞标或者未划分标段的同一采购项目竞标。母子公司不能互用资质、业绩；</w:t>
      </w:r>
    </w:p>
    <w:p w14:paraId="1B9E7BEF">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（3）具有国家相关部门颁发且有效的营业执照，企业如有信息变更，需有工商局变更说明；</w:t>
      </w:r>
    </w:p>
    <w:p w14:paraId="7602EDF8">
      <w:pPr>
        <w:spacing w:line="360" w:lineRule="auto"/>
        <w:ind w:firstLine="360" w:firstLineChars="150"/>
        <w:rPr>
          <w:rFonts w:hint="eastAsia" w:ascii="宋体" w:hAnsi="宋体" w:eastAsia="宋体" w:cs="宋体"/>
          <w:sz w:val="24"/>
          <w:szCs w:val="24"/>
          <w:lang w:eastAsia="zh-CN"/>
        </w:rPr>
      </w:pPr>
      <w:r>
        <w:rPr>
          <w:rFonts w:hint="eastAsia" w:ascii="宋体" w:hAnsi="宋体" w:eastAsia="宋体" w:cs="宋体"/>
          <w:sz w:val="24"/>
          <w:szCs w:val="24"/>
        </w:rPr>
        <w:t>（4）开具增值税专用发票的能力（一般纳税人证明或其他证明材料，如提供发票的需同时提供国家税务总局查询截图）</w:t>
      </w:r>
      <w:r>
        <w:rPr>
          <w:rFonts w:hint="eastAsia" w:ascii="宋体" w:hAnsi="宋体" w:eastAsia="宋体" w:cs="宋体"/>
          <w:sz w:val="24"/>
          <w:szCs w:val="24"/>
          <w:lang w:eastAsia="zh-CN"/>
        </w:rPr>
        <w:t>；</w:t>
      </w:r>
    </w:p>
    <w:p w14:paraId="6ACD3C92">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（5）在近三年内（自采购文件发售之日起前三年）供应商和其法定代表人未有行贿犯罪行为的。</w:t>
      </w:r>
    </w:p>
    <w:p w14:paraId="1BEB9414">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供应商需提供近三年内（自中采购文件发售之日起前三年）供应商在中国裁判文书网（http://wenshu.court.gov.cn/）无行贿犯罪档案的查询结果截图和其法定代表人在中国裁判文书网无行贿犯罪档案的查询结果截图，查询结果截图中须包含：“当事人”为供应商单位名称或供应商单位法定代表人，“全文”为“行贿罪”，“裁判日期”不得少于近三年（自采购文件发布之日起前三年，多于三年或不选裁判日期均可）。</w:t>
      </w:r>
    </w:p>
    <w:p w14:paraId="313E57F2">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（6）供应商未被工商行政管理机关在国家企业信用信息公示系统中列入“严重违法失信企业名单” 和“经营异常名录 ”。</w:t>
      </w:r>
    </w:p>
    <w:p w14:paraId="4098F0FD">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注：1）供应商需提供供应商在国家企业信用信息公示系统（www.gsxt.gov.cn）针对 “严重违法失信企业名单 ”和“经营异常名录 ”的两份查询结果截图，查询结果截图中须包含以下信息点：供应商名称、统一社会信用代码、列入严重违法失信名单（黑名单）信息或列入经营异常名录信息。</w:t>
      </w:r>
    </w:p>
    <w:p w14:paraId="52221A93">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2）如供应商提供的“列入经营异常名录信息 ”或“列入严重违法失信企业名单（黑名单）信息 ”截图显示，该供应商曾被列入经营异常名录或严重违法失信企业名单（黑名单），但在开标前已被移出，则供应商不属于被列入“严重违法失信企业名单 ” 或“经营异常名录 ”。</w:t>
      </w:r>
    </w:p>
    <w:p w14:paraId="6ACDC8C0">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3）按照国家企业信用信息公示系统“ 网站使用帮助 ”中的系统功能简介，国家企业信用信息公示系统提供全国企业、农民专业合作社、个体工商户等市场主体信用信息的填报、公示、查询和异议等功能，上述范围外的供应商无需提供国家企业信用信息公示系统的截图，但需额外提供不属于上述范围的相关证明（如事业单位可提供有效期内的《事业单位法人证书》）。</w:t>
      </w:r>
    </w:p>
    <w:p w14:paraId="1B92057D">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（7）供应商未被最高人民法院在“信用中国 ”网站（www.creditchina.gov.cn）或各级信用信息共享平台中列入失信被执行人名单。</w:t>
      </w:r>
    </w:p>
    <w:p w14:paraId="006323DE">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供应商需提供在“信用中国”网站（www.creditchina.gov.cn）或各级信用信息共享平台中列入失信被执行人名单信息的查询结果截图，在“信用中国”的查询结果截图须能体现供应商在“中国执行信息公开网”的查询结果。</w:t>
      </w:r>
    </w:p>
    <w:p w14:paraId="343D0D95">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信用中国”查询方式：“信用中国”→“信用服务”→“失信被执行人”，在弹出窗口进入链接网站（“中国执行信息公开网”），在查询窗口输入查询企业名称，在查询省份范围中选择“全国”，将查询结果截图。</w:t>
      </w:r>
    </w:p>
    <w:p w14:paraId="2B130ECC">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8）供应商未因发生过骗取成交和严重违约、质量事故及重大合同纠纷被上级部门（内蒙古电力（集团）有限责任公司）通报/披露取消竞标资格，并且目前不处于处罚期内；按照内蒙古电力（集团）有限责任公司《关于对供应商不良行为处理的通知》的规定，未列入最新发布的不良供应商名单；</w:t>
      </w:r>
    </w:p>
    <w:p w14:paraId="44828A3B">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（9）供应商未被列入中电联发布的涉电力领域失信联合惩戒对象名单及涉电力领域重点关注对象名单（截止到最新所有名单）；</w:t>
      </w:r>
    </w:p>
    <w:p w14:paraId="38F1D4B0">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（10）本项目不接受联合体竞标。</w:t>
      </w:r>
    </w:p>
    <w:p w14:paraId="33D20A84">
      <w:pPr>
        <w:snapToGrid w:val="0"/>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2.2专用资格要求</w:t>
      </w:r>
    </w:p>
    <w:p w14:paraId="49970D53">
      <w:pPr>
        <w:numPr>
          <w:ilvl w:val="0"/>
          <w:numId w:val="0"/>
        </w:numPr>
        <w:spacing w:line="360" w:lineRule="auto"/>
        <w:ind w:firstLine="480" w:firstLineChars="200"/>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第一标段：供应商须具有省级及以上质量技术监督部门颁发的检验检测机构资质认定证书（CMA）或中国合格评定国家认可委员会颁发的CNAS证书，且资质证书涵盖500kV工器具检验检测范围。</w:t>
      </w:r>
    </w:p>
    <w:p w14:paraId="144156F8">
      <w:pPr>
        <w:numPr>
          <w:ilvl w:val="0"/>
          <w:numId w:val="0"/>
        </w:numPr>
        <w:spacing w:line="360" w:lineRule="auto"/>
        <w:ind w:firstLine="480" w:firstLineChars="200"/>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第二标段：供应商须具备有效的《人力资源服务许可证》。</w:t>
      </w:r>
    </w:p>
    <w:p w14:paraId="2A35A608">
      <w:pPr>
        <w:spacing w:line="360" w:lineRule="auto"/>
        <w:ind w:firstLine="355" w:firstLineChars="150"/>
        <w:rPr>
          <w:rFonts w:hint="eastAsia" w:ascii="宋体" w:hAnsi="宋体" w:eastAsia="宋体" w:cs="宋体"/>
          <w:b/>
          <w:bCs/>
          <w:kern w:val="0"/>
          <w:position w:val="-6"/>
          <w:sz w:val="24"/>
        </w:rPr>
      </w:pPr>
      <w:r>
        <w:rPr>
          <w:rFonts w:hint="eastAsia" w:ascii="宋体" w:hAnsi="宋体" w:eastAsia="宋体" w:cs="宋体"/>
          <w:b/>
          <w:spacing w:val="-2"/>
          <w:sz w:val="24"/>
          <w:szCs w:val="24"/>
        </w:rPr>
        <w:t>3、报名及</w:t>
      </w:r>
      <w:r>
        <w:rPr>
          <w:rFonts w:hint="eastAsia" w:ascii="宋体" w:hAnsi="宋体" w:eastAsia="宋体" w:cs="宋体"/>
          <w:b/>
          <w:spacing w:val="-1"/>
          <w:sz w:val="24"/>
          <w:szCs w:val="24"/>
        </w:rPr>
        <w:t>询比采购文件的获取：</w:t>
      </w:r>
    </w:p>
    <w:bookmarkEnd w:id="6"/>
    <w:p w14:paraId="73B1058F">
      <w:pPr>
        <w:spacing w:line="360" w:lineRule="auto"/>
        <w:ind w:firstLine="480" w:firstLineChars="200"/>
        <w:rPr>
          <w:rFonts w:hint="eastAsia" w:ascii="宋体" w:hAnsi="宋体" w:eastAsia="宋体" w:cs="宋体"/>
          <w:color w:val="000000"/>
          <w:sz w:val="24"/>
          <w:szCs w:val="24"/>
        </w:rPr>
      </w:pPr>
      <w:bookmarkStart w:id="7" w:name="_Toc37409908"/>
      <w:bookmarkStart w:id="8" w:name="_Toc37411143"/>
      <w:bookmarkStart w:id="9" w:name="_Toc495645074"/>
      <w:bookmarkStart w:id="10" w:name="_Toc37407096"/>
      <w:r>
        <w:rPr>
          <w:rFonts w:hint="eastAsia" w:ascii="宋体" w:hAnsi="宋体" w:eastAsia="宋体" w:cs="宋体"/>
          <w:color w:val="000000"/>
          <w:sz w:val="24"/>
          <w:szCs w:val="24"/>
        </w:rPr>
        <w:t>1.采购文件售价：不收取</w:t>
      </w:r>
    </w:p>
    <w:p w14:paraId="1C725E59">
      <w:pPr>
        <w:spacing w:line="360" w:lineRule="auto"/>
        <w:ind w:firstLine="480" w:firstLineChars="200"/>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凡第一次参与内蒙古电力公司的各类采购项目的投标人，在投标报名前需要在内蒙古电力公司物资管理信息系统--“内蒙古电力（集团）有限责任公司电子商务平台（http://wzglb.impc.com.cn:82）”，先进行投标人基本信息注册，然后在采购项目挂网公告所在的电子采购交易平台办理中招互连扫码签章，前述工作完成后方可开始报名。</w:t>
      </w:r>
    </w:p>
    <w:p w14:paraId="4C90A21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3.本项目实行在线报名和发布采购文件。凡有意参加投标者，请于</w:t>
      </w:r>
      <w:r>
        <w:rPr>
          <w:rFonts w:hint="eastAsia" w:ascii="宋体" w:hAnsi="宋体" w:eastAsia="宋体" w:cs="宋体"/>
          <w:sz w:val="24"/>
          <w:szCs w:val="24"/>
          <w:lang w:eastAsia="zh-CN"/>
        </w:rPr>
        <w:t>2025年12月09日</w:t>
      </w:r>
      <w:r>
        <w:rPr>
          <w:rFonts w:hint="eastAsia" w:ascii="宋体" w:hAnsi="宋体" w:eastAsia="宋体" w:cs="宋体"/>
          <w:sz w:val="24"/>
          <w:szCs w:val="24"/>
        </w:rPr>
        <w:t>至</w:t>
      </w:r>
      <w:r>
        <w:rPr>
          <w:rFonts w:hint="eastAsia" w:ascii="宋体" w:hAnsi="宋体" w:eastAsia="宋体" w:cs="宋体"/>
          <w:sz w:val="24"/>
          <w:szCs w:val="24"/>
          <w:lang w:eastAsia="zh-CN"/>
        </w:rPr>
        <w:t>2025年12月12日</w:t>
      </w:r>
      <w:r>
        <w:rPr>
          <w:rFonts w:hint="eastAsia" w:ascii="宋体" w:hAnsi="宋体" w:eastAsia="宋体" w:cs="宋体"/>
          <w:sz w:val="24"/>
          <w:szCs w:val="24"/>
        </w:rPr>
        <w:t>下午17:00，进入内蒙古电力集团电子采购系统（http://guocai-impc.cppchina.cn）→投标人登录→“报名管理”在线报名，逾期不予受理。</w:t>
      </w:r>
    </w:p>
    <w:p w14:paraId="511F7CB8">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（1）具体流程为：登录平台（未注册用户请先免费注册）→在报名管理界面查看最新采购项目→供应商报名提交报名资料→报名成功后→供应商下载采购文件。平台联系电话：400-9913-966 。</w:t>
      </w:r>
    </w:p>
    <w:p w14:paraId="6CBBB5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14:paraId="320E91EB">
      <w:pPr>
        <w:spacing w:line="360" w:lineRule="auto"/>
        <w:ind w:firstLine="480" w:firstLineChars="200"/>
        <w:rPr>
          <w:rFonts w:hint="eastAsia" w:ascii="宋体" w:hAnsi="宋体" w:eastAsia="宋体" w:cs="宋体"/>
          <w:sz w:val="24"/>
        </w:rPr>
      </w:pPr>
      <w:r>
        <w:rPr>
          <w:rFonts w:hint="eastAsia" w:ascii="宋体" w:hAnsi="宋体" w:eastAsia="宋体" w:cs="宋体"/>
          <w:sz w:val="24"/>
          <w:szCs w:val="24"/>
        </w:rPr>
        <w:t>注：扫码登录，扫码签章，扫码加密，扫码解密， 登录 APP 的手机号必须保持一致。</w:t>
      </w:r>
    </w:p>
    <w:p w14:paraId="12361AF5">
      <w:pPr>
        <w:pStyle w:val="16"/>
        <w:adjustRightInd w:val="0"/>
        <w:snapToGrid w:val="0"/>
        <w:spacing w:line="360" w:lineRule="auto"/>
        <w:ind w:left="31" w:leftChars="9" w:firstLine="458" w:firstLineChars="191"/>
        <w:jc w:val="left"/>
        <w:rPr>
          <w:rFonts w:hint="eastAsia" w:ascii="宋体" w:hAnsi="宋体" w:eastAsia="宋体" w:cs="宋体"/>
          <w:color w:val="000000"/>
          <w:sz w:val="24"/>
          <w:szCs w:val="24"/>
        </w:rPr>
      </w:pPr>
      <w:r>
        <w:rPr>
          <w:rFonts w:hint="eastAsia" w:ascii="宋体" w:hAnsi="宋体" w:eastAsia="宋体" w:cs="宋体"/>
          <w:color w:val="000000"/>
          <w:sz w:val="24"/>
          <w:szCs w:val="24"/>
        </w:rPr>
        <w:t>4.报名所需资料</w:t>
      </w:r>
    </w:p>
    <w:p w14:paraId="331CAE50">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（1）法定代表人身份证明或法定代表人授权委托书（详见采购公告附件）；</w:t>
      </w:r>
    </w:p>
    <w:p w14:paraId="0040D859">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（2）有效的营业执照，企业名称如有变更，需提供有关行政机关提供的变更证明；</w:t>
      </w:r>
    </w:p>
    <w:p w14:paraId="1695975E">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（3）响应真实性承诺书；</w:t>
      </w:r>
    </w:p>
    <w:p w14:paraId="654C4885">
      <w:pPr>
        <w:spacing w:line="360" w:lineRule="auto"/>
        <w:ind w:firstLine="120" w:firstLineChars="50"/>
        <w:rPr>
          <w:rFonts w:hint="eastAsia" w:ascii="宋体" w:hAnsi="宋体" w:eastAsia="宋体" w:cs="宋体"/>
          <w:kern w:val="24"/>
          <w:sz w:val="24"/>
          <w:szCs w:val="24"/>
          <w:highlight w:val="yellow"/>
        </w:rPr>
      </w:pPr>
      <w:r>
        <w:rPr>
          <w:rFonts w:hint="eastAsia" w:ascii="宋体" w:hAnsi="宋体" w:eastAsia="宋体" w:cs="宋体"/>
          <w:kern w:val="24"/>
          <w:sz w:val="24"/>
          <w:szCs w:val="24"/>
        </w:rPr>
        <w:t>（4）开具增值税专用发票的相关证明资料（一般纳税人证明或其他证明材料，如提供发票的需同时提供国家税务总局查询截图）</w:t>
      </w:r>
      <w:r>
        <w:rPr>
          <w:rFonts w:hint="eastAsia" w:ascii="宋体" w:hAnsi="宋体" w:eastAsia="宋体" w:cs="宋体"/>
          <w:sz w:val="24"/>
        </w:rPr>
        <w:t>；</w:t>
      </w:r>
    </w:p>
    <w:p w14:paraId="3FE012C3">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（5）供应商通用资格要求中的证明材料；</w:t>
      </w:r>
    </w:p>
    <w:p w14:paraId="0B8C3C1F">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 xml:space="preserve">（6）供应商专用资格要求中的证明材料；（提供专用资格要求的证明材料，必要时需提供网页查询真伪截图及网址链接）   </w:t>
      </w:r>
      <w:r>
        <w:rPr>
          <w:rFonts w:hint="eastAsia" w:ascii="宋体" w:hAnsi="宋体" w:eastAsia="宋体" w:cs="宋体"/>
          <w:b/>
          <w:szCs w:val="24"/>
        </w:rPr>
        <w:t xml:space="preserve">                                                                                                                                                                                                                                                                                                                                                                      </w:t>
      </w:r>
    </w:p>
    <w:p w14:paraId="7ECA3137">
      <w:pPr>
        <w:pStyle w:val="8"/>
        <w:shd w:val="clear" w:color="auto" w:fill="FFFFFF"/>
        <w:spacing w:before="0" w:beforeAutospacing="0" w:after="0" w:afterAutospacing="0" w:line="360" w:lineRule="auto"/>
        <w:ind w:firstLine="482" w:firstLineChars="200"/>
        <w:rPr>
          <w:rFonts w:hint="eastAsia" w:eastAsia="宋体" w:cs="宋体"/>
        </w:rPr>
      </w:pPr>
      <w:r>
        <w:rPr>
          <w:rFonts w:hint="eastAsia" w:eastAsia="宋体" w:cs="宋体"/>
          <w:b/>
        </w:rPr>
        <w:t>注：</w:t>
      </w:r>
      <w:r>
        <w:rPr>
          <w:rFonts w:hint="eastAsia" w:eastAsia="宋体" w:cs="宋体"/>
        </w:rPr>
        <w:t>A、上述要求是对供应商的基本要求，如按照行业及相关部门另有规定的遵循其规定，供应商应提供相应的证明或资信材料；</w:t>
      </w:r>
    </w:p>
    <w:p w14:paraId="61C955FC">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如发现存在虚假资料，采购人取消其竞标/中标资格，由此造成的后果由成交/中标单位自负，并承担相应的法律责任；</w:t>
      </w:r>
    </w:p>
    <w:p w14:paraId="4B270104">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bCs/>
          <w:color w:val="000000"/>
          <w:sz w:val="24"/>
        </w:rPr>
        <w:t>为保证供应商顺利报名成功，请供应商充分考虑上传时间，供应商不能及时上传报名资料，导致的报名不成功，后果由供应商自负；</w:t>
      </w:r>
      <w:r>
        <w:rPr>
          <w:rFonts w:hint="eastAsia" w:ascii="宋体" w:hAnsi="宋体" w:eastAsia="宋体" w:cs="宋体"/>
          <w:sz w:val="24"/>
        </w:rPr>
        <w:t xml:space="preserve"> </w:t>
      </w:r>
    </w:p>
    <w:p w14:paraId="400AF711">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为提高报名工作效率，投多个包的请供应商按包分别对应上传相应报名资料，严禁上传与本包无关资料，否则，采购人有权拒绝。</w:t>
      </w:r>
    </w:p>
    <w:p w14:paraId="496A4051">
      <w:pPr>
        <w:widowControl/>
        <w:autoSpaceDE w:val="0"/>
        <w:autoSpaceDN w:val="0"/>
        <w:adjustRightInd w:val="0"/>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t>4.响应文件的递交</w:t>
      </w:r>
      <w:bookmarkEnd w:id="7"/>
      <w:bookmarkEnd w:id="8"/>
      <w:bookmarkEnd w:id="9"/>
      <w:bookmarkEnd w:id="10"/>
      <w:r>
        <w:rPr>
          <w:rFonts w:hint="eastAsia" w:ascii="宋体" w:hAnsi="宋体" w:eastAsia="宋体" w:cs="宋体"/>
          <w:b/>
          <w:bCs/>
          <w:sz w:val="24"/>
          <w:szCs w:val="24"/>
        </w:rPr>
        <w:t>：</w:t>
      </w:r>
    </w:p>
    <w:p w14:paraId="4DF27F72">
      <w:pPr>
        <w:spacing w:line="360" w:lineRule="auto"/>
        <w:ind w:right="103" w:firstLine="480" w:firstLineChars="200"/>
        <w:rPr>
          <w:rFonts w:hint="eastAsia" w:ascii="宋体" w:hAnsi="宋体" w:eastAsia="宋体" w:cs="宋体"/>
          <w:sz w:val="24"/>
          <w:szCs w:val="24"/>
        </w:rPr>
      </w:pPr>
      <w:bookmarkStart w:id="11" w:name="_Toc37409909"/>
      <w:bookmarkStart w:id="12" w:name="_Toc37407097"/>
      <w:bookmarkStart w:id="13" w:name="_Toc37411144"/>
      <w:r>
        <w:rPr>
          <w:rFonts w:hint="eastAsia" w:ascii="宋体" w:hAnsi="宋体" w:eastAsia="宋体" w:cs="宋体"/>
          <w:sz w:val="24"/>
          <w:szCs w:val="24"/>
        </w:rPr>
        <w:t>1.电子响应文件请于响应截止时间之前上传到“内蒙古电力集团电子采购系统”，响应截止时间后上传的响应文件恕不接收。本项目采用远程评审方式，不接收纸质响应文件，逾期送达的响应文件，“内蒙古电力集团电子采购系统”将不予接收。</w:t>
      </w:r>
    </w:p>
    <w:p w14:paraId="7CCD188C">
      <w:pPr>
        <w:spacing w:line="360" w:lineRule="auto"/>
        <w:ind w:right="103" w:firstLine="480" w:firstLineChars="200"/>
        <w:rPr>
          <w:rFonts w:hint="eastAsia" w:ascii="宋体" w:hAnsi="宋体" w:eastAsia="宋体" w:cs="宋体"/>
        </w:rPr>
      </w:pPr>
      <w:r>
        <w:rPr>
          <w:rFonts w:hint="eastAsia" w:ascii="宋体" w:hAnsi="宋体" w:eastAsia="宋体" w:cs="宋体"/>
          <w:sz w:val="24"/>
          <w:szCs w:val="24"/>
        </w:rPr>
        <w:t>2.供应商对网上递交的响应文件应加密。登录[中招互联]：APP对响应文件进行加密功能（如果供应商使用 A 手机号码对响应文件进行了扫码解密），必须需要使用A手机号码进行扫码解密，才能读取或导入响应文件。</w:t>
      </w:r>
    </w:p>
    <w:p w14:paraId="1395D2C2">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5.资格审查：</w:t>
      </w:r>
      <w:bookmarkEnd w:id="11"/>
      <w:bookmarkEnd w:id="12"/>
      <w:bookmarkEnd w:id="13"/>
    </w:p>
    <w:p w14:paraId="24E1794C">
      <w:pPr>
        <w:spacing w:line="360" w:lineRule="auto"/>
        <w:ind w:right="103" w:firstLine="480" w:firstLineChars="200"/>
        <w:rPr>
          <w:rFonts w:hint="eastAsia" w:ascii="宋体" w:hAnsi="宋体" w:eastAsia="宋体" w:cs="宋体"/>
          <w:sz w:val="24"/>
          <w:szCs w:val="24"/>
        </w:rPr>
      </w:pPr>
      <w:bookmarkStart w:id="14" w:name="_Toc37407098"/>
      <w:bookmarkStart w:id="15" w:name="_Toc37411145"/>
      <w:bookmarkStart w:id="16" w:name="_Toc37409910"/>
      <w:r>
        <w:rPr>
          <w:rFonts w:hint="eastAsia" w:ascii="宋体" w:hAnsi="宋体" w:eastAsia="宋体" w:cs="宋体"/>
          <w:sz w:val="24"/>
          <w:szCs w:val="24"/>
        </w:rPr>
        <w:t>本次采购采取资格后审方式，开标后由询比评审小组统一进行资格审查，详见采购文件。资格审查时，供应商提供的资料不全或不合格的或模糊不清无法辨认，均不能通过资格审查，其响应文件将被否决。</w:t>
      </w:r>
    </w:p>
    <w:p w14:paraId="09BB1480">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6.竞标截止时间：</w:t>
      </w:r>
      <w:bookmarkEnd w:id="14"/>
      <w:bookmarkEnd w:id="15"/>
      <w:bookmarkEnd w:id="16"/>
    </w:p>
    <w:p w14:paraId="1FFCA057">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响应文件上传时间：</w:t>
      </w:r>
      <w:r>
        <w:rPr>
          <w:rFonts w:hint="eastAsia" w:ascii="宋体" w:hAnsi="宋体" w:eastAsia="宋体" w:cs="宋体"/>
          <w:sz w:val="24"/>
          <w:szCs w:val="24"/>
          <w:lang w:eastAsia="zh-CN"/>
        </w:rPr>
        <w:t>2025年12月09日</w:t>
      </w:r>
      <w:r>
        <w:rPr>
          <w:rFonts w:hint="eastAsia" w:ascii="宋体" w:hAnsi="宋体" w:eastAsia="宋体" w:cs="宋体"/>
          <w:sz w:val="24"/>
          <w:szCs w:val="24"/>
        </w:rPr>
        <w:t>～</w:t>
      </w:r>
      <w:r>
        <w:rPr>
          <w:rFonts w:hint="eastAsia" w:ascii="宋体" w:hAnsi="宋体" w:eastAsia="宋体" w:cs="宋体"/>
          <w:bCs/>
          <w:sz w:val="24"/>
          <w:lang w:eastAsia="zh-CN"/>
        </w:rPr>
        <w:t>2025年12月17日</w:t>
      </w:r>
      <w:r>
        <w:rPr>
          <w:rFonts w:hint="eastAsia" w:ascii="宋体" w:hAnsi="宋体" w:eastAsia="宋体" w:cs="宋体"/>
          <w:bCs/>
          <w:sz w:val="24"/>
        </w:rPr>
        <w:t>上午09:00</w:t>
      </w:r>
    </w:p>
    <w:p w14:paraId="20822906">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询比截止时间：</w:t>
      </w:r>
      <w:r>
        <w:rPr>
          <w:rFonts w:hint="eastAsia" w:ascii="宋体" w:hAnsi="宋体" w:eastAsia="宋体" w:cs="宋体"/>
          <w:bCs/>
          <w:sz w:val="24"/>
          <w:lang w:eastAsia="zh-CN"/>
        </w:rPr>
        <w:t>2025年12月17日</w:t>
      </w:r>
      <w:r>
        <w:rPr>
          <w:rFonts w:hint="eastAsia" w:ascii="宋体" w:hAnsi="宋体" w:eastAsia="宋体" w:cs="宋体"/>
          <w:bCs/>
          <w:sz w:val="24"/>
        </w:rPr>
        <w:t>上午09:00</w:t>
      </w:r>
    </w:p>
    <w:p w14:paraId="60C2A211">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商务技术经济标开标时间：</w:t>
      </w:r>
      <w:r>
        <w:rPr>
          <w:rFonts w:hint="eastAsia" w:ascii="宋体" w:hAnsi="宋体" w:eastAsia="宋体" w:cs="宋体"/>
          <w:bCs/>
          <w:sz w:val="24"/>
          <w:lang w:eastAsia="zh-CN"/>
        </w:rPr>
        <w:t>2025年12月17日</w:t>
      </w:r>
      <w:r>
        <w:rPr>
          <w:rFonts w:hint="eastAsia" w:ascii="宋体" w:hAnsi="宋体" w:eastAsia="宋体" w:cs="宋体"/>
          <w:bCs/>
          <w:sz w:val="24"/>
        </w:rPr>
        <w:t>上午09:00</w:t>
      </w:r>
    </w:p>
    <w:p w14:paraId="6F7113F8">
      <w:pPr>
        <w:spacing w:line="360" w:lineRule="auto"/>
        <w:ind w:right="102" w:firstLine="480" w:firstLineChars="200"/>
        <w:rPr>
          <w:rFonts w:hint="eastAsia" w:ascii="宋体" w:hAnsi="宋体" w:eastAsia="宋体" w:cs="宋体"/>
          <w:sz w:val="24"/>
          <w:szCs w:val="24"/>
        </w:rPr>
      </w:pPr>
      <w:r>
        <w:rPr>
          <w:rFonts w:hint="eastAsia" w:ascii="宋体" w:hAnsi="宋体" w:eastAsia="宋体" w:cs="宋体"/>
          <w:sz w:val="24"/>
          <w:szCs w:val="24"/>
        </w:rPr>
        <w:t>商务技术经济标解密时间：</w:t>
      </w:r>
      <w:r>
        <w:rPr>
          <w:rFonts w:hint="eastAsia" w:ascii="宋体" w:hAnsi="宋体" w:eastAsia="宋体" w:cs="宋体"/>
          <w:bCs/>
          <w:sz w:val="24"/>
          <w:lang w:eastAsia="zh-CN"/>
        </w:rPr>
        <w:t>2025年12月17日</w:t>
      </w:r>
      <w:r>
        <w:rPr>
          <w:rFonts w:hint="eastAsia" w:ascii="宋体" w:hAnsi="宋体" w:eastAsia="宋体" w:cs="宋体"/>
          <w:bCs/>
          <w:sz w:val="24"/>
        </w:rPr>
        <w:t>上午09:00</w:t>
      </w:r>
      <w:r>
        <w:rPr>
          <w:rFonts w:hint="eastAsia" w:ascii="宋体" w:hAnsi="宋体" w:eastAsia="宋体" w:cs="宋体"/>
          <w:sz w:val="24"/>
          <w:szCs w:val="24"/>
        </w:rPr>
        <w:t>～上午09:30时</w:t>
      </w:r>
    </w:p>
    <w:p w14:paraId="18B496DC">
      <w:pPr>
        <w:spacing w:line="360" w:lineRule="auto"/>
        <w:ind w:left="-5"/>
        <w:rPr>
          <w:rFonts w:hint="eastAsia" w:ascii="宋体" w:hAnsi="宋体" w:eastAsia="宋体" w:cs="宋体"/>
          <w:sz w:val="24"/>
          <w:szCs w:val="24"/>
        </w:rPr>
      </w:pPr>
      <w:bookmarkStart w:id="17" w:name="_Toc37407099"/>
      <w:bookmarkStart w:id="18" w:name="_Toc37409911"/>
      <w:bookmarkStart w:id="19" w:name="_Toc37411146"/>
      <w:r>
        <w:rPr>
          <w:rFonts w:hint="eastAsia" w:ascii="宋体" w:hAnsi="宋体" w:eastAsia="宋体" w:cs="宋体"/>
          <w:sz w:val="24"/>
          <w:szCs w:val="24"/>
        </w:rPr>
        <w:t>7.解密方式及开标地点：</w:t>
      </w:r>
      <w:bookmarkEnd w:id="17"/>
      <w:bookmarkEnd w:id="18"/>
      <w:bookmarkEnd w:id="19"/>
    </w:p>
    <w:p w14:paraId="6F6D0F9A">
      <w:pPr>
        <w:pStyle w:val="17"/>
        <w:spacing w:line="360" w:lineRule="auto"/>
        <w:ind w:firstLine="480" w:firstLineChars="200"/>
        <w:rPr>
          <w:rFonts w:hint="eastAsia" w:ascii="宋体" w:hAnsi="宋体" w:eastAsia="宋体" w:cs="宋体"/>
          <w:color w:val="auto"/>
          <w:kern w:val="2"/>
        </w:rPr>
      </w:pPr>
      <w:bookmarkStart w:id="20" w:name="_Toc37411147"/>
      <w:bookmarkStart w:id="21" w:name="_Toc37407100"/>
      <w:bookmarkStart w:id="22" w:name="_Toc37409912"/>
      <w:bookmarkStart w:id="23" w:name="_Toc495645075"/>
      <w:r>
        <w:rPr>
          <w:rFonts w:hint="eastAsia" w:ascii="宋体" w:hAnsi="宋体" w:eastAsia="宋体" w:cs="宋体"/>
          <w:color w:val="auto"/>
          <w:kern w:val="2"/>
        </w:rPr>
        <w:t>远程解密：投标人于递交投标文件截止时间在原单位使用原上传文件电脑在“网上开标”界面，点击“进开标厅”按钮，在该界面进行投标文件的远程解密。届时请持上传文件时所使用的数字证书（CA证书）提前30分钟等候在电脑前准备参加文件解密（投标人需保持电脑网络通畅）。</w:t>
      </w:r>
    </w:p>
    <w:p w14:paraId="115F5B62">
      <w:pPr>
        <w:pStyle w:val="17"/>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请投标人按公告时间及时参与相关签到、解密及确认工作，签到、解密及确认过程中有任何问题请及时联系技术支持解决（电话：400-9913-966，周一至周日，8点30至20点30时），因投标人原因未在规定时间内解密投标文件，视为投标人撤销其投标文件。</w:t>
      </w:r>
    </w:p>
    <w:p w14:paraId="64E0D683">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8.竞标及采购费用：</w:t>
      </w:r>
      <w:bookmarkEnd w:id="20"/>
      <w:bookmarkEnd w:id="21"/>
      <w:bookmarkEnd w:id="22"/>
    </w:p>
    <w:p w14:paraId="2FF222D7">
      <w:pPr>
        <w:spacing w:line="360" w:lineRule="auto"/>
        <w:ind w:right="102" w:firstLine="480" w:firstLineChars="200"/>
        <w:rPr>
          <w:rFonts w:hint="eastAsia" w:ascii="宋体" w:hAnsi="宋体" w:eastAsia="宋体" w:cs="宋体"/>
          <w:sz w:val="24"/>
          <w:szCs w:val="24"/>
        </w:rPr>
      </w:pPr>
      <w:bookmarkStart w:id="24" w:name="_Toc37411148"/>
      <w:bookmarkStart w:id="25" w:name="_Toc37407101"/>
      <w:bookmarkStart w:id="26" w:name="_Toc37409913"/>
      <w:r>
        <w:rPr>
          <w:rFonts w:hint="eastAsia" w:ascii="宋体" w:hAnsi="宋体" w:eastAsia="宋体" w:cs="宋体"/>
          <w:sz w:val="24"/>
          <w:szCs w:val="24"/>
        </w:rPr>
        <w:t>1.中标服务费：中标服务费由成交供应商支付。</w:t>
      </w:r>
    </w:p>
    <w:p w14:paraId="72FA8D8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2.平台使用费：本项目采用全流程电子采购，供应商需（在线下载采购文件后，上传响应文件前）在线向电子交易平台缴纳电子采购服务费，具体收费标准为：</w:t>
      </w:r>
    </w:p>
    <w:p w14:paraId="651A66EE">
      <w:pPr>
        <w:spacing w:line="360" w:lineRule="auto"/>
        <w:ind w:firstLine="600" w:firstLineChars="250"/>
        <w:rPr>
          <w:rFonts w:hint="eastAsia" w:ascii="宋体" w:hAnsi="宋体" w:eastAsia="宋体" w:cs="宋体"/>
          <w:sz w:val="24"/>
          <w:szCs w:val="24"/>
        </w:rPr>
      </w:pPr>
      <w:r>
        <w:rPr>
          <w:rFonts w:hint="eastAsia" w:ascii="宋体" w:hAnsi="宋体" w:eastAsia="宋体" w:cs="宋体"/>
          <w:sz w:val="24"/>
          <w:szCs w:val="24"/>
        </w:rPr>
        <w:t>（1）公开招标项目中电子投标服务费：400元/包/次；</w:t>
      </w:r>
    </w:p>
    <w:p w14:paraId="42CAEFDA">
      <w:pPr>
        <w:spacing w:line="360" w:lineRule="auto"/>
        <w:ind w:firstLine="600" w:firstLineChars="250"/>
        <w:rPr>
          <w:rFonts w:hint="eastAsia" w:ascii="宋体" w:hAnsi="宋体" w:eastAsia="宋体" w:cs="宋体"/>
          <w:sz w:val="24"/>
          <w:szCs w:val="24"/>
        </w:rPr>
      </w:pPr>
      <w:r>
        <w:rPr>
          <w:rFonts w:hint="eastAsia" w:ascii="宋体" w:hAnsi="宋体" w:eastAsia="宋体" w:cs="宋体"/>
          <w:sz w:val="24"/>
          <w:szCs w:val="24"/>
        </w:rPr>
        <w:t>（2）非招标采购项目中电子采购服务费：300元/包/次；</w:t>
      </w:r>
    </w:p>
    <w:p w14:paraId="7298381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3</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产权场地服务费：</w:t>
      </w:r>
    </w:p>
    <w:p w14:paraId="4A635065">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.1场所服务费收取标准</w:t>
      </w:r>
    </w:p>
    <w:p w14:paraId="214FA813">
      <w:pPr>
        <w:numPr>
          <w:ilvl w:val="0"/>
          <w:numId w:val="0"/>
        </w:numPr>
        <w:wordWrap w:val="0"/>
        <w:spacing w:line="360" w:lineRule="auto"/>
        <w:ind w:firstLine="480" w:firstLineChars="200"/>
        <w:jc w:val="both"/>
        <w:rPr>
          <w:rFonts w:hint="eastAsia" w:ascii="宋体" w:hAnsi="宋体" w:eastAsia="宋体" w:cs="宋体"/>
          <w:kern w:val="0"/>
          <w:position w:val="-6"/>
          <w:sz w:val="24"/>
          <w:szCs w:val="24"/>
          <w:highlight w:val="none"/>
        </w:rPr>
      </w:pPr>
      <w:r>
        <w:rPr>
          <w:rFonts w:hint="eastAsia" w:ascii="宋体" w:hAnsi="宋体" w:eastAsia="宋体" w:cs="宋体"/>
          <w:kern w:val="0"/>
          <w:position w:val="-6"/>
          <w:sz w:val="24"/>
          <w:szCs w:val="24"/>
          <w:highlight w:val="none"/>
        </w:rPr>
        <w:t>成交供应商需在成交结果公告发布后5日内向内蒙古产权交易中心有限责任公司缴纳场所服务费的，收取标准如下：按最终成交总价1‰向成交供应商收取场所服务费，不足500元的按500元统一收取</w:t>
      </w:r>
    </w:p>
    <w:p w14:paraId="210D06B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场所服务费缴纳方式为公对公转账，汇款信息如下：</w:t>
      </w:r>
    </w:p>
    <w:p w14:paraId="0BCAF154">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收款单位名称：内蒙古产权交易中心有限责任公司</w:t>
      </w:r>
    </w:p>
    <w:p w14:paraId="6356D1B3">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开户行：华夏银行呼和浩特分行营业部</w:t>
      </w:r>
    </w:p>
    <w:p w14:paraId="7B3D920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 xml:space="preserve">账  号：5830200001819100031131 </w:t>
      </w:r>
    </w:p>
    <w:p w14:paraId="6601780E">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行  号：304191001951</w:t>
      </w:r>
    </w:p>
    <w:p w14:paraId="0FE0EBA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3.3</w:t>
      </w:r>
      <w:r>
        <w:rPr>
          <w:rFonts w:hint="eastAsia" w:ascii="宋体" w:hAnsi="宋体" w:eastAsia="宋体" w:cs="宋体"/>
          <w:kern w:val="0"/>
          <w:position w:val="-6"/>
          <w:sz w:val="24"/>
          <w:szCs w:val="24"/>
        </w:rPr>
        <w:t>交易场所：内蒙古产权交易中心有限责任公司</w:t>
      </w:r>
    </w:p>
    <w:p w14:paraId="4C94752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地    址：内蒙古呼和浩特市赛罕区阿吉泰路3号</w:t>
      </w:r>
    </w:p>
    <w:p w14:paraId="348A8D7E">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联系人：任海婷</w:t>
      </w:r>
    </w:p>
    <w:p w14:paraId="633F03C1">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联系电话：0471-3477645</w:t>
      </w:r>
    </w:p>
    <w:p w14:paraId="4F451588">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注：1、中标单位汇款时请务必公对公转账并备注：“开标时间+代理机构简称或项目简称或项目编号”；</w:t>
      </w:r>
    </w:p>
    <w:p w14:paraId="02C2FB2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2、中标公示期结束后，若无异议，中标单位应及时缴纳此项费用，以免延误中标通知书的发放。</w:t>
      </w:r>
    </w:p>
    <w:p w14:paraId="5176DD4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发票开具：中标人在交纳场地服务费后，须到内蒙古产权交易中心有限责任公司1楼12号窗口开具发票。</w:t>
      </w:r>
    </w:p>
    <w:p w14:paraId="254594E0">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9.发布公告的媒介</w:t>
      </w:r>
      <w:bookmarkEnd w:id="23"/>
      <w:bookmarkEnd w:id="24"/>
      <w:bookmarkEnd w:id="25"/>
      <w:bookmarkEnd w:id="26"/>
      <w:r>
        <w:rPr>
          <w:rFonts w:hint="eastAsia" w:ascii="宋体" w:hAnsi="宋体" w:eastAsia="宋体" w:cs="宋体"/>
          <w:b/>
          <w:bCs/>
          <w:sz w:val="24"/>
          <w:szCs w:val="24"/>
        </w:rPr>
        <w:t>：</w:t>
      </w:r>
    </w:p>
    <w:p w14:paraId="26786307">
      <w:pPr>
        <w:wordWrap w:val="0"/>
        <w:spacing w:line="360" w:lineRule="auto"/>
        <w:ind w:right="102" w:firstLine="480" w:firstLineChars="200"/>
        <w:rPr>
          <w:rFonts w:hint="eastAsia" w:ascii="宋体" w:hAnsi="宋体" w:eastAsia="宋体" w:cs="宋体"/>
          <w:sz w:val="24"/>
          <w:szCs w:val="24"/>
        </w:rPr>
      </w:pPr>
      <w:r>
        <w:rPr>
          <w:rFonts w:hint="eastAsia" w:ascii="宋体" w:hAnsi="宋体" w:eastAsia="宋体" w:cs="宋体"/>
          <w:sz w:val="24"/>
          <w:szCs w:val="24"/>
        </w:rPr>
        <w:t>本次公告在《内蒙古电力集团电子采购系统》（http://guocai-impc.cppchina.cn）、《中国招标投标公共服务平台》（www.cebpubservice.com）、《内蒙古招标投标公共服务平台》（http://zbgg.nmgztb.com.cn/）</w:t>
      </w:r>
      <w:r>
        <w:rPr>
          <w:rFonts w:hint="eastAsia" w:ascii="宋体" w:hAnsi="宋体" w:eastAsia="宋体" w:cs="宋体"/>
          <w:sz w:val="24"/>
          <w:szCs w:val="24"/>
          <w:lang w:eastAsia="zh-CN" w:bidi="ar"/>
        </w:rPr>
        <w:t>、《内蒙古自治区企业阳光采购服务平台》（http://nmgygcg.ejy365.com/）</w:t>
      </w:r>
      <w:r>
        <w:rPr>
          <w:rFonts w:hint="eastAsia" w:ascii="宋体" w:hAnsi="宋体" w:eastAsia="宋体" w:cs="宋体"/>
          <w:sz w:val="24"/>
          <w:szCs w:val="24"/>
        </w:rPr>
        <w:t>同时发布，其它媒介转发无效。</w:t>
      </w:r>
    </w:p>
    <w:p w14:paraId="70A5CAAB">
      <w:pPr>
        <w:spacing w:line="360" w:lineRule="auto"/>
        <w:ind w:left="-5"/>
        <w:rPr>
          <w:rFonts w:hint="eastAsia" w:ascii="宋体" w:hAnsi="宋体" w:eastAsia="宋体" w:cs="宋体"/>
          <w:bCs/>
          <w:sz w:val="24"/>
          <w:szCs w:val="24"/>
        </w:rPr>
      </w:pPr>
      <w:r>
        <w:rPr>
          <w:rFonts w:hint="eastAsia" w:ascii="宋体" w:hAnsi="宋体" w:eastAsia="宋体" w:cs="宋体"/>
          <w:b/>
          <w:bCs/>
          <w:sz w:val="24"/>
          <w:szCs w:val="24"/>
        </w:rPr>
        <w:t>10.联系方式：</w:t>
      </w:r>
    </w:p>
    <w:p w14:paraId="74C423E0">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采购人名称：内蒙古电力（集团）有限责任公司锡林郭勒超高压供电分公司</w:t>
      </w:r>
    </w:p>
    <w:p w14:paraId="3E2B66F5">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联系人：刘彦炜</w:t>
      </w:r>
    </w:p>
    <w:p w14:paraId="7204048B">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联系电话：0479-8125563</w:t>
      </w:r>
    </w:p>
    <w:p w14:paraId="6775AF37">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地址：内蒙古自治区锡林郭勒盟锡林浩特市宝力根街道宝办伊利勒特社区</w:t>
      </w:r>
    </w:p>
    <w:p w14:paraId="19B717E3">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异议联系电话：0479-8125560</w:t>
      </w:r>
    </w:p>
    <w:p w14:paraId="6629A5D1">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采购代理机构：法正项目管理集团有限公司（签章） </w:t>
      </w:r>
    </w:p>
    <w:p w14:paraId="0B587305">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地址：内蒙古锡林浩特市赛汉路荣华苑7号楼商铺7-01室</w:t>
      </w:r>
    </w:p>
    <w:p w14:paraId="5C58706E">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联系人：向忠海、仲桂燕、裴文东、白雪莲、马振伟、张晓林、高森</w:t>
      </w:r>
    </w:p>
    <w:p w14:paraId="62FC55E6">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联系电话：0479-8289588   </w:t>
      </w:r>
    </w:p>
    <w:p w14:paraId="0E36DA63">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邮箱: </w:t>
      </w:r>
      <w:r>
        <w:rPr>
          <w:rFonts w:hint="eastAsia" w:ascii="宋体" w:hAnsi="宋体" w:eastAsia="宋体" w:cs="宋体"/>
          <w:kern w:val="0"/>
          <w:sz w:val="24"/>
        </w:rPr>
        <w:fldChar w:fldCharType="begin"/>
      </w:r>
      <w:r>
        <w:rPr>
          <w:rFonts w:hint="eastAsia" w:ascii="宋体" w:hAnsi="宋体" w:eastAsia="宋体" w:cs="宋体"/>
          <w:kern w:val="0"/>
          <w:sz w:val="24"/>
        </w:rPr>
        <w:instrText xml:space="preserve"> HYPERLINK "mailto:463378062@qq.com" </w:instrText>
      </w:r>
      <w:r>
        <w:rPr>
          <w:rFonts w:hint="eastAsia" w:ascii="宋体" w:hAnsi="宋体" w:eastAsia="宋体" w:cs="宋体"/>
          <w:kern w:val="0"/>
          <w:sz w:val="24"/>
        </w:rPr>
        <w:fldChar w:fldCharType="separate"/>
      </w:r>
      <w:r>
        <w:rPr>
          <w:rStyle w:val="14"/>
          <w:rFonts w:hint="eastAsia" w:ascii="宋体" w:hAnsi="宋体" w:eastAsia="宋体" w:cs="宋体"/>
          <w:kern w:val="0"/>
          <w:sz w:val="24"/>
        </w:rPr>
        <w:t>463378062@qq.com</w:t>
      </w:r>
      <w:r>
        <w:rPr>
          <w:rStyle w:val="14"/>
          <w:rFonts w:hint="eastAsia" w:ascii="宋体" w:hAnsi="宋体" w:eastAsia="宋体" w:cs="宋体"/>
          <w:kern w:val="0"/>
          <w:sz w:val="24"/>
        </w:rPr>
        <w:br w:type="page"/>
      </w:r>
      <w:r>
        <w:rPr>
          <w:rFonts w:hint="eastAsia" w:ascii="宋体" w:hAnsi="宋体" w:eastAsia="宋体" w:cs="宋体"/>
          <w:kern w:val="0"/>
          <w:sz w:val="24"/>
        </w:rPr>
        <w:fldChar w:fldCharType="end"/>
      </w:r>
    </w:p>
    <w:p w14:paraId="1C91038A">
      <w:pPr>
        <w:tabs>
          <w:tab w:val="left" w:pos="2160"/>
          <w:tab w:val="center" w:pos="4411"/>
        </w:tabs>
        <w:topLinePunct/>
        <w:spacing w:line="360" w:lineRule="auto"/>
        <w:rPr>
          <w:rFonts w:hint="eastAsia" w:ascii="宋体" w:hAnsi="宋体" w:eastAsia="宋体" w:cs="宋体"/>
          <w:b/>
          <w:sz w:val="24"/>
          <w:szCs w:val="32"/>
        </w:rPr>
      </w:pPr>
      <w:r>
        <w:rPr>
          <w:rFonts w:hint="eastAsia" w:ascii="宋体" w:hAnsi="宋体" w:eastAsia="宋体" w:cs="宋体"/>
          <w:b/>
          <w:sz w:val="24"/>
          <w:szCs w:val="28"/>
        </w:rPr>
        <w:t>附件一：</w:t>
      </w:r>
    </w:p>
    <w:p w14:paraId="29027C48">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供应商信息表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8"/>
        <w:gridCol w:w="6389"/>
      </w:tblGrid>
      <w:tr w14:paraId="050A9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1AF9B716">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项目编号</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741E7664">
            <w:pPr>
              <w:spacing w:line="360" w:lineRule="auto"/>
              <w:jc w:val="center"/>
              <w:rPr>
                <w:rFonts w:hint="eastAsia" w:ascii="宋体" w:hAnsi="宋体" w:eastAsia="宋体" w:cs="宋体"/>
                <w:kern w:val="0"/>
                <w:sz w:val="21"/>
                <w:szCs w:val="21"/>
              </w:rPr>
            </w:pPr>
          </w:p>
        </w:tc>
      </w:tr>
      <w:tr w14:paraId="4CFC0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0A3B7586">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项目名称</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60120CA8">
            <w:pPr>
              <w:widowControl/>
              <w:spacing w:line="360" w:lineRule="auto"/>
              <w:jc w:val="center"/>
              <w:rPr>
                <w:rFonts w:hint="eastAsia" w:ascii="宋体" w:hAnsi="宋体" w:eastAsia="宋体" w:cs="宋体"/>
                <w:kern w:val="0"/>
                <w:sz w:val="21"/>
                <w:szCs w:val="21"/>
              </w:rPr>
            </w:pPr>
          </w:p>
        </w:tc>
      </w:tr>
      <w:tr w14:paraId="3F1BA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10DC0B97">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标段号</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49DFF5CF">
            <w:pPr>
              <w:widowControl/>
              <w:spacing w:line="360" w:lineRule="auto"/>
              <w:jc w:val="center"/>
              <w:rPr>
                <w:rFonts w:hint="eastAsia" w:ascii="宋体" w:hAnsi="宋体" w:eastAsia="宋体" w:cs="宋体"/>
                <w:kern w:val="0"/>
                <w:sz w:val="21"/>
                <w:szCs w:val="21"/>
              </w:rPr>
            </w:pPr>
          </w:p>
        </w:tc>
      </w:tr>
      <w:tr w14:paraId="4CCCD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B3F6C34">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供应商名称</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5B5476B1">
            <w:pPr>
              <w:spacing w:line="360" w:lineRule="auto"/>
              <w:ind w:firstLine="540"/>
              <w:rPr>
                <w:rFonts w:hint="eastAsia" w:ascii="宋体" w:hAnsi="宋体" w:eastAsia="宋体" w:cs="宋体"/>
                <w:sz w:val="21"/>
                <w:szCs w:val="21"/>
              </w:rPr>
            </w:pPr>
          </w:p>
        </w:tc>
      </w:tr>
      <w:tr w14:paraId="3240A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11DA64CB">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邮编</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5138E0B1">
            <w:pPr>
              <w:spacing w:line="360" w:lineRule="auto"/>
              <w:ind w:firstLine="540"/>
              <w:rPr>
                <w:rFonts w:hint="eastAsia" w:ascii="宋体" w:hAnsi="宋体" w:eastAsia="宋体" w:cs="宋体"/>
                <w:kern w:val="0"/>
                <w:sz w:val="21"/>
                <w:szCs w:val="21"/>
              </w:rPr>
            </w:pPr>
          </w:p>
        </w:tc>
      </w:tr>
      <w:tr w14:paraId="285F3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F21A553">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供应商详细通讯地址</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54DED000">
            <w:pPr>
              <w:spacing w:line="360" w:lineRule="auto"/>
              <w:ind w:firstLine="540"/>
              <w:rPr>
                <w:rFonts w:hint="eastAsia" w:ascii="宋体" w:hAnsi="宋体" w:eastAsia="宋体" w:cs="宋体"/>
                <w:kern w:val="0"/>
                <w:sz w:val="21"/>
                <w:szCs w:val="21"/>
              </w:rPr>
            </w:pPr>
          </w:p>
        </w:tc>
      </w:tr>
      <w:tr w14:paraId="02CE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61B00C9">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联系人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08250A8A">
            <w:pPr>
              <w:spacing w:line="360" w:lineRule="auto"/>
              <w:ind w:firstLine="540"/>
              <w:rPr>
                <w:rFonts w:hint="eastAsia" w:ascii="宋体" w:hAnsi="宋体" w:eastAsia="宋体" w:cs="宋体"/>
                <w:kern w:val="0"/>
                <w:sz w:val="21"/>
                <w:szCs w:val="21"/>
              </w:rPr>
            </w:pPr>
          </w:p>
        </w:tc>
      </w:tr>
      <w:tr w14:paraId="2F1D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63F63CB1">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手机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1F241A71">
            <w:pPr>
              <w:spacing w:line="360" w:lineRule="auto"/>
              <w:ind w:firstLine="540"/>
              <w:rPr>
                <w:rFonts w:hint="eastAsia" w:ascii="宋体" w:hAnsi="宋体" w:eastAsia="宋体" w:cs="宋体"/>
                <w:kern w:val="0"/>
                <w:sz w:val="21"/>
                <w:szCs w:val="21"/>
              </w:rPr>
            </w:pPr>
          </w:p>
        </w:tc>
      </w:tr>
      <w:tr w14:paraId="7C2E0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157E37EE">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E-mail（电子邮箱）</w:t>
            </w:r>
          </w:p>
          <w:p w14:paraId="1827F2B8">
            <w:pPr>
              <w:spacing w:line="360" w:lineRule="auto"/>
              <w:ind w:firstLine="540"/>
              <w:jc w:val="center"/>
              <w:rPr>
                <w:rFonts w:hint="eastAsia" w:ascii="宋体" w:hAnsi="宋体" w:eastAsia="宋体" w:cs="宋体"/>
                <w:kern w:val="0"/>
                <w:sz w:val="21"/>
                <w:szCs w:val="21"/>
              </w:rPr>
            </w:pPr>
            <w:r>
              <w:rPr>
                <w:rFonts w:hint="eastAsia" w:ascii="宋体" w:hAnsi="宋体" w:eastAsia="宋体" w:cs="宋体"/>
                <w:kern w:val="0"/>
                <w:sz w:val="21"/>
                <w:szCs w:val="21"/>
              </w:rPr>
              <w:t>（务必填写准确）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7C0E6E77">
            <w:pPr>
              <w:spacing w:line="360" w:lineRule="auto"/>
              <w:ind w:firstLine="540"/>
              <w:rPr>
                <w:rFonts w:hint="eastAsia" w:ascii="宋体" w:hAnsi="宋体" w:eastAsia="宋体" w:cs="宋体"/>
                <w:kern w:val="0"/>
                <w:sz w:val="21"/>
                <w:szCs w:val="21"/>
              </w:rPr>
            </w:pPr>
          </w:p>
        </w:tc>
      </w:tr>
      <w:tr w14:paraId="5E92C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6"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7020BCD4">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供应商开票信息</w:t>
            </w:r>
          </w:p>
          <w:p w14:paraId="0A1EA8E0">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（必须填写正确）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3F45A16D">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名称：</w:t>
            </w:r>
          </w:p>
          <w:p w14:paraId="56A53302">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纳税人识别号：</w:t>
            </w:r>
          </w:p>
          <w:p w14:paraId="0BBE6A8C">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地址、电话：</w:t>
            </w:r>
          </w:p>
          <w:p w14:paraId="46ADA99B">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开户行及账号：</w:t>
            </w:r>
          </w:p>
          <w:p w14:paraId="594CB46F">
            <w:pPr>
              <w:autoSpaceDE w:val="0"/>
              <w:autoSpaceDN w:val="0"/>
              <w:adjustRightInd w:val="0"/>
              <w:spacing w:line="360" w:lineRule="auto"/>
              <w:rPr>
                <w:rFonts w:hint="eastAsia" w:ascii="宋体" w:hAnsi="宋体" w:eastAsia="宋体" w:cs="宋体"/>
                <w:b/>
                <w:bCs/>
                <w:sz w:val="21"/>
                <w:szCs w:val="21"/>
              </w:rPr>
            </w:pPr>
          </w:p>
        </w:tc>
      </w:tr>
      <w:tr w14:paraId="20095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1"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38F02E84">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备注</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5742C42D">
            <w:pPr>
              <w:spacing w:line="360" w:lineRule="auto"/>
              <w:rPr>
                <w:rFonts w:hint="eastAsia" w:ascii="宋体" w:hAnsi="宋体" w:eastAsia="宋体" w:cs="宋体"/>
                <w:kern w:val="0"/>
                <w:sz w:val="21"/>
                <w:szCs w:val="21"/>
              </w:rPr>
            </w:pPr>
          </w:p>
        </w:tc>
      </w:tr>
    </w:tbl>
    <w:p w14:paraId="20F59794">
      <w:pPr>
        <w:spacing w:line="360" w:lineRule="auto"/>
        <w:rPr>
          <w:rFonts w:hint="eastAsia" w:ascii="宋体" w:hAnsi="宋体" w:eastAsia="宋体" w:cs="宋体"/>
          <w:sz w:val="24"/>
          <w:szCs w:val="24"/>
        </w:rPr>
      </w:pPr>
    </w:p>
    <w:p w14:paraId="1017A5C0">
      <w:pPr>
        <w:spacing w:line="360" w:lineRule="auto"/>
        <w:rPr>
          <w:rFonts w:hint="eastAsia" w:ascii="宋体" w:hAnsi="宋体" w:eastAsia="宋体" w:cs="宋体"/>
          <w:b/>
          <w:bCs/>
          <w:sz w:val="32"/>
          <w:szCs w:val="32"/>
        </w:rPr>
      </w:pPr>
    </w:p>
    <w:p w14:paraId="2328ACA2">
      <w:pPr>
        <w:spacing w:line="360" w:lineRule="auto"/>
        <w:rPr>
          <w:rFonts w:hint="eastAsia" w:ascii="宋体" w:hAnsi="宋体" w:eastAsia="宋体" w:cs="宋体"/>
          <w:b/>
          <w:sz w:val="24"/>
          <w:szCs w:val="28"/>
        </w:rPr>
      </w:pPr>
      <w:r>
        <w:rPr>
          <w:rFonts w:hint="eastAsia" w:ascii="宋体" w:hAnsi="宋体" w:eastAsia="宋体" w:cs="宋体"/>
          <w:b/>
          <w:sz w:val="24"/>
          <w:szCs w:val="28"/>
        </w:rPr>
        <w:br w:type="page"/>
      </w:r>
      <w:r>
        <w:rPr>
          <w:rFonts w:hint="eastAsia" w:ascii="宋体" w:hAnsi="宋体" w:eastAsia="宋体" w:cs="宋体"/>
          <w:b/>
          <w:sz w:val="24"/>
          <w:szCs w:val="28"/>
        </w:rPr>
        <w:t>附件二：</w:t>
      </w:r>
    </w:p>
    <w:p w14:paraId="0AD80488">
      <w:pPr>
        <w:spacing w:line="360" w:lineRule="auto"/>
        <w:rPr>
          <w:rFonts w:hint="eastAsia" w:ascii="宋体" w:hAnsi="宋体" w:eastAsia="宋体" w:cs="宋体"/>
          <w:sz w:val="28"/>
          <w:szCs w:val="28"/>
        </w:rPr>
      </w:pPr>
    </w:p>
    <w:p w14:paraId="41B088A1">
      <w:pPr>
        <w:spacing w:line="360" w:lineRule="auto"/>
        <w:ind w:firstLine="562"/>
        <w:jc w:val="center"/>
        <w:rPr>
          <w:rFonts w:hint="eastAsia" w:ascii="宋体" w:hAnsi="宋体" w:eastAsia="宋体" w:cs="宋体"/>
          <w:color w:val="000000"/>
          <w:sz w:val="28"/>
          <w:szCs w:val="28"/>
        </w:rPr>
      </w:pPr>
      <w:r>
        <w:rPr>
          <w:rFonts w:hint="eastAsia" w:ascii="宋体" w:hAnsi="宋体" w:eastAsia="宋体" w:cs="宋体"/>
          <w:b/>
          <w:bCs/>
          <w:color w:val="000000"/>
          <w:sz w:val="28"/>
          <w:szCs w:val="28"/>
        </w:rPr>
        <w:t>法人代表授权委托书</w:t>
      </w:r>
    </w:p>
    <w:p w14:paraId="1128F38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是经中华人民共和国工商行政管理局注册的合法企业，法定地址</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。公司法定代表人：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，授权我公司</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代表我公司参加贵处组织的</w:t>
      </w:r>
      <w:r>
        <w:rPr>
          <w:rFonts w:hint="eastAsia" w:ascii="宋体" w:hAnsi="宋体" w:eastAsia="宋体" w:cs="宋体"/>
          <w:color w:val="000000"/>
          <w:sz w:val="24"/>
          <w:szCs w:val="24"/>
          <w:u w:val="single"/>
        </w:rPr>
        <w:t xml:space="preserve">   （项目名称）    （招标编号）</w:t>
      </w:r>
      <w:r>
        <w:rPr>
          <w:rFonts w:hint="eastAsia" w:ascii="宋体" w:hAnsi="宋体" w:eastAsia="宋体" w:cs="宋体"/>
          <w:color w:val="000000"/>
          <w:sz w:val="24"/>
          <w:szCs w:val="24"/>
        </w:rPr>
        <w:t>的招竞标活动，全权处理招竞标活动中的一切事宜。</w:t>
      </w:r>
    </w:p>
    <w:p w14:paraId="7997D684">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我公司对被授权委托人签署的所有文件负全部责任。在贵公司收到撤销授权的书面通知以前，本授权书一直有效，被授权人签署的所有文件（在授权书有效期内签署的）不因授权的撤销而失效。竞标有效期90天。</w:t>
      </w:r>
    </w:p>
    <w:p w14:paraId="04255CBC">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供应商：_____________________（盖单位章）</w:t>
      </w:r>
    </w:p>
    <w:p w14:paraId="54F2BE12">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法定代表人：________________________（签字）授权日期：</w:t>
      </w:r>
    </w:p>
    <w:p w14:paraId="1ACC4F16">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被授权人：_____________（签字）</w:t>
      </w:r>
    </w:p>
    <w:p w14:paraId="11923D59">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电话：        手机：    邮箱：</w:t>
      </w:r>
    </w:p>
    <w:p w14:paraId="0642C14E">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附身份证复印件</w:t>
      </w:r>
    </w:p>
    <w:tbl>
      <w:tblPr>
        <w:tblStyle w:val="1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77527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4466813F">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4330CA5E">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法人身份证国徽页</w:t>
            </w:r>
          </w:p>
        </w:tc>
      </w:tr>
      <w:tr w14:paraId="6FB4B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6D2F10A3">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024B4D10">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被授权人身份证国徽页</w:t>
            </w:r>
          </w:p>
        </w:tc>
      </w:tr>
    </w:tbl>
    <w:p w14:paraId="332368F4">
      <w:pPr>
        <w:spacing w:line="360" w:lineRule="auto"/>
        <w:rPr>
          <w:rFonts w:hint="eastAsia" w:ascii="宋体" w:hAnsi="宋体" w:eastAsia="宋体" w:cs="宋体"/>
          <w:color w:val="000000"/>
          <w:sz w:val="21"/>
          <w:szCs w:val="22"/>
        </w:rPr>
      </w:pPr>
    </w:p>
    <w:p w14:paraId="03C2BA86">
      <w:pPr>
        <w:spacing w:line="360" w:lineRule="auto"/>
        <w:jc w:val="center"/>
        <w:rPr>
          <w:rFonts w:hint="eastAsia" w:ascii="宋体" w:hAnsi="宋体" w:eastAsia="宋体" w:cs="宋体"/>
          <w:b/>
          <w:bCs/>
          <w:color w:val="000000"/>
          <w:kern w:val="0"/>
          <w:sz w:val="32"/>
          <w:szCs w:val="32"/>
        </w:rPr>
      </w:pPr>
      <w:r>
        <w:rPr>
          <w:rFonts w:hint="eastAsia" w:ascii="宋体" w:hAnsi="宋体" w:eastAsia="宋体" w:cs="宋体"/>
          <w:b/>
          <w:bCs/>
          <w:color w:val="000000"/>
          <w:kern w:val="0"/>
          <w:sz w:val="32"/>
          <w:szCs w:val="32"/>
        </w:rPr>
        <w:br w:type="page"/>
      </w:r>
      <w:r>
        <w:rPr>
          <w:rFonts w:hint="eastAsia" w:ascii="宋体" w:hAnsi="宋体" w:eastAsia="宋体" w:cs="宋体"/>
          <w:b/>
          <w:bCs/>
          <w:color w:val="000000"/>
          <w:kern w:val="0"/>
          <w:sz w:val="32"/>
          <w:szCs w:val="32"/>
        </w:rPr>
        <w:t>法定代表人身份证明</w:t>
      </w:r>
    </w:p>
    <w:p w14:paraId="05D763D9">
      <w:pPr>
        <w:autoSpaceDE w:val="0"/>
        <w:autoSpaceDN w:val="0"/>
        <w:adjustRightInd w:val="0"/>
        <w:spacing w:line="360" w:lineRule="auto"/>
        <w:jc w:val="left"/>
        <w:rPr>
          <w:rFonts w:hint="eastAsia" w:ascii="宋体" w:hAnsi="宋体" w:eastAsia="宋体" w:cs="宋体"/>
          <w:color w:val="000000"/>
          <w:kern w:val="0"/>
          <w:sz w:val="24"/>
          <w:szCs w:val="24"/>
        </w:rPr>
      </w:pPr>
    </w:p>
    <w:p w14:paraId="7D25F33A">
      <w:pPr>
        <w:spacing w:line="360" w:lineRule="auto"/>
        <w:rPr>
          <w:rFonts w:hint="eastAsia" w:ascii="宋体" w:hAnsi="宋体" w:eastAsia="宋体" w:cs="宋体"/>
          <w:color w:val="000000"/>
          <w:sz w:val="21"/>
          <w:szCs w:val="22"/>
        </w:rPr>
      </w:pPr>
      <w:r>
        <w:rPr>
          <w:rFonts w:hint="eastAsia" w:ascii="宋体" w:hAnsi="宋体" w:eastAsia="宋体" w:cs="宋体"/>
          <w:color w:val="000000"/>
          <w:sz w:val="21"/>
          <w:szCs w:val="22"/>
        </w:rPr>
        <w:t>供应商名称：</w:t>
      </w:r>
    </w:p>
    <w:p w14:paraId="7C285673">
      <w:pPr>
        <w:spacing w:line="360" w:lineRule="auto"/>
        <w:rPr>
          <w:rFonts w:hint="eastAsia" w:ascii="宋体" w:hAnsi="宋体" w:eastAsia="宋体" w:cs="宋体"/>
          <w:b/>
          <w:color w:val="000000"/>
          <w:sz w:val="28"/>
          <w:szCs w:val="28"/>
        </w:rPr>
      </w:pPr>
      <w:r>
        <w:rPr>
          <w:rFonts w:hint="eastAsia" w:ascii="宋体" w:hAnsi="宋体" w:eastAsia="宋体" w:cs="宋体"/>
          <w:color w:val="000000"/>
          <w:sz w:val="21"/>
          <w:szCs w:val="22"/>
        </w:rPr>
        <w:t>单位性质：</w:t>
      </w:r>
    </w:p>
    <w:p w14:paraId="70CE00D4">
      <w:pPr>
        <w:spacing w:line="360" w:lineRule="auto"/>
        <w:rPr>
          <w:rFonts w:hint="eastAsia" w:ascii="宋体" w:hAnsi="宋体" w:eastAsia="宋体" w:cs="宋体"/>
          <w:color w:val="000000"/>
          <w:sz w:val="21"/>
          <w:szCs w:val="21"/>
        </w:rPr>
      </w:pPr>
      <w:r>
        <w:rPr>
          <w:rFonts w:hint="eastAsia" w:ascii="宋体" w:hAnsi="宋体" w:eastAsia="宋体" w:cs="宋体"/>
          <w:color w:val="000000"/>
          <w:sz w:val="21"/>
          <w:szCs w:val="22"/>
        </w:rPr>
        <w:t>地址：</w:t>
      </w:r>
    </w:p>
    <w:p w14:paraId="70DD46D4">
      <w:pPr>
        <w:spacing w:line="360" w:lineRule="auto"/>
        <w:rPr>
          <w:rFonts w:hint="eastAsia" w:ascii="宋体" w:hAnsi="宋体" w:eastAsia="宋体" w:cs="宋体"/>
          <w:color w:val="000000"/>
          <w:sz w:val="21"/>
          <w:szCs w:val="22"/>
        </w:rPr>
      </w:pPr>
      <w:r>
        <w:rPr>
          <w:rFonts w:hint="eastAsia" w:ascii="宋体" w:hAnsi="宋体" w:eastAsia="宋体" w:cs="宋体"/>
          <w:color w:val="000000"/>
          <w:sz w:val="21"/>
          <w:szCs w:val="22"/>
        </w:rPr>
        <w:t>成立时间：年月日</w:t>
      </w:r>
    </w:p>
    <w:p w14:paraId="11384917">
      <w:pPr>
        <w:spacing w:line="360" w:lineRule="auto"/>
        <w:rPr>
          <w:rFonts w:hint="eastAsia" w:ascii="宋体" w:hAnsi="宋体" w:eastAsia="宋体" w:cs="宋体"/>
          <w:color w:val="000000"/>
          <w:sz w:val="21"/>
          <w:szCs w:val="22"/>
          <w:u w:val="single"/>
        </w:rPr>
      </w:pPr>
      <w:r>
        <w:rPr>
          <w:rFonts w:hint="eastAsia" w:ascii="宋体" w:hAnsi="宋体" w:eastAsia="宋体" w:cs="宋体"/>
          <w:color w:val="000000"/>
          <w:sz w:val="21"/>
          <w:szCs w:val="22"/>
        </w:rPr>
        <w:t>经营期限：</w:t>
      </w:r>
    </w:p>
    <w:p w14:paraId="6229C8EA">
      <w:pPr>
        <w:spacing w:line="360" w:lineRule="auto"/>
        <w:rPr>
          <w:rFonts w:hint="eastAsia" w:ascii="宋体" w:hAnsi="宋体" w:eastAsia="宋体" w:cs="宋体"/>
          <w:color w:val="000000"/>
          <w:sz w:val="21"/>
          <w:szCs w:val="22"/>
          <w:u w:val="single"/>
        </w:rPr>
      </w:pPr>
      <w:r>
        <w:rPr>
          <w:rFonts w:hint="eastAsia" w:ascii="宋体" w:hAnsi="宋体" w:eastAsia="宋体" w:cs="宋体"/>
          <w:color w:val="000000"/>
          <w:sz w:val="21"/>
          <w:szCs w:val="22"/>
        </w:rPr>
        <w:t>姓名：性别：年龄：职务：</w:t>
      </w:r>
    </w:p>
    <w:p w14:paraId="6F6499D4">
      <w:pPr>
        <w:spacing w:before="37" w:line="360" w:lineRule="auto"/>
        <w:rPr>
          <w:rFonts w:hint="eastAsia" w:ascii="宋体" w:hAnsi="宋体" w:eastAsia="宋体" w:cs="宋体"/>
          <w:color w:val="000000"/>
          <w:sz w:val="24"/>
          <w:szCs w:val="24"/>
        </w:rPr>
      </w:pPr>
      <w:r>
        <w:rPr>
          <w:rFonts w:hint="eastAsia" w:ascii="宋体" w:hAnsi="宋体" w:eastAsia="宋体" w:cs="宋体"/>
          <w:color w:val="000000"/>
          <w:sz w:val="21"/>
          <w:szCs w:val="22"/>
        </w:rPr>
        <w:t>系（供应商名称）的法定代表人。</w:t>
      </w:r>
    </w:p>
    <w:p w14:paraId="3985F15F">
      <w:pPr>
        <w:spacing w:line="360" w:lineRule="auto"/>
        <w:rPr>
          <w:rFonts w:hint="eastAsia" w:ascii="宋体" w:hAnsi="宋体" w:eastAsia="宋体" w:cs="宋体"/>
          <w:color w:val="000000"/>
          <w:sz w:val="24"/>
          <w:szCs w:val="24"/>
        </w:rPr>
      </w:pPr>
    </w:p>
    <w:p w14:paraId="64433A34">
      <w:pPr>
        <w:spacing w:before="4" w:line="360" w:lineRule="auto"/>
        <w:rPr>
          <w:rFonts w:hint="eastAsia" w:ascii="宋体" w:hAnsi="宋体" w:eastAsia="宋体" w:cs="宋体"/>
          <w:color w:val="000000"/>
          <w:sz w:val="24"/>
          <w:szCs w:val="24"/>
        </w:rPr>
      </w:pPr>
    </w:p>
    <w:p w14:paraId="171756E4">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附：法定代表人身份证复印件。</w:t>
      </w:r>
    </w:p>
    <w:p w14:paraId="3E501740">
      <w:pPr>
        <w:spacing w:line="360" w:lineRule="auto"/>
        <w:rPr>
          <w:rFonts w:hint="eastAsia" w:ascii="宋体" w:hAnsi="宋体" w:eastAsia="宋体" w:cs="宋体"/>
          <w:color w:val="000000"/>
          <w:sz w:val="24"/>
          <w:szCs w:val="24"/>
        </w:rPr>
      </w:pPr>
    </w:p>
    <w:p w14:paraId="3BB12622">
      <w:pPr>
        <w:spacing w:before="1" w:line="360" w:lineRule="auto"/>
        <w:rPr>
          <w:rFonts w:hint="eastAsia" w:ascii="宋体" w:hAnsi="宋体" w:eastAsia="宋体" w:cs="宋体"/>
          <w:color w:val="000000"/>
          <w:sz w:val="24"/>
          <w:szCs w:val="24"/>
        </w:rPr>
      </w:pPr>
    </w:p>
    <w:p w14:paraId="6E3C5E05">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注：本身份证明需由</w:t>
      </w:r>
      <w:r>
        <w:rPr>
          <w:rFonts w:hint="eastAsia" w:ascii="宋体" w:hAnsi="宋体" w:eastAsia="宋体" w:cs="宋体"/>
          <w:color w:val="000000"/>
          <w:kern w:val="0"/>
          <w:sz w:val="24"/>
          <w:szCs w:val="24"/>
        </w:rPr>
        <w:t>供应商</w:t>
      </w:r>
      <w:r>
        <w:rPr>
          <w:rFonts w:hint="eastAsia" w:ascii="宋体" w:hAnsi="宋体" w:eastAsia="宋体" w:cs="宋体"/>
          <w:color w:val="000000"/>
          <w:sz w:val="24"/>
          <w:szCs w:val="24"/>
        </w:rPr>
        <w:t>加盖单位公章。</w:t>
      </w:r>
    </w:p>
    <w:p w14:paraId="343D7608">
      <w:pPr>
        <w:spacing w:line="360" w:lineRule="auto"/>
        <w:rPr>
          <w:rFonts w:hint="eastAsia" w:ascii="宋体" w:hAnsi="宋体" w:eastAsia="宋体" w:cs="宋体"/>
          <w:color w:val="000000"/>
          <w:sz w:val="24"/>
          <w:szCs w:val="24"/>
        </w:rPr>
      </w:pPr>
    </w:p>
    <w:p w14:paraId="756B2ADF">
      <w:pPr>
        <w:spacing w:before="11" w:line="360" w:lineRule="auto"/>
        <w:rPr>
          <w:rFonts w:hint="eastAsia" w:ascii="宋体" w:hAnsi="宋体" w:eastAsia="宋体" w:cs="宋体"/>
          <w:color w:val="000000"/>
          <w:sz w:val="24"/>
          <w:szCs w:val="24"/>
        </w:rPr>
      </w:pPr>
    </w:p>
    <w:p w14:paraId="2C5EED57">
      <w:pPr>
        <w:spacing w:line="360" w:lineRule="auto"/>
        <w:jc w:val="righ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供应商：（盖单位章）</w:t>
      </w:r>
    </w:p>
    <w:p w14:paraId="18F8451E">
      <w:pPr>
        <w:spacing w:line="360" w:lineRule="auto"/>
        <w:jc w:val="right"/>
        <w:rPr>
          <w:rFonts w:hint="eastAsia" w:ascii="宋体" w:hAnsi="宋体" w:eastAsia="宋体" w:cs="宋体"/>
          <w:sz w:val="24"/>
          <w:szCs w:val="24"/>
        </w:rPr>
      </w:pPr>
      <w:r>
        <w:rPr>
          <w:rFonts w:hint="eastAsia" w:ascii="宋体" w:hAnsi="宋体" w:eastAsia="宋体" w:cs="宋体"/>
          <w:color w:val="000000"/>
          <w:kern w:val="0"/>
          <w:sz w:val="24"/>
          <w:szCs w:val="24"/>
        </w:rPr>
        <w:t>______年_____月______日</w:t>
      </w:r>
    </w:p>
    <w:p w14:paraId="210D87CF">
      <w:pPr>
        <w:spacing w:line="360" w:lineRule="auto"/>
        <w:rPr>
          <w:rFonts w:hint="eastAsia" w:ascii="宋体" w:hAnsi="宋体" w:eastAsia="宋体" w:cs="宋体"/>
          <w:sz w:val="24"/>
          <w:szCs w:val="24"/>
        </w:rPr>
      </w:pPr>
    </w:p>
    <w:p w14:paraId="78A2F001">
      <w:pPr>
        <w:spacing w:line="360" w:lineRule="auto"/>
        <w:rPr>
          <w:rFonts w:hint="eastAsia" w:ascii="宋体" w:hAnsi="宋体" w:eastAsia="宋体" w:cs="宋体"/>
          <w:sz w:val="24"/>
          <w:szCs w:val="24"/>
        </w:rPr>
      </w:pPr>
      <w:r>
        <w:rPr>
          <w:rFonts w:hint="eastAsia" w:ascii="宋体" w:hAnsi="宋体" w:eastAsia="宋体" w:cs="宋体"/>
          <w:sz w:val="24"/>
          <w:szCs w:val="24"/>
        </w:rPr>
        <w:t>注：如由法定代表人参加竞标，只需提供法定代表人身份证明。</w:t>
      </w:r>
    </w:p>
    <w:p w14:paraId="2B22133A">
      <w:pPr>
        <w:spacing w:line="360" w:lineRule="auto"/>
        <w:rPr>
          <w:rFonts w:hint="eastAsia" w:ascii="宋体" w:hAnsi="宋体" w:eastAsia="宋体" w:cs="宋体"/>
          <w:sz w:val="24"/>
          <w:szCs w:val="24"/>
        </w:rPr>
      </w:pPr>
    </w:p>
    <w:p w14:paraId="0409DDFE">
      <w:pPr>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br w:type="page"/>
      </w:r>
      <w:r>
        <w:rPr>
          <w:rFonts w:hint="eastAsia" w:ascii="宋体" w:hAnsi="宋体" w:eastAsia="宋体" w:cs="宋体"/>
          <w:b/>
          <w:sz w:val="24"/>
          <w:szCs w:val="28"/>
        </w:rPr>
        <w:t>附件三：</w:t>
      </w:r>
    </w:p>
    <w:p w14:paraId="5ABF79B3">
      <w:pPr>
        <w:spacing w:line="360" w:lineRule="auto"/>
        <w:jc w:val="center"/>
        <w:rPr>
          <w:rFonts w:hint="eastAsia" w:ascii="宋体" w:hAnsi="宋体" w:eastAsia="宋体" w:cs="宋体"/>
          <w:b/>
          <w:bCs/>
          <w:sz w:val="28"/>
          <w:szCs w:val="28"/>
        </w:rPr>
      </w:pPr>
      <w:r>
        <w:rPr>
          <w:rFonts w:hint="eastAsia" w:ascii="宋体" w:hAnsi="宋体" w:eastAsia="宋体" w:cs="宋体"/>
          <w:b/>
          <w:bCs/>
          <w:color w:val="000000"/>
          <w:kern w:val="0"/>
          <w:sz w:val="32"/>
          <w:szCs w:val="32"/>
        </w:rPr>
        <w:t>竞标真实性承诺书</w:t>
      </w:r>
    </w:p>
    <w:p w14:paraId="68440E18">
      <w:pPr>
        <w:spacing w:line="360" w:lineRule="auto"/>
        <w:rPr>
          <w:rFonts w:hint="eastAsia" w:ascii="宋体" w:hAnsi="宋体" w:eastAsia="宋体" w:cs="宋体"/>
          <w:sz w:val="24"/>
          <w:szCs w:val="24"/>
        </w:rPr>
      </w:pPr>
    </w:p>
    <w:p w14:paraId="40395A6F">
      <w:pPr>
        <w:spacing w:line="360" w:lineRule="auto"/>
        <w:rPr>
          <w:rFonts w:hint="eastAsia" w:ascii="宋体" w:hAnsi="宋体" w:eastAsia="宋体" w:cs="宋体"/>
          <w:sz w:val="24"/>
          <w:szCs w:val="24"/>
        </w:rPr>
      </w:pPr>
      <w:r>
        <w:rPr>
          <w:rFonts w:hint="eastAsia" w:ascii="宋体" w:hAnsi="宋体" w:eastAsia="宋体" w:cs="宋体"/>
          <w:sz w:val="24"/>
          <w:szCs w:val="24"/>
        </w:rPr>
        <w:t>致：（采购人）</w:t>
      </w:r>
    </w:p>
    <w:p w14:paraId="04363580">
      <w:pPr>
        <w:spacing w:line="360" w:lineRule="auto"/>
        <w:ind w:firstLine="3570"/>
        <w:rPr>
          <w:rFonts w:hint="eastAsia" w:ascii="宋体" w:hAnsi="宋体" w:eastAsia="宋体" w:cs="宋体"/>
          <w:sz w:val="24"/>
          <w:szCs w:val="24"/>
        </w:rPr>
      </w:pPr>
    </w:p>
    <w:p w14:paraId="63E2FFB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我公司郑重承诺提交的报名审查资料及响应文件中提供所有资料等内容均真实有效，并对其所提交的所有资料内容的真实性负责，如有不实，我公司自愿承担由此引发的所有责任及接受相应的处罚。</w:t>
      </w:r>
    </w:p>
    <w:p w14:paraId="0C813925">
      <w:pPr>
        <w:spacing w:line="360" w:lineRule="auto"/>
        <w:ind w:firstLine="3570"/>
        <w:rPr>
          <w:rFonts w:hint="eastAsia" w:ascii="宋体" w:hAnsi="宋体" w:eastAsia="宋体" w:cs="宋体"/>
          <w:sz w:val="24"/>
          <w:szCs w:val="24"/>
        </w:rPr>
      </w:pPr>
    </w:p>
    <w:p w14:paraId="11D34DFD">
      <w:pPr>
        <w:spacing w:line="360" w:lineRule="auto"/>
        <w:ind w:firstLine="3570"/>
        <w:rPr>
          <w:rFonts w:hint="eastAsia" w:ascii="宋体" w:hAnsi="宋体" w:eastAsia="宋体" w:cs="宋体"/>
          <w:sz w:val="24"/>
          <w:szCs w:val="24"/>
        </w:rPr>
      </w:pPr>
    </w:p>
    <w:p w14:paraId="39F57CE4">
      <w:pPr>
        <w:spacing w:line="360" w:lineRule="auto"/>
        <w:ind w:firstLine="3570"/>
        <w:rPr>
          <w:rFonts w:hint="eastAsia" w:ascii="宋体" w:hAnsi="宋体" w:eastAsia="宋体" w:cs="宋体"/>
          <w:sz w:val="24"/>
          <w:szCs w:val="24"/>
        </w:rPr>
      </w:pPr>
    </w:p>
    <w:p w14:paraId="67E3387E">
      <w:pPr>
        <w:spacing w:line="360" w:lineRule="auto"/>
        <w:ind w:firstLine="3570"/>
        <w:rPr>
          <w:rFonts w:hint="eastAsia" w:ascii="宋体" w:hAnsi="宋体" w:eastAsia="宋体" w:cs="宋体"/>
          <w:sz w:val="24"/>
          <w:szCs w:val="24"/>
        </w:rPr>
      </w:pPr>
    </w:p>
    <w:p w14:paraId="3D72EA95">
      <w:pPr>
        <w:spacing w:line="360" w:lineRule="auto"/>
        <w:ind w:firstLine="3570"/>
        <w:rPr>
          <w:rFonts w:hint="eastAsia" w:ascii="宋体" w:hAnsi="宋体" w:eastAsia="宋体" w:cs="宋体"/>
          <w:sz w:val="24"/>
          <w:szCs w:val="24"/>
        </w:rPr>
      </w:pPr>
    </w:p>
    <w:p w14:paraId="2199472F">
      <w:pPr>
        <w:spacing w:line="360" w:lineRule="auto"/>
        <w:ind w:firstLine="3570"/>
        <w:rPr>
          <w:rFonts w:hint="eastAsia" w:ascii="宋体" w:hAnsi="宋体" w:eastAsia="宋体" w:cs="宋体"/>
          <w:sz w:val="24"/>
          <w:szCs w:val="24"/>
        </w:rPr>
      </w:pPr>
    </w:p>
    <w:p w14:paraId="1FA430D5">
      <w:pPr>
        <w:spacing w:line="360" w:lineRule="auto"/>
        <w:ind w:firstLine="3570"/>
        <w:rPr>
          <w:rFonts w:hint="eastAsia" w:ascii="宋体" w:hAnsi="宋体" w:eastAsia="宋体" w:cs="宋体"/>
          <w:sz w:val="24"/>
          <w:szCs w:val="24"/>
        </w:rPr>
      </w:pPr>
    </w:p>
    <w:p w14:paraId="4123F7C9">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供应商：（盖单位章）</w:t>
      </w:r>
    </w:p>
    <w:p w14:paraId="247AC989">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______年_____月______日</w:t>
      </w:r>
    </w:p>
    <w:p w14:paraId="0CCB0150">
      <w:pPr>
        <w:jc w:val="left"/>
        <w:rPr>
          <w:rFonts w:hint="eastAsia" w:ascii="宋体" w:hAnsi="宋体" w:eastAsia="宋体" w:cs="宋体"/>
          <w:b/>
          <w:kern w:val="0"/>
          <w:sz w:val="24"/>
          <w:szCs w:val="24"/>
        </w:rPr>
      </w:pPr>
      <w:r>
        <w:rPr>
          <w:rFonts w:hint="eastAsia" w:ascii="宋体" w:hAnsi="宋体" w:eastAsia="宋体" w:cs="宋体"/>
          <w:sz w:val="24"/>
          <w:szCs w:val="24"/>
        </w:rPr>
        <w:br w:type="page"/>
      </w:r>
      <w:r>
        <w:rPr>
          <w:rFonts w:hint="eastAsia" w:ascii="宋体" w:hAnsi="宋体" w:eastAsia="宋体" w:cs="宋体"/>
          <w:b/>
          <w:sz w:val="24"/>
          <w:szCs w:val="28"/>
        </w:rPr>
        <w:t>附件</w:t>
      </w:r>
      <w:r>
        <w:rPr>
          <w:rFonts w:hint="eastAsia" w:ascii="宋体" w:hAnsi="宋体" w:eastAsia="宋体" w:cs="宋体"/>
          <w:b/>
          <w:sz w:val="24"/>
          <w:szCs w:val="28"/>
          <w:lang w:val="en-US" w:eastAsia="zh-CN"/>
        </w:rPr>
        <w:t>四</w:t>
      </w:r>
      <w:r>
        <w:rPr>
          <w:rFonts w:hint="eastAsia" w:ascii="宋体" w:hAnsi="宋体" w:eastAsia="宋体" w:cs="宋体"/>
          <w:b/>
          <w:sz w:val="24"/>
          <w:szCs w:val="28"/>
        </w:rPr>
        <w:t>：</w:t>
      </w:r>
      <w:bookmarkStart w:id="27" w:name="_Toc12789"/>
      <w:r>
        <w:rPr>
          <w:rFonts w:hint="eastAsia" w:ascii="宋体" w:hAnsi="宋体" w:eastAsia="宋体" w:cs="宋体"/>
          <w:b/>
          <w:kern w:val="0"/>
          <w:sz w:val="24"/>
          <w:szCs w:val="24"/>
        </w:rPr>
        <w:t>信用中国查询方式</w:t>
      </w:r>
    </w:p>
    <w:p w14:paraId="6B5BBA18">
      <w:pPr>
        <w:spacing w:line="240" w:lineRule="auto"/>
        <w:jc w:val="left"/>
        <w:rPr>
          <w:rFonts w:hint="eastAsia" w:ascii="宋体" w:hAnsi="宋体" w:eastAsia="宋体" w:cs="宋体"/>
          <w:kern w:val="0"/>
          <w:sz w:val="24"/>
          <w:szCs w:val="24"/>
        </w:rPr>
      </w:pPr>
      <w:r>
        <w:rPr>
          <w:rFonts w:hint="eastAsia" w:ascii="宋体" w:hAnsi="宋体" w:eastAsia="宋体" w:cs="宋体"/>
          <w:kern w:val="0"/>
          <w:sz w:val="24"/>
          <w:szCs w:val="24"/>
        </w:rPr>
        <w:t>1、国家信息中心主办“信用中国”网站地址：http://www.creditchina.gov.cn打开网页后，点击“信息公示”。</w:t>
      </w:r>
      <w:r>
        <w:rPr>
          <w:rFonts w:hint="eastAsia" w:ascii="宋体" w:hAnsi="宋体" w:eastAsia="宋体" w:cs="宋体"/>
          <w:sz w:val="34"/>
          <w:szCs w:val="24"/>
        </w:rPr>
        <w:drawing>
          <wp:inline distT="0" distB="0" distL="114300" distR="114300">
            <wp:extent cx="5757545" cy="3508375"/>
            <wp:effectExtent l="0" t="0" r="14605" b="158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757545" cy="3508375"/>
                    </a:xfrm>
                    <a:prstGeom prst="rect">
                      <a:avLst/>
                    </a:prstGeom>
                    <a:noFill/>
                    <a:ln>
                      <a:noFill/>
                    </a:ln>
                  </pic:spPr>
                </pic:pic>
              </a:graphicData>
            </a:graphic>
          </wp:inline>
        </w:drawing>
      </w:r>
    </w:p>
    <w:p w14:paraId="785FCE3A">
      <w:pPr>
        <w:spacing w:line="240" w:lineRule="auto"/>
        <w:jc w:val="both"/>
        <w:rPr>
          <w:rFonts w:hint="eastAsia" w:ascii="宋体" w:hAnsi="宋体" w:eastAsia="宋体" w:cs="宋体"/>
          <w:sz w:val="34"/>
          <w:szCs w:val="22"/>
        </w:rPr>
      </w:pPr>
    </w:p>
    <w:p w14:paraId="0412BBAB">
      <w:pPr>
        <w:spacing w:line="240" w:lineRule="auto"/>
        <w:jc w:val="both"/>
        <w:rPr>
          <w:rFonts w:hint="eastAsia" w:ascii="宋体" w:hAnsi="宋体" w:eastAsia="宋体" w:cs="宋体"/>
          <w:kern w:val="0"/>
          <w:sz w:val="24"/>
          <w:szCs w:val="24"/>
        </w:rPr>
      </w:pPr>
      <w:r>
        <w:rPr>
          <w:rFonts w:hint="eastAsia" w:ascii="宋体" w:hAnsi="宋体" w:eastAsia="宋体" w:cs="宋体"/>
          <w:sz w:val="24"/>
          <w:szCs w:val="24"/>
        </w:rPr>
        <w:t>2、</w:t>
      </w:r>
      <w:r>
        <w:rPr>
          <w:rFonts w:hint="eastAsia" w:ascii="宋体" w:hAnsi="宋体" w:eastAsia="宋体" w:cs="宋体"/>
          <w:kern w:val="0"/>
          <w:sz w:val="24"/>
          <w:szCs w:val="24"/>
        </w:rPr>
        <w:t>在以下页面中点击“失信被执行人”查询</w:t>
      </w:r>
    </w:p>
    <w:p w14:paraId="2AF69DF8">
      <w:pPr>
        <w:spacing w:line="240" w:lineRule="auto"/>
        <w:ind w:firstLine="482"/>
        <w:jc w:val="both"/>
        <w:rPr>
          <w:rFonts w:hint="eastAsia" w:ascii="宋体" w:hAnsi="宋体" w:eastAsia="宋体" w:cs="宋体"/>
          <w:sz w:val="34"/>
          <w:szCs w:val="22"/>
        </w:rPr>
      </w:pPr>
      <w:r>
        <w:rPr>
          <w:rFonts w:hint="eastAsia" w:ascii="宋体" w:hAnsi="宋体" w:eastAsia="宋体" w:cs="宋体"/>
          <w:sz w:val="34"/>
          <w:szCs w:val="24"/>
        </w:rPr>
        <w:drawing>
          <wp:inline distT="0" distB="0" distL="114300" distR="114300">
            <wp:extent cx="5316855" cy="3237865"/>
            <wp:effectExtent l="0" t="0" r="17145"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316855" cy="3237865"/>
                    </a:xfrm>
                    <a:prstGeom prst="rect">
                      <a:avLst/>
                    </a:prstGeom>
                    <a:noFill/>
                    <a:ln>
                      <a:noFill/>
                    </a:ln>
                  </pic:spPr>
                </pic:pic>
              </a:graphicData>
            </a:graphic>
          </wp:inline>
        </w:drawing>
      </w:r>
    </w:p>
    <w:p w14:paraId="0977C5D4">
      <w:pPr>
        <w:autoSpaceDE w:val="0"/>
        <w:autoSpaceDN w:val="0"/>
        <w:snapToGrid w:val="0"/>
        <w:spacing w:line="360" w:lineRule="auto"/>
        <w:jc w:val="both"/>
        <w:rPr>
          <w:rFonts w:hint="eastAsia" w:ascii="宋体" w:hAnsi="宋体" w:eastAsia="宋体" w:cs="宋体"/>
          <w:kern w:val="0"/>
          <w:sz w:val="34"/>
          <w:szCs w:val="21"/>
        </w:rPr>
        <w:sectPr>
          <w:pgSz w:w="11905" w:h="16838"/>
          <w:pgMar w:top="1417" w:right="1417" w:bottom="1417" w:left="1417" w:header="850" w:footer="992" w:gutter="0"/>
          <w:lnNumType w:countBy="0" w:distance="360"/>
          <w:pgNumType w:fmt="decimal"/>
          <w:cols w:space="720" w:num="1"/>
          <w:docGrid w:type="lines" w:linePitch="389" w:charSpace="0"/>
        </w:sectPr>
      </w:pPr>
    </w:p>
    <w:p w14:paraId="12A3FFD5">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3、在弹出窗口进入链接网站，在查询窗口输入查询企业名称，将查询结果截图。</w:t>
      </w:r>
    </w:p>
    <w:p w14:paraId="0F229507">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sz w:val="34"/>
          <w:szCs w:val="24"/>
        </w:rPr>
        <w:drawing>
          <wp:inline distT="0" distB="0" distL="114300" distR="114300">
            <wp:extent cx="5728970" cy="2955925"/>
            <wp:effectExtent l="0" t="0" r="5080" b="158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6"/>
                    <a:stretch>
                      <a:fillRect/>
                    </a:stretch>
                  </pic:blipFill>
                  <pic:spPr>
                    <a:xfrm>
                      <a:off x="0" y="0"/>
                      <a:ext cx="5728970" cy="2955925"/>
                    </a:xfrm>
                    <a:prstGeom prst="rect">
                      <a:avLst/>
                    </a:prstGeom>
                    <a:noFill/>
                    <a:ln>
                      <a:noFill/>
                    </a:ln>
                  </pic:spPr>
                </pic:pic>
              </a:graphicData>
            </a:graphic>
          </wp:inline>
        </w:drawing>
      </w:r>
    </w:p>
    <w:p w14:paraId="6F7ED3D4">
      <w:pPr>
        <w:spacing w:line="240" w:lineRule="auto"/>
        <w:jc w:val="left"/>
        <w:rPr>
          <w:rFonts w:hint="eastAsia" w:ascii="宋体" w:hAnsi="宋体" w:eastAsia="宋体" w:cs="宋体"/>
          <w:b/>
          <w:kern w:val="0"/>
          <w:sz w:val="24"/>
          <w:szCs w:val="24"/>
        </w:rPr>
      </w:pPr>
      <w:r>
        <w:rPr>
          <w:rFonts w:hint="eastAsia" w:ascii="宋体" w:hAnsi="宋体" w:eastAsia="宋体" w:cs="宋体"/>
          <w:sz w:val="34"/>
          <w:szCs w:val="24"/>
        </w:rPr>
        <w:drawing>
          <wp:inline distT="0" distB="0" distL="114300" distR="114300">
            <wp:extent cx="5680710" cy="4304665"/>
            <wp:effectExtent l="0" t="0" r="1524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680710" cy="4304665"/>
                    </a:xfrm>
                    <a:prstGeom prst="rect">
                      <a:avLst/>
                    </a:prstGeom>
                    <a:noFill/>
                    <a:ln>
                      <a:noFill/>
                    </a:ln>
                  </pic:spPr>
                </pic:pic>
              </a:graphicData>
            </a:graphic>
          </wp:inline>
        </w:drawing>
      </w:r>
      <w:r>
        <w:rPr>
          <w:rFonts w:hint="eastAsia" w:ascii="宋体" w:hAnsi="宋体" w:eastAsia="宋体" w:cs="宋体"/>
          <w:b/>
          <w:kern w:val="0"/>
          <w:sz w:val="28"/>
          <w:szCs w:val="18"/>
        </w:rPr>
        <w:br w:type="page"/>
      </w:r>
      <w:r>
        <w:rPr>
          <w:rFonts w:hint="eastAsia" w:ascii="宋体" w:hAnsi="宋体" w:eastAsia="宋体" w:cs="宋体"/>
          <w:b/>
          <w:sz w:val="24"/>
          <w:szCs w:val="24"/>
        </w:rPr>
        <w:t>“中国裁判文书网”（wenshu.court.gov.cn）站查询截图；</w:t>
      </w:r>
    </w:p>
    <w:p w14:paraId="6C907094">
      <w:pPr>
        <w:pStyle w:val="4"/>
        <w:ind w:firstLine="0"/>
        <w:jc w:val="left"/>
        <w:rPr>
          <w:rFonts w:hint="eastAsia" w:ascii="宋体" w:hAnsi="宋体" w:eastAsia="宋体" w:cs="宋体"/>
          <w:sz w:val="24"/>
          <w:szCs w:val="24"/>
        </w:rPr>
      </w:pPr>
      <w:r>
        <w:rPr>
          <w:rFonts w:hint="eastAsia" w:ascii="宋体" w:hAnsi="宋体" w:eastAsia="宋体" w:cs="宋体"/>
          <w:sz w:val="24"/>
          <w:szCs w:val="24"/>
        </w:rPr>
        <w:t>第1步：打开系统首页。</w:t>
      </w:r>
    </w:p>
    <w:p w14:paraId="1E1F08B5">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7845" cy="3811270"/>
            <wp:effectExtent l="0" t="0" r="1905" b="177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
                    <a:stretch>
                      <a:fillRect/>
                    </a:stretch>
                  </pic:blipFill>
                  <pic:spPr>
                    <a:xfrm>
                      <a:off x="0" y="0"/>
                      <a:ext cx="5617845" cy="3811270"/>
                    </a:xfrm>
                    <a:prstGeom prst="rect">
                      <a:avLst/>
                    </a:prstGeom>
                    <a:noFill/>
                    <a:ln>
                      <a:noFill/>
                    </a:ln>
                  </pic:spPr>
                </pic:pic>
              </a:graphicData>
            </a:graphic>
          </wp:inline>
        </w:drawing>
      </w:r>
    </w:p>
    <w:p w14:paraId="5C0FA522">
      <w:pPr>
        <w:spacing w:line="240" w:lineRule="auto"/>
        <w:jc w:val="both"/>
        <w:rPr>
          <w:rFonts w:hint="eastAsia" w:ascii="宋体" w:hAnsi="宋体" w:eastAsia="宋体" w:cs="宋体"/>
          <w:sz w:val="24"/>
          <w:szCs w:val="24"/>
        </w:rPr>
      </w:pPr>
      <w:r>
        <w:rPr>
          <w:rFonts w:hint="eastAsia" w:ascii="宋体" w:hAnsi="宋体" w:eastAsia="宋体" w:cs="宋体"/>
          <w:sz w:val="24"/>
          <w:szCs w:val="24"/>
        </w:rPr>
        <w:br w:type="page"/>
      </w:r>
    </w:p>
    <w:p w14:paraId="3B46D842">
      <w:pPr>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第2步：点击“高级检索”，“</w:t>
      </w:r>
      <w:r>
        <w:rPr>
          <w:rFonts w:hint="eastAsia" w:ascii="宋体" w:hAnsi="宋体" w:eastAsia="宋体" w:cs="宋体"/>
          <w:b/>
          <w:sz w:val="24"/>
          <w:szCs w:val="24"/>
        </w:rPr>
        <w:t>当事人”为投标人名称或投标人法定代表人</w:t>
      </w:r>
      <w:r>
        <w:rPr>
          <w:rFonts w:hint="eastAsia" w:ascii="宋体" w:hAnsi="宋体" w:eastAsia="宋体" w:cs="宋体"/>
          <w:sz w:val="24"/>
          <w:szCs w:val="24"/>
        </w:rPr>
        <w:t>，“全文”为“</w:t>
      </w:r>
      <w:r>
        <w:rPr>
          <w:rFonts w:hint="eastAsia" w:ascii="宋体" w:hAnsi="宋体" w:eastAsia="宋体" w:cs="宋体"/>
          <w:b/>
          <w:sz w:val="24"/>
          <w:szCs w:val="24"/>
        </w:rPr>
        <w:t>行贿罪</w:t>
      </w:r>
      <w:r>
        <w:rPr>
          <w:rFonts w:hint="eastAsia" w:ascii="宋体" w:hAnsi="宋体" w:eastAsia="宋体" w:cs="宋体"/>
          <w:sz w:val="24"/>
          <w:szCs w:val="24"/>
        </w:rPr>
        <w:t>”，“裁判日期”不得少于近三年（自询比采购文件发售之日起前三年，多于三年或不选裁判日期均可）。（截取两张：投标人名称（一张）和投标人法定代表人（一张））</w:t>
      </w:r>
    </w:p>
    <w:p w14:paraId="60FE152C">
      <w:pPr>
        <w:spacing w:line="240" w:lineRule="auto"/>
        <w:jc w:val="both"/>
        <w:rPr>
          <w:rFonts w:hint="eastAsia" w:ascii="宋体" w:hAnsi="宋体" w:eastAsia="宋体" w:cs="宋体"/>
          <w:b/>
          <w:sz w:val="34"/>
          <w:szCs w:val="24"/>
        </w:rPr>
      </w:pPr>
      <w:r>
        <w:rPr>
          <w:rFonts w:hint="eastAsia" w:ascii="宋体" w:hAnsi="宋体" w:eastAsia="宋体" w:cs="宋体"/>
          <w:sz w:val="34"/>
          <w:szCs w:val="24"/>
        </w:rPr>
        <w:drawing>
          <wp:inline distT="0" distB="0" distL="114300" distR="114300">
            <wp:extent cx="5608955" cy="4841240"/>
            <wp:effectExtent l="0" t="0" r="10795" b="1651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9"/>
                    <a:stretch>
                      <a:fillRect/>
                    </a:stretch>
                  </pic:blipFill>
                  <pic:spPr>
                    <a:xfrm>
                      <a:off x="0" y="0"/>
                      <a:ext cx="5608955" cy="4841240"/>
                    </a:xfrm>
                    <a:prstGeom prst="rect">
                      <a:avLst/>
                    </a:prstGeom>
                    <a:noFill/>
                    <a:ln>
                      <a:noFill/>
                    </a:ln>
                  </pic:spPr>
                </pic:pic>
              </a:graphicData>
            </a:graphic>
          </wp:inline>
        </w:drawing>
      </w:r>
    </w:p>
    <w:p w14:paraId="62FC3232">
      <w:pPr>
        <w:spacing w:line="360" w:lineRule="auto"/>
        <w:jc w:val="both"/>
        <w:rPr>
          <w:rFonts w:hint="eastAsia" w:ascii="宋体" w:hAnsi="宋体" w:eastAsia="宋体" w:cs="宋体"/>
          <w:b/>
          <w:sz w:val="24"/>
          <w:szCs w:val="24"/>
        </w:rPr>
      </w:pPr>
    </w:p>
    <w:p w14:paraId="3211B4F7">
      <w:pPr>
        <w:spacing w:after="120" w:line="240" w:lineRule="auto"/>
        <w:jc w:val="left"/>
        <w:rPr>
          <w:rFonts w:hint="eastAsia" w:ascii="宋体" w:hAnsi="宋体" w:eastAsia="宋体" w:cs="宋体"/>
          <w:kern w:val="0"/>
          <w:sz w:val="20"/>
          <w:szCs w:val="24"/>
        </w:rPr>
      </w:pPr>
    </w:p>
    <w:p w14:paraId="0042C1F5">
      <w:pPr>
        <w:spacing w:line="240" w:lineRule="auto"/>
        <w:ind w:right="-1666" w:rightChars="-490"/>
        <w:jc w:val="left"/>
        <w:rPr>
          <w:rFonts w:hint="eastAsia" w:ascii="宋体" w:hAnsi="宋体" w:eastAsia="宋体" w:cs="宋体"/>
          <w:b/>
          <w:kern w:val="0"/>
          <w:sz w:val="32"/>
          <w:szCs w:val="22"/>
        </w:rPr>
      </w:pPr>
    </w:p>
    <w:p w14:paraId="66B26DBC">
      <w:pPr>
        <w:spacing w:line="36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0860" cy="2696845"/>
            <wp:effectExtent l="0" t="0" r="8890" b="825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0"/>
                    <a:stretch>
                      <a:fillRect/>
                    </a:stretch>
                  </pic:blipFill>
                  <pic:spPr>
                    <a:xfrm>
                      <a:off x="0" y="0"/>
                      <a:ext cx="5610860" cy="2696845"/>
                    </a:xfrm>
                    <a:prstGeom prst="rect">
                      <a:avLst/>
                    </a:prstGeom>
                    <a:noFill/>
                    <a:ln>
                      <a:noFill/>
                    </a:ln>
                  </pic:spPr>
                </pic:pic>
              </a:graphicData>
            </a:graphic>
          </wp:inline>
        </w:drawing>
      </w:r>
    </w:p>
    <w:p w14:paraId="2185A5F2">
      <w:pPr>
        <w:spacing w:line="360" w:lineRule="auto"/>
        <w:jc w:val="both"/>
        <w:rPr>
          <w:rFonts w:hint="eastAsia" w:ascii="宋体" w:hAnsi="宋体" w:eastAsia="宋体" w:cs="宋体"/>
          <w:sz w:val="34"/>
          <w:szCs w:val="24"/>
        </w:rPr>
      </w:pPr>
    </w:p>
    <w:p w14:paraId="60F58740">
      <w:pPr>
        <w:spacing w:line="360" w:lineRule="auto"/>
        <w:jc w:val="both"/>
        <w:rPr>
          <w:rFonts w:hint="eastAsia" w:ascii="宋体" w:hAnsi="宋体" w:eastAsia="宋体" w:cs="宋体"/>
          <w:b/>
          <w:sz w:val="24"/>
          <w:szCs w:val="24"/>
        </w:rPr>
      </w:pPr>
      <w:r>
        <w:rPr>
          <w:rFonts w:hint="eastAsia" w:ascii="宋体" w:hAnsi="宋体" w:eastAsia="宋体" w:cs="宋体"/>
          <w:sz w:val="34"/>
          <w:szCs w:val="24"/>
        </w:rPr>
        <w:drawing>
          <wp:inline distT="0" distB="0" distL="114300" distR="114300">
            <wp:extent cx="5670550" cy="2461260"/>
            <wp:effectExtent l="0" t="0" r="6350" b="15240"/>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11"/>
                    <a:stretch>
                      <a:fillRect/>
                    </a:stretch>
                  </pic:blipFill>
                  <pic:spPr>
                    <a:xfrm>
                      <a:off x="0" y="0"/>
                      <a:ext cx="5670550" cy="2461260"/>
                    </a:xfrm>
                    <a:prstGeom prst="rect">
                      <a:avLst/>
                    </a:prstGeom>
                    <a:noFill/>
                    <a:ln>
                      <a:noFill/>
                    </a:ln>
                  </pic:spPr>
                </pic:pic>
              </a:graphicData>
            </a:graphic>
          </wp:inline>
        </w:drawing>
      </w:r>
      <w:r>
        <w:rPr>
          <w:rFonts w:hint="eastAsia" w:ascii="宋体" w:hAnsi="宋体" w:eastAsia="宋体" w:cs="宋体"/>
          <w:b/>
          <w:kern w:val="0"/>
          <w:sz w:val="32"/>
          <w:szCs w:val="22"/>
        </w:rPr>
        <w:br w:type="page"/>
      </w:r>
      <w:r>
        <w:rPr>
          <w:rFonts w:hint="eastAsia" w:ascii="宋体" w:hAnsi="宋体" w:eastAsia="宋体" w:cs="宋体"/>
          <w:b/>
          <w:sz w:val="24"/>
          <w:szCs w:val="24"/>
        </w:rPr>
        <w:t>国家企业信用信息公示系统网站截图</w:t>
      </w:r>
    </w:p>
    <w:p w14:paraId="44863A42">
      <w:pPr>
        <w:pStyle w:val="4"/>
        <w:adjustRightInd w:val="0"/>
        <w:snapToGrid w:val="0"/>
        <w:spacing w:line="360" w:lineRule="auto"/>
        <w:ind w:firstLine="560"/>
        <w:rPr>
          <w:rFonts w:hint="eastAsia" w:ascii="宋体" w:hAnsi="宋体" w:eastAsia="宋体" w:cs="宋体"/>
          <w:kern w:val="0"/>
          <w:sz w:val="24"/>
          <w:szCs w:val="24"/>
        </w:rPr>
      </w:pPr>
      <w:r>
        <w:rPr>
          <w:rFonts w:hint="eastAsia" w:ascii="宋体" w:hAnsi="宋体" w:eastAsia="宋体" w:cs="宋体"/>
          <w:kern w:val="0"/>
          <w:sz w:val="24"/>
          <w:szCs w:val="24"/>
        </w:rPr>
        <w:t>第1步：打开系统首页。</w:t>
      </w:r>
    </w:p>
    <w:p w14:paraId="5127AC18">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第2步：空白处输入投标人名称并点击“查询”。</w:t>
      </w:r>
    </w:p>
    <w:p w14:paraId="633D3B5C">
      <w:pPr>
        <w:spacing w:line="240" w:lineRule="auto"/>
        <w:ind w:firstLine="680" w:firstLineChars="200"/>
        <w:rPr>
          <w:rFonts w:hint="eastAsia" w:ascii="宋体" w:hAnsi="宋体" w:eastAsia="宋体" w:cs="宋体"/>
          <w:kern w:val="0"/>
          <w:sz w:val="34"/>
          <w:szCs w:val="24"/>
        </w:rPr>
      </w:pPr>
      <w:r>
        <w:rPr>
          <w:rFonts w:hint="eastAsia" w:ascii="宋体" w:hAnsi="宋体" w:eastAsia="宋体" w:cs="宋体"/>
          <w:sz w:val="34"/>
          <w:szCs w:val="24"/>
        </w:rPr>
        <w:drawing>
          <wp:inline distT="0" distB="0" distL="114300" distR="114300">
            <wp:extent cx="5013960" cy="2014855"/>
            <wp:effectExtent l="0" t="0" r="15240" b="444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2"/>
                    <a:stretch>
                      <a:fillRect/>
                    </a:stretch>
                  </pic:blipFill>
                  <pic:spPr>
                    <a:xfrm>
                      <a:off x="0" y="0"/>
                      <a:ext cx="5013960" cy="2014855"/>
                    </a:xfrm>
                    <a:prstGeom prst="rect">
                      <a:avLst/>
                    </a:prstGeom>
                    <a:noFill/>
                    <a:ln>
                      <a:noFill/>
                    </a:ln>
                  </pic:spPr>
                </pic:pic>
              </a:graphicData>
            </a:graphic>
          </wp:inline>
        </w:drawing>
      </w:r>
    </w:p>
    <w:p w14:paraId="5852B5D9">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第3步：点击选择投标人名称。</w:t>
      </w:r>
    </w:p>
    <w:p w14:paraId="4FC99E5D">
      <w:pPr>
        <w:spacing w:line="240" w:lineRule="auto"/>
        <w:ind w:firstLine="680" w:firstLineChars="200"/>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156835" cy="2159000"/>
            <wp:effectExtent l="0" t="0" r="5715" b="1270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13"/>
                    <a:stretch>
                      <a:fillRect/>
                    </a:stretch>
                  </pic:blipFill>
                  <pic:spPr>
                    <a:xfrm>
                      <a:off x="0" y="0"/>
                      <a:ext cx="5156835" cy="2159000"/>
                    </a:xfrm>
                    <a:prstGeom prst="rect">
                      <a:avLst/>
                    </a:prstGeom>
                    <a:noFill/>
                    <a:ln>
                      <a:noFill/>
                    </a:ln>
                  </pic:spPr>
                </pic:pic>
              </a:graphicData>
            </a:graphic>
          </wp:inline>
        </w:drawing>
      </w:r>
    </w:p>
    <w:p w14:paraId="0EC61CB7">
      <w:pPr>
        <w:spacing w:line="240" w:lineRule="auto"/>
        <w:jc w:val="both"/>
        <w:rPr>
          <w:rFonts w:hint="eastAsia" w:ascii="宋体" w:hAnsi="宋体" w:eastAsia="宋体" w:cs="宋体"/>
          <w:kern w:val="0"/>
          <w:sz w:val="24"/>
          <w:szCs w:val="24"/>
        </w:rPr>
      </w:pPr>
      <w:r>
        <w:rPr>
          <w:rFonts w:hint="eastAsia" w:ascii="宋体" w:hAnsi="宋体" w:eastAsia="宋体" w:cs="宋体"/>
          <w:kern w:val="0"/>
          <w:sz w:val="24"/>
          <w:szCs w:val="24"/>
        </w:rPr>
        <w:br w:type="page"/>
      </w:r>
    </w:p>
    <w:p w14:paraId="69F3DB96">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第4步：选择“列入经营异常名录信息”，截取当前页面，显示“暂无列入经营异常名录信息”，即可报名。</w:t>
      </w:r>
    </w:p>
    <w:p w14:paraId="48B4757C">
      <w:pPr>
        <w:pStyle w:val="4"/>
        <w:ind w:firstLine="0"/>
        <w:jc w:val="center"/>
        <w:rPr>
          <w:rFonts w:hint="eastAsia" w:ascii="宋体" w:hAnsi="宋体" w:eastAsia="宋体" w:cs="宋体"/>
          <w:sz w:val="34"/>
          <w:szCs w:val="24"/>
        </w:rPr>
      </w:pPr>
    </w:p>
    <w:p w14:paraId="5C996852">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第5步：选择“列入严重违法失信企业名单（黑名单）信息”，截取当前页面，显示“暂无列入严重违法失信企业名单（黑名单）信息”即可报名。</w:t>
      </w:r>
    </w:p>
    <w:p w14:paraId="74C9E104">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222875" cy="2451735"/>
            <wp:effectExtent l="0" t="0" r="15875" b="571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4"/>
                    <a:stretch>
                      <a:fillRect/>
                    </a:stretch>
                  </pic:blipFill>
                  <pic:spPr>
                    <a:xfrm>
                      <a:off x="0" y="0"/>
                      <a:ext cx="5222875" cy="2451735"/>
                    </a:xfrm>
                    <a:prstGeom prst="rect">
                      <a:avLst/>
                    </a:prstGeom>
                    <a:noFill/>
                    <a:ln>
                      <a:noFill/>
                    </a:ln>
                  </pic:spPr>
                </pic:pic>
              </a:graphicData>
            </a:graphic>
          </wp:inline>
        </w:drawing>
      </w:r>
    </w:p>
    <w:p w14:paraId="7E564370">
      <w:pPr>
        <w:spacing w:line="240" w:lineRule="auto"/>
        <w:jc w:val="both"/>
        <w:rPr>
          <w:rFonts w:hint="eastAsia" w:ascii="宋体" w:hAnsi="宋体" w:eastAsia="宋体" w:cs="宋体"/>
          <w:sz w:val="34"/>
          <w:szCs w:val="24"/>
        </w:rPr>
      </w:pPr>
    </w:p>
    <w:p w14:paraId="4D9D9A27">
      <w:pPr>
        <w:rPr>
          <w:rFonts w:hint="eastAsia" w:ascii="宋体" w:hAnsi="宋体" w:eastAsia="宋体" w:cs="宋体"/>
          <w:color w:val="FF0000"/>
          <w:sz w:val="24"/>
          <w:szCs w:val="24"/>
        </w:rPr>
      </w:pPr>
      <w:r>
        <w:rPr>
          <w:rFonts w:hint="eastAsia" w:ascii="宋体" w:hAnsi="宋体" w:eastAsia="宋体" w:cs="宋体"/>
          <w:b/>
          <w:kern w:val="0"/>
          <w:sz w:val="34"/>
          <w:szCs w:val="24"/>
        </w:rPr>
        <w:drawing>
          <wp:anchor distT="0" distB="0" distL="114300" distR="114300" simplePos="0" relativeHeight="251659264" behindDoc="0" locked="0" layoutInCell="1" allowOverlap="1">
            <wp:simplePos x="0" y="0"/>
            <wp:positionH relativeFrom="column">
              <wp:posOffset>46355</wp:posOffset>
            </wp:positionH>
            <wp:positionV relativeFrom="paragraph">
              <wp:posOffset>368300</wp:posOffset>
            </wp:positionV>
            <wp:extent cx="4960620" cy="2542540"/>
            <wp:effectExtent l="0" t="0" r="1143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4960620" cy="2542540"/>
                    </a:xfrm>
                    <a:prstGeom prst="rect">
                      <a:avLst/>
                    </a:prstGeom>
                    <a:noFill/>
                    <a:ln>
                      <a:noFill/>
                    </a:ln>
                  </pic:spPr>
                </pic:pic>
              </a:graphicData>
            </a:graphic>
          </wp:anchor>
        </w:drawing>
      </w:r>
      <w:bookmarkEnd w:id="27"/>
      <w:bookmarkStart w:id="28" w:name="_GoBack"/>
      <w:bookmarkEnd w:id="28"/>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方正小标宋简体">
    <w:altName w:val="黑体"/>
    <w:panose1 w:val="02010601030101010101"/>
    <w:charset w:val="86"/>
    <w:family w:val="script"/>
    <w:pitch w:val="default"/>
    <w:sig w:usb0="00000000" w:usb1="00000000" w:usb2="00000000" w:usb3="00000000" w:csb0="00040000" w:csb1="00000000"/>
  </w:font>
  <w:font w:name="华文新魏">
    <w:altName w:val="宋体"/>
    <w:panose1 w:val="02010800040101010101"/>
    <w:charset w:val="86"/>
    <w:family w:val="auto"/>
    <w:pitch w:val="default"/>
    <w:sig w:usb0="00000000" w:usb1="0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D"/>
    <w:multiLevelType w:val="singleLevel"/>
    <w:tmpl w:val="0000001D"/>
    <w:lvl w:ilvl="0" w:tentative="0">
      <w:start w:val="2"/>
      <w:numFmt w:val="upperLetter"/>
      <w:suff w:val="nothing"/>
      <w:lvlText w:val="%1、"/>
      <w:lvlJc w:val="left"/>
    </w:lvl>
  </w:abstractNum>
  <w:num w:numId="1">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005672"/>
    <w:rsid w:val="12A56B55"/>
    <w:rsid w:val="5BCC41F1"/>
    <w:rsid w:val="7CB134BC"/>
    <w:rsid w:val="7D140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kern w:val="2"/>
      <w:sz w:val="34"/>
      <w:lang w:val="en-US" w:eastAsia="zh-CN" w:bidi="ar-SA"/>
    </w:rPr>
  </w:style>
  <w:style w:type="paragraph" w:styleId="3">
    <w:name w:val="heading 1"/>
    <w:basedOn w:val="1"/>
    <w:next w:val="1"/>
    <w:qFormat/>
    <w:uiPriority w:val="0"/>
    <w:pPr>
      <w:keepNext/>
      <w:keepLines/>
      <w:spacing w:before="340" w:after="330" w:line="578" w:lineRule="auto"/>
      <w:outlineLvl w:val="0"/>
    </w:pPr>
    <w:rPr>
      <w:rFonts w:ascii="Times New Roman" w:eastAsia="宋体"/>
      <w:b/>
      <w:bCs/>
      <w:kern w:val="44"/>
      <w:sz w:val="44"/>
      <w:szCs w:val="44"/>
    </w:rPr>
  </w:style>
  <w:style w:type="character" w:default="1" w:styleId="13">
    <w:name w:val="Default Paragraph Font"/>
    <w:semiHidden/>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0正文"/>
    <w:basedOn w:val="1"/>
    <w:qFormat/>
    <w:uiPriority w:val="0"/>
    <w:rPr>
      <w:rFonts w:cs="宋体"/>
      <w:sz w:val="28"/>
      <w:szCs w:val="20"/>
    </w:rPr>
  </w:style>
  <w:style w:type="paragraph" w:styleId="4">
    <w:name w:val="Normal Indent"/>
    <w:basedOn w:val="1"/>
    <w:next w:val="1"/>
    <w:qFormat/>
    <w:uiPriority w:val="0"/>
    <w:pPr>
      <w:ind w:firstLine="420"/>
    </w:pPr>
  </w:style>
  <w:style w:type="paragraph" w:styleId="5">
    <w:name w:val="Body Text"/>
    <w:basedOn w:val="1"/>
    <w:qFormat/>
    <w:uiPriority w:val="0"/>
    <w:pPr>
      <w:spacing w:after="120"/>
    </w:pPr>
    <w:rPr>
      <w:rFonts w:ascii="Times New Roman" w:eastAsia="宋体"/>
      <w:kern w:val="0"/>
      <w:sz w:val="21"/>
      <w:szCs w:val="24"/>
    </w:rPr>
  </w:style>
  <w:style w:type="paragraph" w:styleId="6">
    <w:name w:val="Body Text Indent"/>
    <w:basedOn w:val="1"/>
    <w:qFormat/>
    <w:uiPriority w:val="0"/>
    <w:pPr>
      <w:ind w:firstLine="830" w:firstLineChars="352"/>
    </w:pPr>
    <w:rPr>
      <w:kern w:val="0"/>
      <w:sz w:val="32"/>
    </w:rPr>
  </w:style>
  <w:style w:type="paragraph" w:styleId="7">
    <w:name w:val="footer"/>
    <w:basedOn w:val="1"/>
    <w:qFormat/>
    <w:uiPriority w:val="99"/>
    <w:pPr>
      <w:tabs>
        <w:tab w:val="center" w:pos="4153"/>
        <w:tab w:val="right" w:pos="8306"/>
      </w:tabs>
      <w:snapToGrid w:val="0"/>
      <w:jc w:val="left"/>
    </w:pPr>
    <w:rPr>
      <w:rFonts w:ascii="Times New Roman" w:eastAsia="宋体"/>
      <w:kern w:val="0"/>
      <w:sz w:val="18"/>
      <w:szCs w:val="18"/>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paragraph" w:styleId="9">
    <w:name w:val="Title"/>
    <w:basedOn w:val="3"/>
    <w:next w:val="1"/>
    <w:qFormat/>
    <w:uiPriority w:val="0"/>
    <w:pPr>
      <w:spacing w:before="240" w:after="60"/>
      <w:ind w:firstLine="0" w:firstLineChars="0"/>
      <w:jc w:val="center"/>
      <w:outlineLvl w:val="0"/>
    </w:pPr>
    <w:rPr>
      <w:rFonts w:ascii="Cambria" w:hAnsi="Cambria" w:eastAsia="方正小标宋简体"/>
      <w:kern w:val="2"/>
      <w:szCs w:val="32"/>
    </w:rPr>
  </w:style>
  <w:style w:type="paragraph" w:styleId="10">
    <w:name w:val="Body Text First Indent"/>
    <w:basedOn w:val="5"/>
    <w:next w:val="1"/>
    <w:semiHidden/>
    <w:qFormat/>
    <w:uiPriority w:val="0"/>
    <w:pPr>
      <w:ind w:firstLine="420"/>
    </w:pPr>
    <w:rPr>
      <w:kern w:val="2"/>
      <w:sz w:val="28"/>
    </w:rPr>
  </w:style>
  <w:style w:type="paragraph" w:styleId="11">
    <w:name w:val="Body Text First Indent 2"/>
    <w:basedOn w:val="6"/>
    <w:next w:val="10"/>
    <w:qFormat/>
    <w:uiPriority w:val="99"/>
    <w:pPr>
      <w:spacing w:after="120"/>
      <w:ind w:left="420" w:firstLine="420" w:firstLineChars="0"/>
    </w:pPr>
    <w:rPr>
      <w:rFonts w:ascii="Times New Roman" w:eastAsia="宋体"/>
      <w:b/>
      <w:bCs/>
      <w:kern w:val="44"/>
      <w:sz w:val="44"/>
      <w:szCs w:val="44"/>
    </w:rPr>
  </w:style>
  <w:style w:type="character" w:styleId="14">
    <w:name w:val="Hyperlink"/>
    <w:basedOn w:val="13"/>
    <w:qFormat/>
    <w:uiPriority w:val="0"/>
    <w:rPr>
      <w:color w:val="0000FF"/>
      <w:u w:val="single"/>
    </w:rPr>
  </w:style>
  <w:style w:type="paragraph" w:customStyle="1" w:styleId="15">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
    <w:name w:val="列出段落11"/>
    <w:basedOn w:val="1"/>
    <w:qFormat/>
    <w:uiPriority w:val="34"/>
    <w:pPr>
      <w:ind w:firstLine="420" w:firstLineChars="200"/>
    </w:pPr>
    <w:rPr>
      <w:rFonts w:ascii="Calibri" w:hAnsi="Calibri" w:cs="黑体"/>
      <w:szCs w:val="22"/>
    </w:rPr>
  </w:style>
  <w:style w:type="paragraph" w:customStyle="1" w:styleId="17">
    <w:name w:val="Default"/>
    <w:qFormat/>
    <w:uiPriority w:val="0"/>
    <w:pPr>
      <w:widowControl w:val="0"/>
      <w:autoSpaceDE w:val="0"/>
      <w:autoSpaceDN w:val="0"/>
      <w:adjustRightInd w:val="0"/>
    </w:pPr>
    <w:rPr>
      <w:rFonts w:ascii="华文新魏" w:hAnsi="Calibri" w:eastAsia="华文新魏" w:cs="华文新魏"/>
      <w:color w:val="000000"/>
      <w:sz w:val="24"/>
      <w:szCs w:val="24"/>
      <w:lang w:val="en-US" w:eastAsia="zh-CN" w:bidi="ar-SA"/>
    </w:rPr>
  </w:style>
  <w:style w:type="paragraph" w:customStyle="1" w:styleId="18">
    <w:name w:val="p0"/>
    <w:basedOn w:val="1"/>
    <w:qFormat/>
    <w:uiPriority w:val="0"/>
    <w:pPr>
      <w:widowControl/>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4899</Words>
  <Characters>5777</Characters>
  <Lines>0</Lines>
  <Paragraphs>0</Paragraphs>
  <TotalTime>0</TotalTime>
  <ScaleCrop>false</ScaleCrop>
  <LinksUpToDate>false</LinksUpToDate>
  <CharactersWithSpaces>6211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pcc</dc:creator>
  <cp:lastModifiedBy>法正项目管理集团有限公司</cp:lastModifiedBy>
  <dcterms:modified xsi:type="dcterms:W3CDTF">2025-12-09T07:03:28Z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eyJoZGlkIjoiNjZjNmQzMTYyZGUxZWNjZmJiZWFmM2Q0YzkyYTk3ZDYiLCJ1c2VySWQiOiIxMTIxMzkwNzE3In0=</vt:lpwstr>
  </property>
  <property fmtid="{D5CDD505-2E9C-101B-9397-08002B2CF9AE}" pid="4" name="ICV">
    <vt:lpwstr>6F8054869DFB465792273E7937D5AE19_12</vt:lpwstr>
  </property>
</Properties>
</file>