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B84AC">
      <w:pPr>
        <w:pageBreakBefore w:val="0"/>
        <w:kinsoku/>
        <w:wordWrap w:val="0"/>
        <w:overflowPunct/>
        <w:topLinePunct w:val="0"/>
        <w:bidi w:val="0"/>
        <w:snapToGrid/>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呼和浩特新城区护城河北街（北垣街-新华大街）10千伏及以下电力线路迁改入地工程</w:t>
      </w:r>
    </w:p>
    <w:p w14:paraId="05371484">
      <w:pPr>
        <w:pageBreakBefore w:val="0"/>
        <w:kinsoku/>
        <w:wordWrap w:val="0"/>
        <w:overflowPunct/>
        <w:topLinePunct w:val="0"/>
        <w:bidi w:val="0"/>
        <w:snapToGrid/>
        <w:jc w:val="center"/>
        <w:rPr>
          <w:rFonts w:hint="eastAsia" w:ascii="宋体" w:hAnsi="宋体" w:eastAsia="宋体" w:cs="宋体"/>
          <w:b/>
          <w:bCs/>
          <w:sz w:val="28"/>
          <w:szCs w:val="28"/>
        </w:rPr>
      </w:pPr>
      <w:r>
        <w:rPr>
          <w:rFonts w:hint="eastAsia" w:ascii="宋体" w:hAnsi="宋体" w:eastAsia="宋体" w:cs="宋体"/>
          <w:b/>
          <w:bCs/>
          <w:sz w:val="28"/>
          <w:szCs w:val="28"/>
        </w:rPr>
        <w:t>采购公告</w:t>
      </w:r>
    </w:p>
    <w:p w14:paraId="30C23426">
      <w:pPr>
        <w:pageBreakBefore w:val="0"/>
        <w:kinsoku/>
        <w:wordWrap w:val="0"/>
        <w:overflowPunct/>
        <w:topLinePunct w:val="0"/>
        <w:bidi w:val="0"/>
        <w:snapToGrid/>
        <w:spacing w:line="336" w:lineRule="auto"/>
        <w:ind w:firstLine="482" w:firstLineChars="200"/>
        <w:rPr>
          <w:rFonts w:hint="eastAsia" w:ascii="宋体" w:hAnsi="宋体" w:eastAsia="宋体" w:cs="宋体"/>
          <w:b/>
          <w:sz w:val="24"/>
          <w:szCs w:val="24"/>
        </w:rPr>
      </w:pPr>
      <w:bookmarkStart w:id="0" w:name="_Toc54632629"/>
      <w:bookmarkStart w:id="1" w:name="_Toc13556"/>
      <w:bookmarkStart w:id="2" w:name="_Toc495644242"/>
      <w:bookmarkStart w:id="3" w:name="_Toc58406238"/>
      <w:bookmarkStart w:id="4" w:name="_Toc1489"/>
      <w:bookmarkStart w:id="5" w:name="_Toc13888"/>
      <w:r>
        <w:rPr>
          <w:rFonts w:hint="eastAsia" w:ascii="宋体" w:hAnsi="宋体" w:eastAsia="宋体" w:cs="宋体"/>
          <w:b/>
          <w:sz w:val="24"/>
          <w:szCs w:val="24"/>
        </w:rPr>
        <w:t>1.</w:t>
      </w:r>
      <w:bookmarkEnd w:id="0"/>
      <w:bookmarkEnd w:id="1"/>
      <w:bookmarkEnd w:id="2"/>
      <w:bookmarkEnd w:id="3"/>
      <w:bookmarkEnd w:id="4"/>
      <w:bookmarkEnd w:id="5"/>
      <w:r>
        <w:rPr>
          <w:rFonts w:hint="eastAsia" w:ascii="宋体" w:hAnsi="宋体" w:eastAsia="宋体" w:cs="宋体"/>
          <w:b/>
          <w:sz w:val="24"/>
          <w:szCs w:val="24"/>
        </w:rPr>
        <w:t xml:space="preserve">采购条件 </w:t>
      </w:r>
    </w:p>
    <w:p w14:paraId="5B95C6CA">
      <w:pPr>
        <w:pageBreakBefore w:val="0"/>
        <w:kinsoku/>
        <w:wordWrap w:val="0"/>
        <w:overflowPunct/>
        <w:topLinePunct w:val="0"/>
        <w:bidi w:val="0"/>
        <w:snapToGrid/>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u w:val="single"/>
        </w:rPr>
        <w:t>内蒙古电力（集团）有限责任公司呼和浩特供电分公司</w:t>
      </w:r>
      <w:r>
        <w:rPr>
          <w:rFonts w:hint="eastAsia" w:ascii="宋体" w:hAnsi="宋体" w:eastAsia="宋体" w:cs="宋体"/>
          <w:sz w:val="24"/>
          <w:szCs w:val="24"/>
        </w:rPr>
        <w:t>委托</w:t>
      </w:r>
      <w:r>
        <w:rPr>
          <w:rFonts w:hint="eastAsia" w:ascii="宋体" w:hAnsi="宋体" w:eastAsia="宋体" w:cs="宋体"/>
          <w:b/>
          <w:bCs/>
          <w:sz w:val="24"/>
          <w:szCs w:val="24"/>
          <w:u w:val="single"/>
        </w:rPr>
        <w:t>并辉建设工程招标代理有限公司</w:t>
      </w:r>
      <w:r>
        <w:rPr>
          <w:rFonts w:hint="eastAsia" w:ascii="宋体" w:hAnsi="宋体" w:eastAsia="宋体" w:cs="宋体"/>
          <w:sz w:val="24"/>
          <w:szCs w:val="24"/>
        </w:rPr>
        <w:t>，就</w:t>
      </w:r>
      <w:r>
        <w:rPr>
          <w:rFonts w:hint="eastAsia" w:ascii="宋体" w:hAnsi="宋体" w:eastAsia="宋体" w:cs="宋体"/>
          <w:b/>
          <w:bCs/>
          <w:sz w:val="24"/>
          <w:szCs w:val="24"/>
          <w:u w:val="single"/>
          <w:lang w:eastAsia="zh-CN"/>
        </w:rPr>
        <w:t>呼和浩特新城区护城河北街（北垣街-新华大街）10千伏及以下电力线路迁改入地工程</w:t>
      </w:r>
      <w:r>
        <w:rPr>
          <w:rFonts w:hint="eastAsia" w:ascii="宋体" w:hAnsi="宋体" w:eastAsia="宋体" w:cs="宋体"/>
          <w:b/>
          <w:bCs/>
          <w:sz w:val="24"/>
          <w:szCs w:val="24"/>
          <w:u w:val="single"/>
        </w:rPr>
        <w:t>采购</w:t>
      </w:r>
      <w:r>
        <w:rPr>
          <w:rFonts w:hint="eastAsia" w:ascii="宋体" w:hAnsi="宋体" w:eastAsia="宋体" w:cs="宋体"/>
          <w:sz w:val="24"/>
          <w:szCs w:val="24"/>
        </w:rPr>
        <w:t>组织询比采购。现将有关事宜公告如下：</w:t>
      </w:r>
    </w:p>
    <w:p w14:paraId="55D328C3">
      <w:pPr>
        <w:pageBreakBefore w:val="0"/>
        <w:kinsoku/>
        <w:wordWrap w:val="0"/>
        <w:overflowPunct/>
        <w:topLinePunct w:val="0"/>
        <w:bidi w:val="0"/>
        <w:snapToGrid/>
        <w:spacing w:line="336" w:lineRule="auto"/>
        <w:ind w:firstLine="482" w:firstLineChars="200"/>
        <w:rPr>
          <w:rFonts w:hint="eastAsia" w:ascii="宋体" w:hAnsi="宋体" w:eastAsia="宋体" w:cs="宋体"/>
          <w:b/>
          <w:sz w:val="24"/>
          <w:szCs w:val="24"/>
        </w:rPr>
      </w:pPr>
      <w:bookmarkStart w:id="6" w:name="_Toc5564"/>
      <w:bookmarkStart w:id="7" w:name="_Toc54632630"/>
      <w:bookmarkStart w:id="8" w:name="_Toc22876"/>
      <w:bookmarkStart w:id="9" w:name="_Toc495644243"/>
      <w:bookmarkStart w:id="10" w:name="_Toc58406239"/>
      <w:bookmarkStart w:id="11" w:name="_Toc13446"/>
      <w:r>
        <w:rPr>
          <w:rFonts w:hint="eastAsia" w:ascii="宋体" w:hAnsi="宋体" w:eastAsia="宋体" w:cs="宋体"/>
          <w:b/>
          <w:sz w:val="24"/>
          <w:szCs w:val="24"/>
        </w:rPr>
        <w:t>2.项目概况与采购范围</w:t>
      </w:r>
      <w:bookmarkEnd w:id="6"/>
      <w:bookmarkEnd w:id="7"/>
      <w:bookmarkEnd w:id="8"/>
      <w:bookmarkEnd w:id="9"/>
      <w:bookmarkEnd w:id="10"/>
      <w:bookmarkEnd w:id="11"/>
    </w:p>
    <w:p w14:paraId="2971AB96">
      <w:pPr>
        <w:pageBreakBefore w:val="0"/>
        <w:kinsoku/>
        <w:wordWrap w:val="0"/>
        <w:overflowPunct/>
        <w:topLinePunct w:val="0"/>
        <w:bidi w:val="0"/>
        <w:snapToGrid/>
        <w:spacing w:line="336" w:lineRule="auto"/>
        <w:ind w:firstLine="480" w:firstLineChars="200"/>
        <w:rPr>
          <w:rFonts w:hint="eastAsia" w:ascii="宋体" w:hAnsi="宋体" w:eastAsia="仿宋_GB2312" w:cs="宋体"/>
          <w:sz w:val="24"/>
          <w:szCs w:val="24"/>
          <w:highlight w:val="yellow"/>
          <w:lang w:eastAsia="zh-CN"/>
        </w:rPr>
      </w:pPr>
      <w:r>
        <w:rPr>
          <w:rFonts w:hint="eastAsia" w:ascii="宋体" w:hAnsi="宋体" w:eastAsia="宋体" w:cs="宋体"/>
          <w:sz w:val="24"/>
          <w:szCs w:val="24"/>
        </w:rPr>
        <w:t>2.1采购项目编号:</w:t>
      </w:r>
      <w:r>
        <w:rPr>
          <w:rFonts w:hint="eastAsia"/>
        </w:rPr>
        <w:t xml:space="preserve"> </w:t>
      </w:r>
      <w:r>
        <w:rPr>
          <w:rFonts w:hint="eastAsia" w:ascii="仿宋" w:hAnsi="仿宋" w:cs="仿宋"/>
          <w:sz w:val="24"/>
          <w:szCs w:val="24"/>
          <w:lang w:eastAsia="zh-CN"/>
        </w:rPr>
        <w:t>HG20250104-319</w:t>
      </w:r>
    </w:p>
    <w:p w14:paraId="177EF1DD">
      <w:pPr>
        <w:pageBreakBefore w:val="0"/>
        <w:kinsoku/>
        <w:wordWrap w:val="0"/>
        <w:overflowPunct/>
        <w:topLinePunct w:val="0"/>
        <w:bidi w:val="0"/>
        <w:snapToGrid/>
        <w:spacing w:line="336"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rPr>
        <w:t>2.2采购项目名称：</w:t>
      </w:r>
      <w:r>
        <w:rPr>
          <w:rFonts w:hint="eastAsia" w:ascii="宋体" w:hAnsi="宋体" w:eastAsia="宋体" w:cs="宋体"/>
          <w:b/>
          <w:bCs/>
          <w:sz w:val="24"/>
          <w:szCs w:val="24"/>
          <w:lang w:eastAsia="zh-CN"/>
        </w:rPr>
        <w:t>呼和浩特新城区护城河北街（北垣街-新华大街）10千伏及以下电力线路迁改入地工程</w:t>
      </w:r>
    </w:p>
    <w:p w14:paraId="7B72A76E">
      <w:pPr>
        <w:pageBreakBefore w:val="0"/>
        <w:kinsoku/>
        <w:wordWrap w:val="0"/>
        <w:overflowPunct/>
        <w:topLinePunct w:val="0"/>
        <w:bidi w:val="0"/>
        <w:snapToGrid/>
        <w:spacing w:line="336" w:lineRule="auto"/>
        <w:ind w:firstLine="480" w:firstLineChars="200"/>
        <w:rPr>
          <w:rFonts w:ascii="宋体" w:hAnsi="宋体" w:eastAsia="宋体" w:cs="宋体"/>
          <w:b/>
          <w:bCs/>
          <w:sz w:val="24"/>
          <w:szCs w:val="24"/>
          <w:u w:val="single"/>
        </w:rPr>
      </w:pPr>
      <w:r>
        <w:rPr>
          <w:rFonts w:hint="eastAsia" w:ascii="宋体" w:hAnsi="宋体" w:eastAsia="宋体" w:cs="宋体"/>
          <w:sz w:val="24"/>
          <w:szCs w:val="24"/>
        </w:rPr>
        <w:t>2.3本项目共划分为1个标段：</w:t>
      </w:r>
    </w:p>
    <w:tbl>
      <w:tblPr>
        <w:tblStyle w:val="20"/>
        <w:tblW w:w="9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237"/>
        <w:gridCol w:w="1354"/>
        <w:gridCol w:w="1474"/>
        <w:gridCol w:w="1559"/>
        <w:gridCol w:w="1276"/>
        <w:gridCol w:w="1559"/>
        <w:gridCol w:w="613"/>
      </w:tblGrid>
      <w:tr w14:paraId="4369B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661" w:type="dxa"/>
            <w:vAlign w:val="center"/>
          </w:tcPr>
          <w:p w14:paraId="490FC5F4">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sz w:val="24"/>
                <w:szCs w:val="24"/>
              </w:rPr>
              <w:t>序号</w:t>
            </w:r>
          </w:p>
        </w:tc>
        <w:tc>
          <w:tcPr>
            <w:tcW w:w="1237" w:type="dxa"/>
            <w:vAlign w:val="center"/>
          </w:tcPr>
          <w:p w14:paraId="6BC131D3">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sz w:val="24"/>
                <w:szCs w:val="24"/>
              </w:rPr>
              <w:t>标段编号</w:t>
            </w:r>
          </w:p>
        </w:tc>
        <w:tc>
          <w:tcPr>
            <w:tcW w:w="1354" w:type="dxa"/>
            <w:vAlign w:val="center"/>
          </w:tcPr>
          <w:p w14:paraId="581D0476">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1474" w:type="dxa"/>
            <w:vAlign w:val="center"/>
          </w:tcPr>
          <w:p w14:paraId="5688B82F">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sz w:val="24"/>
                <w:szCs w:val="24"/>
              </w:rPr>
              <w:t>采购主要内容</w:t>
            </w:r>
          </w:p>
        </w:tc>
        <w:tc>
          <w:tcPr>
            <w:tcW w:w="1559" w:type="dxa"/>
            <w:vAlign w:val="center"/>
          </w:tcPr>
          <w:p w14:paraId="54758593">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sz w:val="24"/>
                <w:szCs w:val="24"/>
              </w:rPr>
              <w:t>不含中标服务费最高投标限价总价（元）</w:t>
            </w:r>
          </w:p>
        </w:tc>
        <w:tc>
          <w:tcPr>
            <w:tcW w:w="1276" w:type="dxa"/>
            <w:vAlign w:val="center"/>
          </w:tcPr>
          <w:p w14:paraId="6523D611">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sz w:val="24"/>
                <w:szCs w:val="24"/>
              </w:rPr>
              <w:t>中标服务费限价（元）</w:t>
            </w:r>
          </w:p>
        </w:tc>
        <w:tc>
          <w:tcPr>
            <w:tcW w:w="1559" w:type="dxa"/>
            <w:vAlign w:val="center"/>
          </w:tcPr>
          <w:p w14:paraId="179EA958">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sz w:val="24"/>
                <w:szCs w:val="24"/>
              </w:rPr>
              <w:t>含中标服务费最高投标限价总价（元）</w:t>
            </w:r>
          </w:p>
        </w:tc>
        <w:tc>
          <w:tcPr>
            <w:tcW w:w="613" w:type="dxa"/>
            <w:vAlign w:val="center"/>
          </w:tcPr>
          <w:p w14:paraId="6CECACF5">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sz w:val="24"/>
                <w:szCs w:val="24"/>
              </w:rPr>
              <w:t>备注</w:t>
            </w:r>
          </w:p>
        </w:tc>
      </w:tr>
      <w:tr w14:paraId="64918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661" w:type="dxa"/>
            <w:vAlign w:val="center"/>
          </w:tcPr>
          <w:p w14:paraId="048B7D3F">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sz w:val="24"/>
                <w:szCs w:val="24"/>
              </w:rPr>
              <w:t>1</w:t>
            </w:r>
          </w:p>
        </w:tc>
        <w:tc>
          <w:tcPr>
            <w:tcW w:w="1237" w:type="dxa"/>
            <w:vAlign w:val="center"/>
          </w:tcPr>
          <w:p w14:paraId="552679AE">
            <w:pPr>
              <w:pageBreakBefore w:val="0"/>
              <w:widowControl/>
              <w:kinsoku/>
              <w:wordWrap w:val="0"/>
              <w:overflowPunct/>
              <w:topLinePunct w:val="0"/>
              <w:bidi w:val="0"/>
              <w:snapToGrid/>
              <w:jc w:val="center"/>
              <w:textAlignment w:val="center"/>
              <w:rPr>
                <w:rFonts w:hint="eastAsia" w:ascii="宋体" w:hAnsi="宋体" w:eastAsia="宋体" w:cs="宋体"/>
                <w:sz w:val="24"/>
                <w:szCs w:val="24"/>
                <w:lang w:eastAsia="zh-CN"/>
              </w:rPr>
            </w:pPr>
            <w:r>
              <w:rPr>
                <w:rFonts w:hint="eastAsia" w:ascii="仿宋" w:hAnsi="仿宋" w:eastAsia="宋体" w:cs="仿宋"/>
                <w:sz w:val="24"/>
                <w:szCs w:val="24"/>
                <w:lang w:eastAsia="zh-CN"/>
              </w:rPr>
              <w:t>HG20250104-319</w:t>
            </w:r>
          </w:p>
        </w:tc>
        <w:tc>
          <w:tcPr>
            <w:tcW w:w="1354" w:type="dxa"/>
            <w:vAlign w:val="center"/>
          </w:tcPr>
          <w:p w14:paraId="17853EF9">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b/>
                <w:bCs/>
                <w:sz w:val="24"/>
                <w:szCs w:val="24"/>
                <w:lang w:eastAsia="zh-CN"/>
              </w:rPr>
              <w:t>呼和浩特新城区护城河北街（北垣街-新华大街）10千伏及以下电力线路迁改入地工程</w:t>
            </w:r>
            <w:r>
              <w:rPr>
                <w:rFonts w:hint="eastAsia" w:ascii="宋体" w:hAnsi="宋体" w:eastAsia="宋体" w:cs="宋体"/>
                <w:b/>
                <w:bCs/>
                <w:sz w:val="24"/>
                <w:szCs w:val="24"/>
              </w:rPr>
              <w:t>采购</w:t>
            </w:r>
          </w:p>
        </w:tc>
        <w:tc>
          <w:tcPr>
            <w:tcW w:w="1474" w:type="dxa"/>
            <w:vAlign w:val="center"/>
          </w:tcPr>
          <w:p w14:paraId="667E822E">
            <w:pPr>
              <w:pageBreakBefore w:val="0"/>
              <w:widowControl/>
              <w:kinsoku/>
              <w:wordWrap w:val="0"/>
              <w:overflowPunct/>
              <w:topLinePunct w:val="0"/>
              <w:bidi w:val="0"/>
              <w:snapToGrid/>
              <w:jc w:val="center"/>
              <w:rPr>
                <w:rFonts w:hint="eastAsia" w:ascii="宋体" w:hAnsi="宋体" w:eastAsia="宋体" w:cs="宋体"/>
                <w:sz w:val="24"/>
                <w:szCs w:val="24"/>
                <w:lang w:eastAsia="zh-CN"/>
              </w:rPr>
            </w:pPr>
            <w:r>
              <w:rPr>
                <w:rFonts w:hint="eastAsia" w:ascii="宋体" w:hAnsi="宋体" w:eastAsia="宋体" w:cs="宋体"/>
                <w:b/>
                <w:bCs/>
                <w:sz w:val="24"/>
                <w:szCs w:val="24"/>
                <w:lang w:eastAsia="zh-CN"/>
              </w:rPr>
              <w:t>呼和浩特新城区护城河北街（北垣街-新华大街）10千伏及以下电力线路迁改入地工程</w:t>
            </w:r>
          </w:p>
        </w:tc>
        <w:tc>
          <w:tcPr>
            <w:tcW w:w="1559" w:type="dxa"/>
            <w:vAlign w:val="center"/>
          </w:tcPr>
          <w:p w14:paraId="157FC6F4">
            <w:pPr>
              <w:pageBreakBefore w:val="0"/>
              <w:widowControl/>
              <w:kinsoku/>
              <w:wordWrap w:val="0"/>
              <w:overflowPunct/>
              <w:topLinePunct w:val="0"/>
              <w:bidi w:val="0"/>
              <w:snapToGrid/>
              <w:jc w:val="center"/>
              <w:textAlignment w:val="center"/>
              <w:rPr>
                <w:rFonts w:hint="eastAsia" w:ascii="宋体" w:hAnsi="宋体" w:eastAsia="宋体" w:cs="宋体"/>
                <w:sz w:val="24"/>
                <w:szCs w:val="24"/>
              </w:rPr>
            </w:pPr>
            <w:r>
              <w:rPr>
                <w:rFonts w:hint="eastAsia" w:ascii="宋体" w:hAnsi="宋体" w:eastAsia="宋体" w:cs="宋体"/>
                <w:sz w:val="24"/>
                <w:szCs w:val="24"/>
              </w:rPr>
              <w:t>294553</w:t>
            </w:r>
          </w:p>
        </w:tc>
        <w:tc>
          <w:tcPr>
            <w:tcW w:w="1276" w:type="dxa"/>
            <w:vAlign w:val="center"/>
          </w:tcPr>
          <w:p w14:paraId="19BCDB85">
            <w:pPr>
              <w:pageBreakBefore w:val="0"/>
              <w:widowControl/>
              <w:kinsoku/>
              <w:wordWrap w:val="0"/>
              <w:overflowPunct/>
              <w:topLinePunct w:val="0"/>
              <w:bidi w:val="0"/>
              <w:snapToGrid/>
              <w:jc w:val="center"/>
              <w:textAlignment w:val="center"/>
              <w:rPr>
                <w:rFonts w:hint="eastAsia" w:ascii="宋体" w:hAnsi="宋体" w:eastAsia="宋体" w:cs="宋体"/>
                <w:sz w:val="24"/>
                <w:szCs w:val="24"/>
                <w:lang w:eastAsia="zh-CN"/>
              </w:rPr>
            </w:pPr>
            <w:r>
              <w:rPr>
                <w:rFonts w:hint="eastAsia" w:ascii="宋体" w:hAnsi="宋体" w:eastAsia="宋体" w:cs="宋体"/>
                <w:sz w:val="24"/>
                <w:szCs w:val="24"/>
              </w:rPr>
              <w:t>353</w:t>
            </w:r>
            <w:r>
              <w:rPr>
                <w:rFonts w:hint="eastAsia" w:ascii="宋体" w:hAnsi="宋体" w:eastAsia="宋体" w:cs="宋体"/>
                <w:sz w:val="24"/>
                <w:szCs w:val="24"/>
                <w:lang w:val="en-US" w:eastAsia="zh-CN"/>
              </w:rPr>
              <w:t>5</w:t>
            </w:r>
            <w:bookmarkStart w:id="64" w:name="_GoBack"/>
            <w:bookmarkEnd w:id="64"/>
          </w:p>
        </w:tc>
        <w:tc>
          <w:tcPr>
            <w:tcW w:w="1559" w:type="dxa"/>
            <w:vAlign w:val="center"/>
          </w:tcPr>
          <w:p w14:paraId="6CE86CE6">
            <w:pPr>
              <w:pageBreakBefore w:val="0"/>
              <w:widowControl/>
              <w:kinsoku/>
              <w:wordWrap w:val="0"/>
              <w:overflowPunct/>
              <w:topLinePunct w:val="0"/>
              <w:bidi w:val="0"/>
              <w:snapToGrid/>
              <w:jc w:val="center"/>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298088</w:t>
            </w:r>
          </w:p>
        </w:tc>
        <w:tc>
          <w:tcPr>
            <w:tcW w:w="613" w:type="dxa"/>
            <w:vAlign w:val="center"/>
          </w:tcPr>
          <w:p w14:paraId="2A2F0A8C">
            <w:pPr>
              <w:pageBreakBefore w:val="0"/>
              <w:kinsoku/>
              <w:wordWrap w:val="0"/>
              <w:overflowPunct/>
              <w:topLinePunct w:val="0"/>
              <w:bidi w:val="0"/>
              <w:snapToGrid/>
              <w:jc w:val="center"/>
              <w:rPr>
                <w:rFonts w:hint="eastAsia" w:ascii="仿宋" w:hAnsi="仿宋" w:eastAsia="仿宋" w:cs="仿宋"/>
                <w:color w:val="000000"/>
                <w:szCs w:val="21"/>
              </w:rPr>
            </w:pPr>
          </w:p>
        </w:tc>
      </w:tr>
    </w:tbl>
    <w:p w14:paraId="27E0E02D">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2.4采购内容</w:t>
      </w:r>
      <w:bookmarkStart w:id="12" w:name="_Toc495644244"/>
      <w:bookmarkStart w:id="13" w:name="_Toc529"/>
      <w:r>
        <w:rPr>
          <w:rFonts w:hint="eastAsia" w:ascii="宋体" w:hAnsi="宋体" w:eastAsia="宋体" w:cs="宋体"/>
          <w:sz w:val="24"/>
          <w:szCs w:val="24"/>
        </w:rPr>
        <w:t>：详见公告附件</w:t>
      </w:r>
    </w:p>
    <w:p w14:paraId="5C52A5FF">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2.5施工期限：合同签订之日起至2025年12月31日</w:t>
      </w:r>
    </w:p>
    <w:p w14:paraId="0B6DB44C">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2.6施工地点：呼和浩特市</w:t>
      </w:r>
    </w:p>
    <w:p w14:paraId="04F735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2.7工程质量：</w:t>
      </w:r>
      <w:r>
        <w:rPr>
          <w:rFonts w:hint="eastAsia" w:ascii="宋体" w:hAnsi="宋体" w:eastAsia="宋体" w:cs="宋体"/>
          <w:bCs/>
          <w:sz w:val="24"/>
          <w:szCs w:val="24"/>
        </w:rPr>
        <w:t>达到国家及行业标准，满足采购人要求</w:t>
      </w:r>
    </w:p>
    <w:p w14:paraId="4F15C90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2.8资金来源：已落实</w:t>
      </w:r>
    </w:p>
    <w:p w14:paraId="0EDFEBE6">
      <w:pPr>
        <w:pageBreakBefore w:val="0"/>
        <w:kinsoku/>
        <w:wordWrap w:val="0"/>
        <w:overflowPunct/>
        <w:topLinePunct w:val="0"/>
        <w:bidi w:val="0"/>
        <w:snapToGrid/>
        <w:spacing w:line="336" w:lineRule="auto"/>
        <w:ind w:left="717" w:leftChars="140" w:hanging="241" w:hangingChars="100"/>
        <w:rPr>
          <w:rFonts w:hint="eastAsia" w:ascii="宋体" w:hAnsi="宋体" w:eastAsia="宋体" w:cs="宋体"/>
          <w:b/>
          <w:sz w:val="24"/>
          <w:szCs w:val="24"/>
        </w:rPr>
      </w:pPr>
      <w:r>
        <w:rPr>
          <w:rFonts w:hint="eastAsia" w:ascii="宋体" w:hAnsi="宋体" w:eastAsia="宋体" w:cs="宋体"/>
          <w:b/>
          <w:sz w:val="24"/>
          <w:szCs w:val="24"/>
        </w:rPr>
        <w:t>注：（1）以上项目具体要求详见采购文件，以采购文件技术部分为准</w:t>
      </w:r>
    </w:p>
    <w:p w14:paraId="5D747FC9">
      <w:pPr>
        <w:pageBreakBefore w:val="0"/>
        <w:kinsoku/>
        <w:wordWrap w:val="0"/>
        <w:overflowPunct/>
        <w:topLinePunct w:val="0"/>
        <w:bidi w:val="0"/>
        <w:snapToGrid/>
        <w:spacing w:line="336" w:lineRule="auto"/>
        <w:ind w:firstLine="482" w:firstLineChars="200"/>
        <w:rPr>
          <w:rFonts w:hint="eastAsia" w:ascii="宋体" w:hAnsi="宋体" w:eastAsia="宋体" w:cs="宋体"/>
          <w:b/>
          <w:sz w:val="24"/>
          <w:szCs w:val="24"/>
        </w:rPr>
      </w:pPr>
      <w:bookmarkStart w:id="14" w:name="_Toc8335"/>
      <w:bookmarkStart w:id="15" w:name="_Toc58406240"/>
      <w:bookmarkStart w:id="16" w:name="_Toc54632631"/>
      <w:bookmarkStart w:id="17" w:name="_Toc6120"/>
      <w:r>
        <w:rPr>
          <w:rFonts w:hint="eastAsia" w:ascii="宋体" w:hAnsi="宋体" w:eastAsia="宋体" w:cs="宋体"/>
          <w:b/>
          <w:sz w:val="24"/>
          <w:szCs w:val="24"/>
        </w:rPr>
        <w:t>3.</w:t>
      </w:r>
      <w:bookmarkEnd w:id="12"/>
      <w:bookmarkEnd w:id="13"/>
      <w:r>
        <w:rPr>
          <w:rFonts w:hint="eastAsia" w:ascii="宋体" w:hAnsi="宋体" w:eastAsia="宋体" w:cs="宋体"/>
          <w:b/>
          <w:sz w:val="24"/>
          <w:szCs w:val="24"/>
        </w:rPr>
        <w:t>供应商资格要求</w:t>
      </w:r>
      <w:bookmarkEnd w:id="14"/>
      <w:bookmarkEnd w:id="15"/>
      <w:bookmarkEnd w:id="16"/>
      <w:bookmarkEnd w:id="17"/>
    </w:p>
    <w:p w14:paraId="51519B5F">
      <w:pPr>
        <w:pageBreakBefore w:val="0"/>
        <w:kinsoku/>
        <w:wordWrap w:val="0"/>
        <w:overflowPunct/>
        <w:topLinePunct w:val="0"/>
        <w:bidi w:val="0"/>
        <w:snapToGrid/>
        <w:spacing w:line="336" w:lineRule="auto"/>
        <w:ind w:firstLine="482" w:firstLineChars="200"/>
        <w:rPr>
          <w:rFonts w:hint="eastAsia" w:ascii="宋体" w:hAnsi="宋体" w:eastAsia="宋体" w:cs="宋体"/>
          <w:b/>
          <w:sz w:val="24"/>
          <w:szCs w:val="24"/>
        </w:rPr>
      </w:pPr>
      <w:bookmarkStart w:id="18" w:name="_Toc54632632"/>
      <w:bookmarkStart w:id="19" w:name="_Toc23506"/>
      <w:bookmarkStart w:id="20" w:name="_Toc58406241"/>
      <w:bookmarkStart w:id="21" w:name="_Toc11915"/>
      <w:bookmarkStart w:id="22" w:name="_Toc54632633"/>
      <w:bookmarkStart w:id="23" w:name="_Toc58406242"/>
      <w:bookmarkStart w:id="24" w:name="_Toc13086"/>
      <w:bookmarkStart w:id="25" w:name="_Toc20511"/>
      <w:r>
        <w:rPr>
          <w:rFonts w:hint="eastAsia" w:ascii="宋体" w:hAnsi="宋体" w:eastAsia="宋体" w:cs="宋体"/>
          <w:b/>
          <w:sz w:val="24"/>
          <w:szCs w:val="24"/>
        </w:rPr>
        <w:t>3.1通用资格要求</w:t>
      </w:r>
      <w:bookmarkEnd w:id="18"/>
      <w:bookmarkEnd w:id="19"/>
      <w:bookmarkEnd w:id="20"/>
      <w:bookmarkEnd w:id="21"/>
    </w:p>
    <w:p w14:paraId="122FDC7A">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3.1.1、本次招标要求投标人须为中华人民共和国境内依法注册的企业法人或其它组织，并在人员、设备、资金等方面具有保障如期完成服务等承担本项目的能力；</w:t>
      </w:r>
    </w:p>
    <w:p w14:paraId="52C488E0">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760BE446">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3.1.3、投标人需具有一般纳税人资格（提供一般纳税人登记表或税务局相关网站查询截图等）；</w:t>
      </w:r>
    </w:p>
    <w:p w14:paraId="2AEDEF95">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3.1.4、投标人及其法定代表人在中国裁判文书网（http://wenshu.court.gov.cn/）查询显示近三年（2022年0</w:t>
      </w:r>
      <w:r>
        <w:rPr>
          <w:rFonts w:hint="eastAsia" w:ascii="宋体" w:hAnsi="宋体" w:eastAsia="宋体" w:cs="仿宋"/>
          <w:sz w:val="24"/>
          <w:szCs w:val="24"/>
          <w:lang w:val="en-US" w:eastAsia="zh-CN"/>
        </w:rPr>
        <w:t>8</w:t>
      </w:r>
      <w:r>
        <w:rPr>
          <w:rFonts w:hint="eastAsia" w:ascii="宋体" w:hAnsi="宋体" w:eastAsia="宋体" w:cs="仿宋"/>
          <w:sz w:val="24"/>
          <w:szCs w:val="24"/>
        </w:rPr>
        <w:t>月01日至今）没有行贿犯罪记录；</w:t>
      </w:r>
    </w:p>
    <w:p w14:paraId="729EC40C">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3.1.5、投标人在“国家企业信用信息公示系统”（http://gsxt.saic.gov.cn/）中未被列入“严重违法失信企业名单（黑名单） ”；</w:t>
      </w:r>
    </w:p>
    <w:p w14:paraId="29B125A3">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3.1.6、法定代表人或单位负责人为同一人或者存在控股、管理关系的不同单位，不得参加同一标段投标或者未划分标段的同一采购项目投标；</w:t>
      </w:r>
    </w:p>
    <w:p w14:paraId="03F105E8">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3.1.7、投标人及其法定代表人不得被人民法院列为失信被执行人，在“中国执行信息公开网”（省份选择全部）（http://zxgk.court.gov.cn/shixin/）中未被列入失信被执行人名单；</w:t>
      </w:r>
    </w:p>
    <w:p w14:paraId="0B375C55">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4427ED00">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3.1.9、投标人被列入中国电力企业联合会公布的“中电联关于公布涉电力领域重点关注对象名单”无资格参与投标；</w:t>
      </w:r>
    </w:p>
    <w:p w14:paraId="350D2813">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3.1.10、投标人未列入内蒙古电力（集团）有限责任公司暂停、取消投（中）标资格、永久取消投（中）标资格名单；</w:t>
      </w:r>
    </w:p>
    <w:p w14:paraId="1933384C">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3.1.11、本项目不接受联合体投标。</w:t>
      </w:r>
    </w:p>
    <w:p w14:paraId="787D6C24">
      <w:pPr>
        <w:pageBreakBefore w:val="0"/>
        <w:tabs>
          <w:tab w:val="left" w:pos="2687"/>
        </w:tabs>
        <w:kinsoku/>
        <w:wordWrap w:val="0"/>
        <w:overflowPunct/>
        <w:topLinePunct w:val="0"/>
        <w:bidi w:val="0"/>
        <w:snapToGrid/>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3.2专用资格要求</w:t>
      </w:r>
      <w:bookmarkEnd w:id="22"/>
      <w:bookmarkEnd w:id="23"/>
      <w:bookmarkEnd w:id="24"/>
      <w:bookmarkEnd w:id="25"/>
      <w:bookmarkStart w:id="26" w:name="_Toc11301"/>
      <w:bookmarkStart w:id="27" w:name="_Toc14058"/>
      <w:bookmarkStart w:id="28" w:name="_Toc58406243"/>
      <w:bookmarkStart w:id="29" w:name="_Toc54632634"/>
      <w:r>
        <w:rPr>
          <w:rFonts w:hint="eastAsia" w:ascii="宋体" w:hAnsi="宋体" w:eastAsia="宋体" w:cs="宋体"/>
          <w:b/>
          <w:sz w:val="24"/>
          <w:szCs w:val="24"/>
        </w:rPr>
        <w:t xml:space="preserve"> </w:t>
      </w:r>
    </w:p>
    <w:p w14:paraId="1189A756">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w:t>
      </w:r>
      <w:r>
        <w:rPr>
          <w:rFonts w:hint="eastAsia" w:ascii="宋体" w:hAnsi="宋体" w:eastAsia="宋体" w:cs="仿宋"/>
          <w:sz w:val="24"/>
          <w:szCs w:val="24"/>
          <w:lang w:val="en-US" w:eastAsia="zh-CN"/>
        </w:rPr>
        <w:t>2</w:t>
      </w:r>
      <w:r>
        <w:rPr>
          <w:rFonts w:hint="eastAsia" w:ascii="宋体" w:hAnsi="宋体" w:eastAsia="宋体" w:cs="仿宋"/>
          <w:sz w:val="24"/>
          <w:szCs w:val="24"/>
        </w:rPr>
        <w:t>.1、供应商须具有建设主管部门颁发的电力工程施工总承包乙级及以上或输变电工程专业承包乙级及以上资质(以上资质为住建部最新资质要求(2020年11月30日建市(2020)94号《住房和城乡建设部关于印发建设工程企业资质管理制度改革方案的通知》)，如投标人还未申办以上资质，投标人须具有建设行政主管部门核发的电力施工总承包三级及以上资质或输变电工程专业承包三级及以上资质(提供证书扫描件);</w:t>
      </w:r>
    </w:p>
    <w:p w14:paraId="56E67B79">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w:t>
      </w:r>
      <w:r>
        <w:rPr>
          <w:rFonts w:hint="eastAsia" w:ascii="宋体" w:hAnsi="宋体" w:eastAsia="宋体" w:cs="仿宋"/>
          <w:sz w:val="24"/>
          <w:szCs w:val="24"/>
          <w:lang w:val="en-US" w:eastAsia="zh-CN"/>
        </w:rPr>
        <w:t>2</w:t>
      </w:r>
      <w:r>
        <w:rPr>
          <w:rFonts w:hint="eastAsia" w:ascii="宋体" w:hAnsi="宋体" w:eastAsia="宋体" w:cs="仿宋"/>
          <w:sz w:val="24"/>
          <w:szCs w:val="24"/>
        </w:rPr>
        <w:t>.</w:t>
      </w:r>
      <w:r>
        <w:rPr>
          <w:rFonts w:hint="eastAsia" w:ascii="宋体" w:hAnsi="宋体" w:eastAsia="宋体" w:cs="仿宋"/>
          <w:sz w:val="24"/>
          <w:szCs w:val="24"/>
          <w:lang w:val="en-US" w:eastAsia="zh-CN"/>
        </w:rPr>
        <w:t>2</w:t>
      </w:r>
      <w:r>
        <w:rPr>
          <w:rFonts w:hint="eastAsia" w:ascii="宋体" w:hAnsi="宋体" w:eastAsia="宋体" w:cs="仿宋"/>
          <w:sz w:val="24"/>
          <w:szCs w:val="24"/>
        </w:rPr>
        <w:t>、供应商须具有有效期内的国家能源局颁发的承装(修、试)电力设施许可证(承装类五级、承修类五级、承试类五级)及以上资质(提供证书扫描件);</w:t>
      </w:r>
    </w:p>
    <w:p w14:paraId="47191B80">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w:t>
      </w:r>
      <w:r>
        <w:rPr>
          <w:rFonts w:hint="eastAsia" w:ascii="宋体" w:hAnsi="宋体" w:eastAsia="宋体" w:cs="仿宋"/>
          <w:sz w:val="24"/>
          <w:szCs w:val="24"/>
          <w:lang w:val="en-US" w:eastAsia="zh-CN"/>
        </w:rPr>
        <w:t>2</w:t>
      </w:r>
      <w:r>
        <w:rPr>
          <w:rFonts w:hint="eastAsia" w:ascii="宋体" w:hAnsi="宋体" w:eastAsia="宋体" w:cs="仿宋"/>
          <w:sz w:val="24"/>
          <w:szCs w:val="24"/>
        </w:rPr>
        <w:t>.</w:t>
      </w:r>
      <w:r>
        <w:rPr>
          <w:rFonts w:hint="eastAsia" w:ascii="宋体" w:hAnsi="宋体" w:eastAsia="宋体" w:cs="仿宋"/>
          <w:sz w:val="24"/>
          <w:szCs w:val="24"/>
          <w:lang w:val="en-US" w:eastAsia="zh-CN"/>
        </w:rPr>
        <w:t>3</w:t>
      </w:r>
      <w:r>
        <w:rPr>
          <w:rFonts w:hint="eastAsia" w:ascii="宋体" w:hAnsi="宋体" w:eastAsia="宋体" w:cs="仿宋"/>
          <w:sz w:val="24"/>
          <w:szCs w:val="24"/>
        </w:rPr>
        <w:t>、供应商须具有有效期内的建设行政主管部门核发的安全生产许可证(提供证书扫描件);</w:t>
      </w:r>
    </w:p>
    <w:p w14:paraId="4802F24B">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3.</w:t>
      </w:r>
      <w:r>
        <w:rPr>
          <w:rFonts w:hint="eastAsia" w:ascii="宋体" w:hAnsi="宋体" w:eastAsia="宋体" w:cs="仿宋"/>
          <w:sz w:val="24"/>
          <w:szCs w:val="24"/>
          <w:lang w:val="en-US" w:eastAsia="zh-CN"/>
        </w:rPr>
        <w:t>2</w:t>
      </w:r>
      <w:r>
        <w:rPr>
          <w:rFonts w:hint="eastAsia" w:ascii="宋体" w:hAnsi="宋体" w:eastAsia="宋体" w:cs="仿宋"/>
          <w:sz w:val="24"/>
          <w:szCs w:val="24"/>
        </w:rPr>
        <w:t>.</w:t>
      </w:r>
      <w:r>
        <w:rPr>
          <w:rFonts w:hint="eastAsia" w:ascii="宋体" w:hAnsi="宋体" w:eastAsia="宋体" w:cs="仿宋"/>
          <w:sz w:val="24"/>
          <w:szCs w:val="24"/>
          <w:lang w:val="en-US" w:eastAsia="zh-CN"/>
        </w:rPr>
        <w:t>4</w:t>
      </w:r>
      <w:r>
        <w:rPr>
          <w:rFonts w:hint="eastAsia" w:ascii="宋体" w:hAnsi="宋体" w:eastAsia="宋体" w:cs="仿宋"/>
          <w:sz w:val="24"/>
          <w:szCs w:val="24"/>
        </w:rPr>
        <w:t>、拟派项目经理须具有本企业注册的建设行政主管部门核发的二级及以上建造师注册证书(机电工程专业)和有效的安全生产考核合格证书(B类)(提供有效的证书扫描件)。</w:t>
      </w:r>
    </w:p>
    <w:p w14:paraId="0D63B668">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rPr>
      </w:pPr>
      <w:r>
        <w:rPr>
          <w:rFonts w:hint="eastAsia" w:ascii="宋体" w:hAnsi="宋体" w:eastAsia="宋体" w:cs="仿宋"/>
          <w:sz w:val="24"/>
          <w:szCs w:val="24"/>
        </w:rPr>
        <w:t>注:根据“注册建造师管理规定:第二十一条注册建造师的具体执业范围按照《注册建造师执业工程规模标准》执行。注册建造师不得同时在两个及两个以上的建设工程项目上担任施工单位项目负责人”,如出现投标人注册建造师同时在两个及两个以上的建设工程项目上担任施工单位项目负责人的情况,招标人有权否决其中标资格。</w:t>
      </w:r>
    </w:p>
    <w:p w14:paraId="6FE82C4B">
      <w:pPr>
        <w:pStyle w:val="17"/>
        <w:pageBreakBefore w:val="0"/>
        <w:kinsoku/>
        <w:wordWrap w:val="0"/>
        <w:overflowPunct/>
        <w:topLinePunct w:val="0"/>
        <w:bidi w:val="0"/>
        <w:snapToGrid/>
        <w:spacing w:line="360" w:lineRule="auto"/>
        <w:ind w:firstLine="482"/>
        <w:rPr>
          <w:rFonts w:hint="eastAsia" w:ascii="宋体" w:hAnsi="宋体" w:eastAsia="宋体" w:cs="仿宋"/>
          <w:sz w:val="24"/>
          <w:szCs w:val="24"/>
          <w:lang w:val="en-US" w:eastAsia="zh-CN"/>
        </w:rPr>
      </w:pPr>
      <w:r>
        <w:rPr>
          <w:rFonts w:hint="eastAsia" w:ascii="宋体" w:hAnsi="宋体" w:eastAsia="宋体" w:cs="仿宋"/>
          <w:sz w:val="24"/>
          <w:szCs w:val="24"/>
        </w:rPr>
        <w:t>3.</w:t>
      </w:r>
      <w:r>
        <w:rPr>
          <w:rFonts w:hint="eastAsia" w:ascii="宋体" w:hAnsi="宋体" w:eastAsia="宋体" w:cs="仿宋"/>
          <w:sz w:val="24"/>
          <w:szCs w:val="24"/>
          <w:lang w:val="en-US" w:eastAsia="zh-CN"/>
        </w:rPr>
        <w:t>2</w:t>
      </w:r>
      <w:r>
        <w:rPr>
          <w:rFonts w:hint="eastAsia" w:ascii="宋体" w:hAnsi="宋体" w:eastAsia="宋体" w:cs="仿宋"/>
          <w:sz w:val="24"/>
          <w:szCs w:val="24"/>
        </w:rPr>
        <w:t>.</w:t>
      </w:r>
      <w:r>
        <w:rPr>
          <w:rFonts w:hint="eastAsia" w:ascii="宋体" w:hAnsi="宋体" w:eastAsia="宋体" w:cs="仿宋"/>
          <w:sz w:val="24"/>
          <w:szCs w:val="24"/>
          <w:lang w:val="en-US" w:eastAsia="zh-CN"/>
        </w:rPr>
        <w:t>5</w:t>
      </w:r>
      <w:r>
        <w:rPr>
          <w:rFonts w:hint="eastAsia" w:ascii="宋体" w:hAnsi="宋体" w:eastAsia="宋体" w:cs="仿宋"/>
          <w:sz w:val="24"/>
          <w:szCs w:val="24"/>
        </w:rPr>
        <w:t>、</w:t>
      </w:r>
      <w:r>
        <w:rPr>
          <w:rFonts w:hint="eastAsia" w:ascii="宋体" w:hAnsi="宋体" w:eastAsia="宋体" w:cs="仿宋"/>
          <w:sz w:val="24"/>
          <w:szCs w:val="24"/>
          <w:lang w:val="en-US" w:eastAsia="zh-CN"/>
        </w:rPr>
        <w:t>供应商须提供项目负责人无在建工程承诺书。</w:t>
      </w:r>
    </w:p>
    <w:p w14:paraId="49F80420">
      <w:pPr>
        <w:pStyle w:val="17"/>
        <w:pageBreakBefore w:val="0"/>
        <w:kinsoku/>
        <w:wordWrap w:val="0"/>
        <w:overflowPunct/>
        <w:topLinePunct w:val="0"/>
        <w:bidi w:val="0"/>
        <w:snapToGrid/>
        <w:spacing w:line="360" w:lineRule="auto"/>
        <w:ind w:firstLine="482"/>
        <w:rPr>
          <w:rFonts w:hint="default" w:ascii="宋体" w:hAnsi="宋体" w:eastAsia="宋体" w:cs="仿宋"/>
          <w:sz w:val="24"/>
          <w:szCs w:val="24"/>
          <w:lang w:val="en-US" w:eastAsia="zh-CN"/>
        </w:rPr>
      </w:pPr>
      <w:r>
        <w:rPr>
          <w:rFonts w:hint="eastAsia" w:ascii="宋体" w:hAnsi="宋体" w:eastAsia="宋体" w:cs="仿宋"/>
          <w:sz w:val="24"/>
          <w:szCs w:val="24"/>
        </w:rPr>
        <w:t>3.</w:t>
      </w:r>
      <w:r>
        <w:rPr>
          <w:rFonts w:hint="eastAsia" w:ascii="宋体" w:hAnsi="宋体" w:eastAsia="宋体" w:cs="仿宋"/>
          <w:sz w:val="24"/>
          <w:szCs w:val="24"/>
          <w:lang w:val="en-US" w:eastAsia="zh-CN"/>
        </w:rPr>
        <w:t>2</w:t>
      </w:r>
      <w:r>
        <w:rPr>
          <w:rFonts w:hint="eastAsia" w:ascii="宋体" w:hAnsi="宋体" w:eastAsia="宋体" w:cs="仿宋"/>
          <w:sz w:val="24"/>
          <w:szCs w:val="24"/>
        </w:rPr>
        <w:t>.</w:t>
      </w:r>
      <w:r>
        <w:rPr>
          <w:rFonts w:hint="eastAsia" w:ascii="宋体" w:hAnsi="宋体" w:eastAsia="宋体" w:cs="仿宋"/>
          <w:sz w:val="24"/>
          <w:szCs w:val="24"/>
          <w:lang w:val="en-US" w:eastAsia="zh-CN"/>
        </w:rPr>
        <w:t>6</w:t>
      </w:r>
      <w:r>
        <w:rPr>
          <w:rFonts w:hint="eastAsia" w:ascii="宋体" w:hAnsi="宋体" w:eastAsia="宋体" w:cs="仿宋"/>
          <w:sz w:val="24"/>
          <w:szCs w:val="24"/>
        </w:rPr>
        <w:t>、</w:t>
      </w:r>
      <w:r>
        <w:rPr>
          <w:rFonts w:hint="default" w:ascii="宋体" w:hAnsi="宋体" w:eastAsia="宋体" w:cs="仿宋"/>
          <w:sz w:val="24"/>
          <w:szCs w:val="24"/>
          <w:lang w:val="en-US" w:eastAsia="zh-CN"/>
        </w:rPr>
        <w:t>供应商须提供近三年(2022年0</w:t>
      </w:r>
      <w:r>
        <w:rPr>
          <w:rFonts w:hint="eastAsia" w:ascii="宋体" w:hAnsi="宋体" w:eastAsia="宋体" w:cs="仿宋"/>
          <w:sz w:val="24"/>
          <w:szCs w:val="24"/>
          <w:lang w:val="en-US" w:eastAsia="zh-CN"/>
        </w:rPr>
        <w:t>8</w:t>
      </w:r>
      <w:r>
        <w:rPr>
          <w:rFonts w:hint="default" w:ascii="宋体" w:hAnsi="宋体" w:eastAsia="宋体" w:cs="仿宋"/>
          <w:sz w:val="24"/>
          <w:szCs w:val="24"/>
          <w:lang w:val="en-US" w:eastAsia="zh-CN"/>
        </w:rPr>
        <w:t>月01日至今，以合同签订时间为准)已完成的10千伏及以下配电网业绩1份(业绩证明材料需提供合同及配套发票扫描件，合同内容至少应包括合同首页、内容、签订日期及双方签字盖章等内容;发票后需附国家税务总局全国增值税发票查验平台的查询截图)。</w:t>
      </w:r>
    </w:p>
    <w:p w14:paraId="7BE9C9D8">
      <w:pPr>
        <w:pageBreakBefore w:val="0"/>
        <w:kinsoku/>
        <w:wordWrap w:val="0"/>
        <w:overflowPunct/>
        <w:topLinePunct w:val="0"/>
        <w:bidi w:val="0"/>
        <w:snapToGrid/>
        <w:spacing w:line="336"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4.报名及采购文件的获取</w:t>
      </w:r>
      <w:bookmarkEnd w:id="26"/>
      <w:bookmarkEnd w:id="27"/>
      <w:bookmarkEnd w:id="28"/>
      <w:bookmarkEnd w:id="29"/>
    </w:p>
    <w:p w14:paraId="1AC04D45">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bookmarkStart w:id="30" w:name="_Toc495644245"/>
      <w:r>
        <w:rPr>
          <w:rFonts w:hint="eastAsia" w:ascii="宋体" w:hAnsi="宋体" w:eastAsia="宋体" w:cs="宋体"/>
          <w:sz w:val="24"/>
          <w:szCs w:val="24"/>
        </w:rPr>
        <w:t>4.1采购文件售价：本项目不收取采购文件费</w:t>
      </w:r>
    </w:p>
    <w:p w14:paraId="4EDFB371">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4.2本项目实行在线报名和下载采购文件。凡有意参加的供应商，请于2025年</w:t>
      </w:r>
      <w:r>
        <w:rPr>
          <w:rFonts w:hint="eastAsia" w:ascii="宋体" w:hAnsi="宋体" w:eastAsia="宋体" w:cs="宋体"/>
          <w:sz w:val="24"/>
          <w:szCs w:val="24"/>
          <w:lang w:val="en-US" w:eastAsia="zh-CN"/>
        </w:rPr>
        <w:t>8</w:t>
      </w:r>
      <w:r>
        <w:rPr>
          <w:rFonts w:hint="eastAsia" w:ascii="宋体" w:hAnsi="宋体" w:eastAsia="宋体" w:cs="宋体"/>
          <w:sz w:val="24"/>
          <w:szCs w:val="24"/>
        </w:rPr>
        <w:t>月</w:t>
      </w:r>
      <w:r>
        <w:rPr>
          <w:rFonts w:hint="eastAsia" w:ascii="宋体" w:hAnsi="宋体" w:eastAsia="宋体" w:cs="宋体"/>
          <w:sz w:val="24"/>
          <w:szCs w:val="24"/>
          <w:lang w:val="en-US" w:eastAsia="zh-CN"/>
        </w:rPr>
        <w:t>12</w:t>
      </w:r>
      <w:r>
        <w:rPr>
          <w:rFonts w:hint="eastAsia" w:ascii="宋体" w:hAnsi="宋体" w:eastAsia="宋体" w:cs="宋体"/>
          <w:sz w:val="24"/>
          <w:szCs w:val="24"/>
        </w:rPr>
        <w:t>日至2025年0</w:t>
      </w:r>
      <w:r>
        <w:rPr>
          <w:rFonts w:hint="eastAsia" w:ascii="宋体" w:hAnsi="宋体" w:eastAsia="宋体" w:cs="宋体"/>
          <w:sz w:val="24"/>
          <w:szCs w:val="24"/>
          <w:lang w:val="en-US" w:eastAsia="zh-CN"/>
        </w:rPr>
        <w:t>8</w:t>
      </w:r>
      <w:r>
        <w:rPr>
          <w:rFonts w:hint="eastAsia" w:ascii="宋体" w:hAnsi="宋体" w:eastAsia="宋体" w:cs="宋体"/>
          <w:sz w:val="24"/>
          <w:szCs w:val="24"/>
        </w:rPr>
        <w:t>月</w:t>
      </w:r>
      <w:r>
        <w:rPr>
          <w:rFonts w:hint="eastAsia" w:ascii="宋体" w:hAnsi="宋体" w:eastAsia="宋体" w:cs="宋体"/>
          <w:sz w:val="24"/>
          <w:szCs w:val="24"/>
          <w:lang w:val="en-US" w:eastAsia="zh-CN"/>
        </w:rPr>
        <w:t>14</w:t>
      </w:r>
      <w:r>
        <w:rPr>
          <w:rFonts w:hint="eastAsia" w:ascii="宋体" w:hAnsi="宋体" w:eastAsia="宋体" w:cs="宋体"/>
          <w:sz w:val="24"/>
          <w:szCs w:val="24"/>
        </w:rPr>
        <w:t>日9:00-17:00，进入《内蒙古电力集团电子采购系统》（http://guocai-impc.cppchina.cn/）在线递交报名资料和获取采购文件，逾期不予受理。</w:t>
      </w:r>
    </w:p>
    <w:p w14:paraId="3659E125">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凡第一次参与内蒙古电力公司的各类招标采购项目的供应商，在投标报名前需要在内蒙古电力公司物资管理信息系统“内蒙古电力集团电子商务平台（http://wzglb.impc.com.cn:82）”，先进行供应商基本信息注册，然后在招标采购项目挂网公告所在的电子采购交易平台（内蒙古电力集团电子采购系统）办理中招互连扫码签章，前述工作完成后方可开始投标报名。</w:t>
      </w:r>
    </w:p>
    <w:p w14:paraId="7CE5739E">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.2.2具体流程为：</w:t>
      </w:r>
    </w:p>
    <w:p w14:paraId="63A0544D">
      <w:pPr>
        <w:pageBreakBefore w:val="0"/>
        <w:kinsoku/>
        <w:wordWrap w:val="0"/>
        <w:overflowPunct/>
        <w:topLinePunct w:val="0"/>
        <w:bidi w:val="0"/>
        <w:snapToGrid/>
        <w:spacing w:line="360" w:lineRule="auto"/>
        <w:ind w:firstLine="480" w:firstLineChars="200"/>
        <w:textAlignment w:val="auto"/>
        <w:rPr>
          <w:rFonts w:ascii="宋体" w:hAnsi="宋体" w:eastAsia="宋体" w:cs="宋体"/>
          <w:sz w:val="24"/>
          <w:szCs w:val="24"/>
        </w:rPr>
      </w:pPr>
      <w:bookmarkStart w:id="31" w:name="_Hlk194849560"/>
      <w:r>
        <w:rPr>
          <w:rFonts w:hint="eastAsia" w:ascii="宋体" w:hAnsi="宋体" w:eastAsia="宋体" w:cs="宋体"/>
          <w:sz w:val="24"/>
          <w:szCs w:val="24"/>
        </w:rPr>
        <w:t>具体流程为：登录平台→在报名管理界面查看最新招标项目→供应商提交报名资料，通过资格查验的供应商报名后通过“文件下载”界面下载采购文件，平台联系电话：</w:t>
      </w:r>
      <w:r>
        <w:rPr>
          <w:rFonts w:ascii="宋体" w:hAnsi="宋体" w:eastAsia="宋体" w:cs="宋体"/>
          <w:sz w:val="24"/>
          <w:szCs w:val="24"/>
        </w:rPr>
        <w:t>400-9913-966</w:t>
      </w:r>
      <w:r>
        <w:rPr>
          <w:rFonts w:hint="eastAsia" w:ascii="宋体" w:hAnsi="宋体" w:eastAsia="宋体" w:cs="宋体"/>
          <w:sz w:val="24"/>
          <w:szCs w:val="24"/>
        </w:rPr>
        <w:t>。</w:t>
      </w:r>
    </w:p>
    <w:bookmarkEnd w:id="31"/>
    <w:p w14:paraId="26707677">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4.2.3报名单位须凭【中招互连】APP办理项目后续电子竞标事宜，之前未进行注册【中招互连】APP的企业需要登录平台，点击首页扫码下载【中招互连】APP，根据提示即可在线办理相关事宜，后续所有流程全部扫码登录，扫码签章，扫码加密，扫码解密。</w:t>
      </w:r>
    </w:p>
    <w:p w14:paraId="491BA9A1">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4.3竞标报名资料</w:t>
      </w:r>
    </w:p>
    <w:bookmarkEnd w:id="30"/>
    <w:p w14:paraId="7F0BDCE7">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符合供应商资格要求的潜在供应商，报名需上传下列有效证明资料加盖公章的扫描件（注：报名资料内容清晰可辨，请按照顺序将所有报名资料的扫描件放到一个PDF文件内，只上传一个PDF文件即可，上传时文件夹命名为所投标段/标包编号+公司名称,出现未按照规定上传、资料不全、资料不合格的情况，采购人有权拒绝），具体如下：</w:t>
      </w:r>
    </w:p>
    <w:p w14:paraId="482FEBB7">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4.3.1报名信息表（详见公告附件）；</w:t>
      </w:r>
    </w:p>
    <w:p w14:paraId="16FF29CF">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4.3.2法定代表人授权委托书（详见公告附件）； </w:t>
      </w:r>
    </w:p>
    <w:p w14:paraId="7B3FA55B">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4.3.3载有统一社会信用代码的营业执照扫描件；</w:t>
      </w:r>
    </w:p>
    <w:p w14:paraId="5973B5F7">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4.3.4提供一般纳税人登记表或税务局相关网站查询截图或开具的增值税发票或税务局出具的相关证明等；</w:t>
      </w:r>
    </w:p>
    <w:p w14:paraId="77B37823">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4.3.5供应商专用资格要求中所需资料扫描件；</w:t>
      </w:r>
    </w:p>
    <w:p w14:paraId="4AEB21AD">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4.3.6供应商及其法定代表人在“中国执行信息公开网”（省份选择全部）（http://zxgk.court.gov.cn/shixin/）”查询显示未被列入失信被执行人名单查询结果截图；(详见公告附件)</w:t>
      </w:r>
    </w:p>
    <w:p w14:paraId="2188A2C0">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4.3.7供应商在“国家企业信用信息公示系统网(http://www.gsxt.gov.cn/index.html)未被列入严重违法失信企业名单(黑名单)信息；(详见公告附件)</w:t>
      </w:r>
    </w:p>
    <w:p w14:paraId="511C6036">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sz w:val="24"/>
          <w:szCs w:val="24"/>
        </w:rPr>
        <w:t>4.3.8供应商在中国裁判文书网(https://wenshu.court.gov.cn/)显示供应商及法定代表人近三年无行贿犯罪记录；(详见公告附件)</w:t>
      </w:r>
    </w:p>
    <w:p w14:paraId="00C758FD">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4.3.9企业如有变更，需提供有关行政机关提供的变更证明材料；</w:t>
      </w:r>
    </w:p>
    <w:p w14:paraId="2645872B">
      <w:pPr>
        <w:pageBreakBefore w:val="0"/>
        <w:widowControl/>
        <w:shd w:val="clear" w:color="auto" w:fill="FFFFFF"/>
        <w:kinsoku/>
        <w:wordWrap w:val="0"/>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4.3.10真实性承诺书。（格式详见附件）</w:t>
      </w:r>
    </w:p>
    <w:p w14:paraId="42BCF8D4">
      <w:pPr>
        <w:pageBreakBefore w:val="0"/>
        <w:widowControl/>
        <w:shd w:val="clear" w:color="auto" w:fill="FFFFFF"/>
        <w:kinsoku/>
        <w:wordWrap w:val="0"/>
        <w:overflowPunct/>
        <w:topLinePunct w:val="0"/>
        <w:bidi w:val="0"/>
        <w:snapToGrid/>
        <w:spacing w:before="100" w:after="100" w:line="336"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注：A、上述要求是对供应商的基本要求，如按照行业及相关部门另有规定的遵循其规定，供应商应提供相应的证明或资信材料；</w:t>
      </w:r>
    </w:p>
    <w:p w14:paraId="193E2218">
      <w:pPr>
        <w:pageBreakBefore w:val="0"/>
        <w:numPr>
          <w:ilvl w:val="0"/>
          <w:numId w:val="1"/>
        </w:numPr>
        <w:kinsoku/>
        <w:wordWrap w:val="0"/>
        <w:overflowPunct/>
        <w:topLinePunct w:val="0"/>
        <w:autoSpaceDE w:val="0"/>
        <w:autoSpaceDN w:val="0"/>
        <w:bidi w:val="0"/>
        <w:adjustRightInd w:val="0"/>
        <w:snapToGrid/>
        <w:spacing w:line="336" w:lineRule="auto"/>
        <w:ind w:firstLine="482" w:firstLineChars="200"/>
        <w:textAlignment w:val="auto"/>
        <w:rPr>
          <w:rFonts w:hint="eastAsia" w:ascii="宋体" w:hAnsi="宋体" w:eastAsia="宋体" w:cs="宋体"/>
          <w:b/>
          <w:sz w:val="24"/>
          <w:szCs w:val="24"/>
        </w:rPr>
      </w:pPr>
      <w:r>
        <w:rPr>
          <w:rFonts w:hint="eastAsia" w:ascii="宋体" w:hAnsi="宋体" w:eastAsia="宋体" w:cs="宋体"/>
          <w:b/>
          <w:kern w:val="0"/>
          <w:sz w:val="24"/>
          <w:szCs w:val="24"/>
        </w:rPr>
        <w:t>如发现存在虚假资料，采购人取消其竞标/中标资格，由此造成的后果由竞标/成交供应商自负，并承担相应的法律责任；</w:t>
      </w:r>
      <w:r>
        <w:rPr>
          <w:rFonts w:hint="eastAsia" w:ascii="宋体" w:hAnsi="宋体" w:eastAsia="宋体" w:cs="宋体"/>
          <w:sz w:val="24"/>
          <w:szCs w:val="24"/>
        </w:rPr>
        <w:t xml:space="preserve"> </w:t>
      </w:r>
    </w:p>
    <w:p w14:paraId="44A48E3B">
      <w:pPr>
        <w:pageBreakBefore w:val="0"/>
        <w:numPr>
          <w:ilvl w:val="0"/>
          <w:numId w:val="1"/>
        </w:numPr>
        <w:kinsoku/>
        <w:wordWrap w:val="0"/>
        <w:overflowPunct/>
        <w:topLinePunct w:val="0"/>
        <w:autoSpaceDE w:val="0"/>
        <w:autoSpaceDN w:val="0"/>
        <w:bidi w:val="0"/>
        <w:adjustRightInd w:val="0"/>
        <w:snapToGrid/>
        <w:spacing w:line="336"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77C3571E">
      <w:pPr>
        <w:pageBreakBefore w:val="0"/>
        <w:numPr>
          <w:ilvl w:val="0"/>
          <w:numId w:val="1"/>
        </w:numPr>
        <w:kinsoku/>
        <w:wordWrap w:val="0"/>
        <w:overflowPunct/>
        <w:topLinePunct w:val="0"/>
        <w:autoSpaceDE w:val="0"/>
        <w:autoSpaceDN w:val="0"/>
        <w:bidi w:val="0"/>
        <w:adjustRightInd w:val="0"/>
        <w:snapToGrid/>
        <w:spacing w:line="336"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为提高报名工作效率，投多个标段的请供应商按标段分别对应上传相应报名资料，严禁上传与本标段无关资料，否则，采购人有权拒绝；</w:t>
      </w:r>
    </w:p>
    <w:p w14:paraId="064531C8">
      <w:pPr>
        <w:pageBreakBefore w:val="0"/>
        <w:kinsoku/>
        <w:wordWrap w:val="0"/>
        <w:overflowPunct/>
        <w:topLinePunct w:val="0"/>
        <w:bidi w:val="0"/>
        <w:snapToGrid/>
        <w:spacing w:line="336"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E、供应商上传的报名资料中，检验报告及合同可以只附关键页，关键页是指能体现供应商名称、检验产品名称、结论、签订合同时间、签订金额等即可。</w:t>
      </w:r>
    </w:p>
    <w:p w14:paraId="0D282F52">
      <w:pPr>
        <w:pageBreakBefore w:val="0"/>
        <w:kinsoku/>
        <w:wordWrap w:val="0"/>
        <w:overflowPunct/>
        <w:topLinePunct w:val="0"/>
        <w:bidi w:val="0"/>
        <w:snapToGrid/>
        <w:spacing w:line="336" w:lineRule="auto"/>
        <w:ind w:firstLine="482" w:firstLineChars="200"/>
        <w:textAlignment w:val="auto"/>
        <w:rPr>
          <w:rFonts w:hint="eastAsia" w:ascii="宋体" w:hAnsi="宋体" w:eastAsia="宋体" w:cs="宋体"/>
          <w:b/>
          <w:sz w:val="24"/>
          <w:szCs w:val="24"/>
        </w:rPr>
      </w:pPr>
      <w:bookmarkStart w:id="32" w:name="_Toc11424"/>
      <w:bookmarkStart w:id="33" w:name="_Toc54632635"/>
      <w:bookmarkStart w:id="34" w:name="_Toc19515"/>
      <w:bookmarkStart w:id="35" w:name="_Toc495645074"/>
      <w:bookmarkStart w:id="36" w:name="_Toc58406244"/>
      <w:bookmarkStart w:id="37" w:name="_Toc21923"/>
      <w:r>
        <w:rPr>
          <w:rFonts w:hint="eastAsia" w:ascii="宋体" w:hAnsi="宋体" w:eastAsia="宋体" w:cs="宋体"/>
          <w:b/>
          <w:sz w:val="24"/>
          <w:szCs w:val="24"/>
        </w:rPr>
        <w:t>5.响应文件的递交</w:t>
      </w:r>
      <w:bookmarkEnd w:id="32"/>
      <w:bookmarkEnd w:id="33"/>
      <w:bookmarkEnd w:id="34"/>
      <w:bookmarkEnd w:id="35"/>
      <w:bookmarkEnd w:id="36"/>
      <w:bookmarkEnd w:id="37"/>
      <w:r>
        <w:rPr>
          <w:rFonts w:hint="eastAsia" w:ascii="宋体" w:hAnsi="宋体" w:eastAsia="宋体" w:cs="宋体"/>
          <w:b/>
          <w:sz w:val="24"/>
          <w:szCs w:val="24"/>
        </w:rPr>
        <w:t xml:space="preserve"> </w:t>
      </w:r>
    </w:p>
    <w:p w14:paraId="1BDC4434">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highlight w:val="yellow"/>
        </w:rPr>
      </w:pPr>
      <w:bookmarkStart w:id="38" w:name="_Toc21201"/>
      <w:r>
        <w:rPr>
          <w:rFonts w:hint="eastAsia" w:ascii="宋体" w:hAnsi="宋体" w:eastAsia="宋体" w:cs="宋体"/>
          <w:sz w:val="24"/>
          <w:szCs w:val="24"/>
        </w:rPr>
        <w:t>5.1电子响应文件请于递交响应文件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75EA4CC0">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供应商对网上递交的响应文件应加密。登录【中招互连】APP对响应文件进行加密功能（如果供应商使用A手机号码对响应文件进行了扫码加密，必须需要使用A手机号码进行扫码解密，才能读取或导入响应文件）。</w:t>
      </w:r>
    </w:p>
    <w:p w14:paraId="0C3EE837">
      <w:pPr>
        <w:keepNext/>
        <w:keepLines/>
        <w:pageBreakBefore w:val="0"/>
        <w:kinsoku/>
        <w:wordWrap w:val="0"/>
        <w:overflowPunct/>
        <w:topLinePunct w:val="0"/>
        <w:bidi w:val="0"/>
        <w:snapToGrid/>
        <w:spacing w:line="336" w:lineRule="auto"/>
        <w:ind w:firstLine="482" w:firstLineChars="200"/>
        <w:textAlignment w:val="auto"/>
        <w:rPr>
          <w:rFonts w:hint="eastAsia" w:ascii="宋体" w:hAnsi="宋体" w:eastAsia="宋体" w:cs="宋体"/>
          <w:b/>
          <w:sz w:val="24"/>
          <w:szCs w:val="24"/>
        </w:rPr>
      </w:pPr>
      <w:bookmarkStart w:id="39" w:name="_Toc58406245"/>
      <w:bookmarkStart w:id="40" w:name="_Toc11300"/>
      <w:bookmarkStart w:id="41" w:name="_Toc26010"/>
      <w:bookmarkStart w:id="42" w:name="_Toc54632636"/>
      <w:r>
        <w:rPr>
          <w:rFonts w:hint="eastAsia" w:ascii="宋体" w:hAnsi="宋体" w:eastAsia="宋体" w:cs="宋体"/>
          <w:b/>
          <w:sz w:val="24"/>
          <w:szCs w:val="24"/>
        </w:rPr>
        <w:t>6.资格审查：</w:t>
      </w:r>
      <w:bookmarkEnd w:id="38"/>
      <w:bookmarkEnd w:id="39"/>
      <w:bookmarkEnd w:id="40"/>
      <w:bookmarkEnd w:id="41"/>
      <w:bookmarkEnd w:id="42"/>
    </w:p>
    <w:p w14:paraId="6B3EDF6F">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本次采购采取资格后审方式，开标后由评标委员会统一进行资格审查，详见采购文件。资格审查时，供应商提供的资料不全或不合格的，均不能通过资格后审，其响应文件将被否决。</w:t>
      </w:r>
    </w:p>
    <w:p w14:paraId="5FC08210">
      <w:pPr>
        <w:pageBreakBefore w:val="0"/>
        <w:kinsoku/>
        <w:wordWrap w:val="0"/>
        <w:overflowPunct/>
        <w:topLinePunct w:val="0"/>
        <w:bidi w:val="0"/>
        <w:snapToGrid/>
        <w:spacing w:line="336" w:lineRule="auto"/>
        <w:ind w:firstLine="482" w:firstLineChars="200"/>
        <w:textAlignment w:val="auto"/>
        <w:rPr>
          <w:rFonts w:hint="eastAsia" w:ascii="宋体" w:hAnsi="宋体" w:eastAsia="宋体" w:cs="宋体"/>
          <w:b/>
          <w:sz w:val="24"/>
          <w:szCs w:val="24"/>
        </w:rPr>
      </w:pPr>
      <w:bookmarkStart w:id="43" w:name="_Toc4184"/>
      <w:bookmarkStart w:id="44" w:name="_Toc26331"/>
      <w:bookmarkStart w:id="45" w:name="_Toc260"/>
      <w:bookmarkStart w:id="46" w:name="_Toc54632637"/>
      <w:bookmarkStart w:id="47" w:name="_Toc58406246"/>
      <w:r>
        <w:rPr>
          <w:rFonts w:hint="eastAsia" w:ascii="宋体" w:hAnsi="宋体" w:eastAsia="宋体" w:cs="宋体"/>
          <w:b/>
          <w:sz w:val="24"/>
          <w:szCs w:val="24"/>
        </w:rPr>
        <w:t>7.截标及开标时间：</w:t>
      </w:r>
      <w:bookmarkEnd w:id="43"/>
      <w:bookmarkEnd w:id="44"/>
      <w:bookmarkEnd w:id="45"/>
      <w:bookmarkEnd w:id="46"/>
      <w:bookmarkEnd w:id="47"/>
    </w:p>
    <w:p w14:paraId="2B7808F1">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bookmarkStart w:id="48" w:name="_Toc5776"/>
      <w:bookmarkStart w:id="49" w:name="_Toc24008"/>
      <w:bookmarkStart w:id="50" w:name="_Toc54632638"/>
      <w:bookmarkStart w:id="51" w:name="_Toc58406247"/>
      <w:bookmarkStart w:id="52" w:name="_Toc8804"/>
      <w:r>
        <w:rPr>
          <w:rFonts w:hint="eastAsia" w:ascii="宋体" w:hAnsi="宋体" w:eastAsia="宋体" w:cs="宋体"/>
          <w:sz w:val="24"/>
          <w:szCs w:val="24"/>
        </w:rPr>
        <w:t>响应文件上传时间：2025年0</w:t>
      </w:r>
      <w:r>
        <w:rPr>
          <w:rFonts w:hint="eastAsia" w:ascii="宋体" w:hAnsi="宋体" w:eastAsia="宋体" w:cs="宋体"/>
          <w:sz w:val="24"/>
          <w:szCs w:val="24"/>
          <w:lang w:val="en-US" w:eastAsia="zh-CN"/>
        </w:rPr>
        <w:t>8</w:t>
      </w:r>
      <w:r>
        <w:rPr>
          <w:rFonts w:hint="eastAsia" w:ascii="宋体" w:hAnsi="宋体" w:eastAsia="宋体" w:cs="宋体"/>
          <w:sz w:val="24"/>
          <w:szCs w:val="24"/>
        </w:rPr>
        <w:t>月</w:t>
      </w:r>
      <w:r>
        <w:rPr>
          <w:rFonts w:hint="eastAsia" w:ascii="宋体" w:hAnsi="宋体" w:eastAsia="宋体" w:cs="宋体"/>
          <w:sz w:val="24"/>
          <w:szCs w:val="24"/>
          <w:lang w:val="en-US" w:eastAsia="zh-CN"/>
        </w:rPr>
        <w:t>12</w:t>
      </w:r>
      <w:r>
        <w:rPr>
          <w:rFonts w:hint="eastAsia" w:ascii="宋体" w:hAnsi="宋体" w:eastAsia="宋体" w:cs="宋体"/>
          <w:sz w:val="24"/>
          <w:szCs w:val="24"/>
        </w:rPr>
        <w:t>日上午09:00～2025年0</w:t>
      </w:r>
      <w:r>
        <w:rPr>
          <w:rFonts w:hint="eastAsia" w:ascii="宋体" w:hAnsi="宋体" w:eastAsia="宋体" w:cs="宋体"/>
          <w:sz w:val="24"/>
          <w:szCs w:val="24"/>
          <w:lang w:val="en-US" w:eastAsia="zh-CN"/>
        </w:rPr>
        <w:t>8</w:t>
      </w:r>
      <w:r>
        <w:rPr>
          <w:rFonts w:hint="eastAsia" w:ascii="宋体" w:hAnsi="宋体" w:eastAsia="宋体" w:cs="宋体"/>
          <w:sz w:val="24"/>
          <w:szCs w:val="24"/>
        </w:rPr>
        <w:t>月</w:t>
      </w:r>
      <w:r>
        <w:rPr>
          <w:rFonts w:hint="eastAsia" w:ascii="宋体" w:hAnsi="宋体" w:eastAsia="宋体" w:cs="宋体"/>
          <w:sz w:val="24"/>
          <w:szCs w:val="24"/>
          <w:lang w:val="en-US" w:eastAsia="zh-CN"/>
        </w:rPr>
        <w:t>14</w:t>
      </w:r>
      <w:r>
        <w:rPr>
          <w:rFonts w:hint="eastAsia" w:ascii="宋体" w:hAnsi="宋体" w:eastAsia="宋体" w:cs="宋体"/>
          <w:sz w:val="24"/>
          <w:szCs w:val="24"/>
        </w:rPr>
        <w:t>日上午9:00</w:t>
      </w:r>
    </w:p>
    <w:p w14:paraId="6B95EFD5">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竞标报价截止时间：</w:t>
      </w:r>
      <w:r>
        <w:rPr>
          <w:rFonts w:hint="eastAsia" w:ascii="宋体" w:hAnsi="宋体" w:eastAsia="宋体" w:cs="宋体"/>
          <w:sz w:val="24"/>
          <w:szCs w:val="24"/>
          <w:lang w:eastAsia="zh-CN"/>
        </w:rPr>
        <w:t>2025年08月20日</w:t>
      </w:r>
      <w:r>
        <w:rPr>
          <w:rFonts w:hint="eastAsia" w:ascii="宋体" w:hAnsi="宋体" w:eastAsia="宋体" w:cs="宋体"/>
          <w:sz w:val="24"/>
          <w:szCs w:val="24"/>
        </w:rPr>
        <w:t>上午9:00</w:t>
      </w:r>
    </w:p>
    <w:p w14:paraId="5ED5B5BB">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开标时间：</w:t>
      </w:r>
      <w:r>
        <w:rPr>
          <w:rFonts w:hint="eastAsia" w:ascii="宋体" w:hAnsi="宋体" w:eastAsia="宋体" w:cs="宋体"/>
          <w:sz w:val="24"/>
          <w:szCs w:val="24"/>
          <w:lang w:eastAsia="zh-CN"/>
        </w:rPr>
        <w:t>2025年08月20日</w:t>
      </w:r>
      <w:r>
        <w:rPr>
          <w:rFonts w:hint="eastAsia" w:ascii="宋体" w:hAnsi="宋体" w:eastAsia="宋体" w:cs="宋体"/>
          <w:sz w:val="24"/>
          <w:szCs w:val="24"/>
        </w:rPr>
        <w:t>上午9:00</w:t>
      </w:r>
    </w:p>
    <w:p w14:paraId="165CFFFC">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商务、技术、经济标签到、解密时间：</w:t>
      </w:r>
      <w:r>
        <w:rPr>
          <w:rFonts w:hint="eastAsia" w:ascii="宋体" w:hAnsi="宋体" w:eastAsia="宋体" w:cs="宋体"/>
          <w:sz w:val="24"/>
          <w:szCs w:val="24"/>
          <w:lang w:eastAsia="zh-CN"/>
        </w:rPr>
        <w:t>2025年08月20日</w:t>
      </w:r>
      <w:r>
        <w:rPr>
          <w:rFonts w:hint="eastAsia" w:ascii="宋体" w:hAnsi="宋体" w:eastAsia="宋体" w:cs="宋体"/>
          <w:sz w:val="24"/>
          <w:szCs w:val="24"/>
        </w:rPr>
        <w:t>上午9:00</w:t>
      </w:r>
    </w:p>
    <w:p w14:paraId="2946534B">
      <w:pPr>
        <w:keepNext/>
        <w:keepLines/>
        <w:pageBreakBefore w:val="0"/>
        <w:kinsoku/>
        <w:wordWrap w:val="0"/>
        <w:overflowPunct/>
        <w:topLinePunct w:val="0"/>
        <w:bidi w:val="0"/>
        <w:snapToGrid/>
        <w:spacing w:line="336"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8.解密方式及截标开标地点：</w:t>
      </w:r>
      <w:bookmarkEnd w:id="48"/>
      <w:bookmarkEnd w:id="49"/>
      <w:bookmarkEnd w:id="50"/>
      <w:bookmarkEnd w:id="51"/>
      <w:bookmarkEnd w:id="52"/>
    </w:p>
    <w:p w14:paraId="49A991FF">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bookmarkStart w:id="53" w:name="_Toc15241"/>
      <w:r>
        <w:rPr>
          <w:rFonts w:hint="eastAsia" w:ascii="宋体" w:hAnsi="宋体" w:eastAsia="宋体" w:cs="宋体"/>
          <w:sz w:val="24"/>
          <w:szCs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4909DC6C">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开标现场地点：内蒙古产权交易中心有限责任公司开标室</w:t>
      </w:r>
    </w:p>
    <w:p w14:paraId="4D06318F">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地址：呼和浩特市赛罕区阿吉泰路3号</w:t>
      </w:r>
    </w:p>
    <w:p w14:paraId="15206525">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如果截标或开标时间及地点有改变，代理机构将提前通知，逾期提交的响应文件将不予受理，不接受邮寄方式提交响应文件。</w:t>
      </w:r>
    </w:p>
    <w:p w14:paraId="345A7CAB">
      <w:pPr>
        <w:pageBreakBefore w:val="0"/>
        <w:kinsoku/>
        <w:wordWrap w:val="0"/>
        <w:overflowPunct/>
        <w:topLinePunct w:val="0"/>
        <w:bidi w:val="0"/>
        <w:snapToGrid/>
        <w:spacing w:line="336" w:lineRule="auto"/>
        <w:ind w:firstLine="482" w:firstLineChars="200"/>
        <w:textAlignment w:val="auto"/>
        <w:rPr>
          <w:rFonts w:hint="eastAsia" w:ascii="宋体" w:hAnsi="宋体" w:eastAsia="宋体" w:cs="宋体"/>
          <w:b/>
          <w:sz w:val="24"/>
          <w:szCs w:val="24"/>
        </w:rPr>
      </w:pPr>
      <w:bookmarkStart w:id="54" w:name="_Toc23124"/>
      <w:bookmarkStart w:id="55" w:name="_Toc54632639"/>
      <w:bookmarkStart w:id="56" w:name="_Toc18343"/>
      <w:bookmarkStart w:id="57" w:name="_Toc58406248"/>
      <w:r>
        <w:rPr>
          <w:rFonts w:hint="eastAsia" w:ascii="宋体" w:hAnsi="宋体" w:eastAsia="宋体" w:cs="宋体"/>
          <w:b/>
          <w:sz w:val="24"/>
          <w:szCs w:val="24"/>
        </w:rPr>
        <w:t>9.采购费用：</w:t>
      </w:r>
      <w:bookmarkEnd w:id="53"/>
      <w:bookmarkEnd w:id="54"/>
      <w:bookmarkEnd w:id="55"/>
      <w:bookmarkEnd w:id="56"/>
      <w:bookmarkEnd w:id="57"/>
    </w:p>
    <w:p w14:paraId="05B746F2">
      <w:pPr>
        <w:pageBreakBefore w:val="0"/>
        <w:kinsoku/>
        <w:wordWrap w:val="0"/>
        <w:overflowPunct/>
        <w:topLinePunct w:val="0"/>
        <w:bidi w:val="0"/>
        <w:snapToGrid/>
        <w:spacing w:line="336" w:lineRule="auto"/>
        <w:ind w:firstLine="480" w:firstLineChars="200"/>
        <w:textAlignment w:val="auto"/>
        <w:rPr>
          <w:rFonts w:hint="eastAsia" w:ascii="宋体" w:hAnsi="宋体" w:eastAsia="宋体" w:cs="宋体"/>
          <w:sz w:val="24"/>
          <w:szCs w:val="24"/>
        </w:rPr>
      </w:pPr>
      <w:bookmarkStart w:id="58" w:name="_Toc495645075"/>
      <w:bookmarkStart w:id="59" w:name="_Toc13484"/>
      <w:r>
        <w:rPr>
          <w:rFonts w:hint="eastAsia" w:ascii="宋体" w:hAnsi="宋体" w:eastAsia="宋体" w:cs="宋体"/>
          <w:sz w:val="24"/>
          <w:szCs w:val="24"/>
        </w:rPr>
        <w:t>9.1平台使用费：本项目采用全流程电子招投标，每标段每家供应商需（在线下载采购文件后，上传响应文件前）在线向电子交易平台缴纳电子投标服务费。</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8"/>
        <w:gridCol w:w="3630"/>
      </w:tblGrid>
      <w:tr w14:paraId="2967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588" w:type="dxa"/>
            <w:vAlign w:val="center"/>
          </w:tcPr>
          <w:p w14:paraId="2C60FF4F">
            <w:pPr>
              <w:pageBreakBefore w:val="0"/>
              <w:kinsoku/>
              <w:wordWrap w:val="0"/>
              <w:overflowPunct/>
              <w:topLinePunct w:val="0"/>
              <w:bidi w:val="0"/>
              <w:snapToGrid/>
              <w:jc w:val="center"/>
              <w:rPr>
                <w:rFonts w:hint="eastAsia" w:ascii="宋体" w:hAnsi="宋体" w:eastAsia="宋体" w:cs="宋体"/>
                <w:sz w:val="24"/>
                <w:szCs w:val="24"/>
              </w:rPr>
            </w:pPr>
            <w:r>
              <w:rPr>
                <w:rFonts w:hint="eastAsia" w:ascii="宋体" w:hAnsi="宋体" w:eastAsia="宋体" w:cs="宋体"/>
                <w:sz w:val="24"/>
                <w:szCs w:val="24"/>
              </w:rPr>
              <w:t>招标类型</w:t>
            </w:r>
          </w:p>
        </w:tc>
        <w:tc>
          <w:tcPr>
            <w:tcW w:w="3630" w:type="dxa"/>
            <w:vAlign w:val="center"/>
          </w:tcPr>
          <w:p w14:paraId="4329A7CF">
            <w:pPr>
              <w:pageBreakBefore w:val="0"/>
              <w:kinsoku/>
              <w:wordWrap w:val="0"/>
              <w:overflowPunct/>
              <w:topLinePunct w:val="0"/>
              <w:bidi w:val="0"/>
              <w:snapToGrid/>
              <w:jc w:val="center"/>
              <w:rPr>
                <w:rFonts w:hint="eastAsia" w:ascii="宋体" w:hAnsi="宋体" w:eastAsia="宋体" w:cs="宋体"/>
                <w:sz w:val="24"/>
                <w:szCs w:val="24"/>
              </w:rPr>
            </w:pPr>
            <w:r>
              <w:rPr>
                <w:rFonts w:hint="eastAsia" w:ascii="宋体" w:hAnsi="宋体" w:eastAsia="宋体" w:cs="宋体"/>
                <w:sz w:val="24"/>
                <w:szCs w:val="24"/>
              </w:rPr>
              <w:t>平台使用费</w:t>
            </w:r>
          </w:p>
        </w:tc>
      </w:tr>
      <w:tr w14:paraId="2EC4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588" w:type="dxa"/>
            <w:vAlign w:val="center"/>
          </w:tcPr>
          <w:p w14:paraId="2AEDF734">
            <w:pPr>
              <w:pageBreakBefore w:val="0"/>
              <w:kinsoku/>
              <w:wordWrap w:val="0"/>
              <w:overflowPunct/>
              <w:topLinePunct w:val="0"/>
              <w:bidi w:val="0"/>
              <w:snapToGrid/>
              <w:jc w:val="center"/>
              <w:rPr>
                <w:rFonts w:hint="eastAsia" w:ascii="宋体" w:hAnsi="宋体" w:eastAsia="宋体" w:cs="宋体"/>
                <w:sz w:val="24"/>
                <w:szCs w:val="24"/>
              </w:rPr>
            </w:pPr>
            <w:r>
              <w:rPr>
                <w:rFonts w:hint="eastAsia" w:ascii="宋体" w:hAnsi="宋体" w:eastAsia="宋体" w:cs="宋体"/>
                <w:sz w:val="24"/>
                <w:szCs w:val="24"/>
              </w:rPr>
              <w:t>招标项目</w:t>
            </w:r>
          </w:p>
        </w:tc>
        <w:tc>
          <w:tcPr>
            <w:tcW w:w="3630" w:type="dxa"/>
            <w:vAlign w:val="center"/>
          </w:tcPr>
          <w:p w14:paraId="3891E4BB">
            <w:pPr>
              <w:pageBreakBefore w:val="0"/>
              <w:kinsoku/>
              <w:wordWrap w:val="0"/>
              <w:overflowPunct/>
              <w:topLinePunct w:val="0"/>
              <w:bidi w:val="0"/>
              <w:snapToGrid/>
              <w:jc w:val="center"/>
              <w:rPr>
                <w:rFonts w:hint="eastAsia" w:ascii="宋体" w:hAnsi="宋体" w:eastAsia="宋体" w:cs="宋体"/>
                <w:sz w:val="24"/>
                <w:szCs w:val="24"/>
              </w:rPr>
            </w:pPr>
            <w:r>
              <w:rPr>
                <w:rFonts w:hint="eastAsia" w:ascii="宋体" w:hAnsi="宋体" w:eastAsia="宋体" w:cs="宋体"/>
                <w:sz w:val="24"/>
                <w:szCs w:val="24"/>
              </w:rPr>
              <w:t>400元/标段/次</w:t>
            </w:r>
          </w:p>
        </w:tc>
      </w:tr>
      <w:tr w14:paraId="4C351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588" w:type="dxa"/>
            <w:vAlign w:val="center"/>
          </w:tcPr>
          <w:p w14:paraId="7AC4CC81">
            <w:pPr>
              <w:pageBreakBefore w:val="0"/>
              <w:kinsoku/>
              <w:wordWrap w:val="0"/>
              <w:overflowPunct/>
              <w:topLinePunct w:val="0"/>
              <w:bidi w:val="0"/>
              <w:snapToGrid/>
              <w:jc w:val="center"/>
              <w:rPr>
                <w:rFonts w:hint="eastAsia" w:ascii="宋体" w:hAnsi="宋体" w:eastAsia="宋体" w:cs="宋体"/>
                <w:sz w:val="24"/>
                <w:szCs w:val="24"/>
              </w:rPr>
            </w:pPr>
            <w:r>
              <w:rPr>
                <w:rFonts w:hint="eastAsia" w:ascii="宋体" w:hAnsi="宋体" w:eastAsia="宋体" w:cs="宋体"/>
                <w:sz w:val="24"/>
                <w:szCs w:val="24"/>
              </w:rPr>
              <w:t>非招标项目</w:t>
            </w:r>
          </w:p>
        </w:tc>
        <w:tc>
          <w:tcPr>
            <w:tcW w:w="3630" w:type="dxa"/>
            <w:vAlign w:val="center"/>
          </w:tcPr>
          <w:p w14:paraId="601D69AA">
            <w:pPr>
              <w:pageBreakBefore w:val="0"/>
              <w:kinsoku/>
              <w:wordWrap w:val="0"/>
              <w:overflowPunct/>
              <w:topLinePunct w:val="0"/>
              <w:bidi w:val="0"/>
              <w:snapToGrid/>
              <w:jc w:val="center"/>
              <w:rPr>
                <w:rFonts w:hint="eastAsia" w:ascii="宋体" w:hAnsi="宋体" w:eastAsia="宋体" w:cs="宋体"/>
                <w:sz w:val="24"/>
                <w:szCs w:val="24"/>
              </w:rPr>
            </w:pPr>
            <w:r>
              <w:rPr>
                <w:rFonts w:hint="eastAsia" w:ascii="宋体" w:hAnsi="宋体" w:eastAsia="宋体" w:cs="宋体"/>
                <w:sz w:val="24"/>
                <w:szCs w:val="24"/>
              </w:rPr>
              <w:t>300元/标段/次</w:t>
            </w:r>
          </w:p>
        </w:tc>
      </w:tr>
    </w:tbl>
    <w:p w14:paraId="6E2954B7">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9.2场所服务费收取标准</w:t>
      </w:r>
    </w:p>
    <w:p w14:paraId="20AC67AD">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7B0E654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9.2.1以成交金额为基数，按1‰标准向成交供应商收取场所服务费，不足500元的按500元统一收取。</w:t>
      </w:r>
    </w:p>
    <w:p w14:paraId="4D40E5D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9.2.2入围、框架类、单价类等无固定成交总价的项目，按1000元/家的标准向成交供应商收取场所服务费。</w:t>
      </w:r>
    </w:p>
    <w:p w14:paraId="53355B6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9.2.3场所服务费缴纳方式为公对公转账，汇款信息如下：</w:t>
      </w:r>
    </w:p>
    <w:p w14:paraId="0D37ECAA">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收款单位名称：内蒙古产权交易中心有限责任公司</w:t>
      </w:r>
    </w:p>
    <w:p w14:paraId="52ED4F2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开户行：华夏银行呼和浩特分行营业部</w:t>
      </w:r>
    </w:p>
    <w:p w14:paraId="677D3B0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号：5830200001819100031131 </w:t>
      </w:r>
    </w:p>
    <w:p w14:paraId="3FBE67B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行  号：304191001951</w:t>
      </w:r>
    </w:p>
    <w:p w14:paraId="6851534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9.2.4交易场所：内蒙古产权交易中心有限责任公司</w:t>
      </w:r>
    </w:p>
    <w:p w14:paraId="498F3C7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地址:内蒙古呼和浩特市赛罕区阿吉泰路3号</w:t>
      </w:r>
    </w:p>
    <w:p w14:paraId="4D727E3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项目负责人:董政</w:t>
      </w:r>
    </w:p>
    <w:p w14:paraId="1842953F">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开票咨询:0471-3477645</w:t>
      </w:r>
    </w:p>
    <w:p w14:paraId="0015DFC6">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9.3中标服务费：中标服务费由中标人支付，中标人须向采购代理代理机构按如下标准和规定交纳中标服务费。</w:t>
      </w:r>
    </w:p>
    <w:p w14:paraId="08584327">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3FBA9EB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（2）中标服务费支付方式：采购完成，发出中标通知书前一次性支付。</w:t>
      </w:r>
    </w:p>
    <w:p w14:paraId="6A2A046F">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（3）中标服务费交纳形式：电汇、银行转账、现金均可。</w:t>
      </w:r>
    </w:p>
    <w:p w14:paraId="03970CCC">
      <w:pPr>
        <w:pageBreakBefore w:val="0"/>
        <w:kinsoku/>
        <w:wordWrap w:val="0"/>
        <w:overflowPunct/>
        <w:topLinePunct w:val="0"/>
        <w:bidi w:val="0"/>
        <w:snapToGrid/>
        <w:spacing w:line="336" w:lineRule="auto"/>
        <w:ind w:firstLine="482" w:firstLineChars="200"/>
        <w:rPr>
          <w:rFonts w:hint="eastAsia" w:ascii="宋体" w:hAnsi="宋体" w:eastAsia="宋体" w:cs="宋体"/>
          <w:b/>
          <w:sz w:val="24"/>
          <w:szCs w:val="24"/>
        </w:rPr>
      </w:pPr>
      <w:bookmarkStart w:id="60" w:name="_Toc32527"/>
      <w:bookmarkStart w:id="61" w:name="_Toc8695"/>
      <w:bookmarkStart w:id="62" w:name="_Toc54632640"/>
      <w:bookmarkStart w:id="63" w:name="_Toc58406249"/>
      <w:r>
        <w:rPr>
          <w:rFonts w:hint="eastAsia" w:ascii="宋体" w:hAnsi="宋体" w:eastAsia="宋体" w:cs="宋体"/>
          <w:b/>
          <w:sz w:val="24"/>
          <w:szCs w:val="24"/>
        </w:rPr>
        <w:t>10.发布公告的媒介</w:t>
      </w:r>
      <w:bookmarkEnd w:id="58"/>
      <w:bookmarkEnd w:id="59"/>
      <w:bookmarkEnd w:id="60"/>
      <w:bookmarkEnd w:id="61"/>
      <w:bookmarkEnd w:id="62"/>
      <w:bookmarkEnd w:id="63"/>
    </w:p>
    <w:p w14:paraId="78E13F1C">
      <w:pPr>
        <w:pageBreakBefore w:val="0"/>
        <w:kinsoku/>
        <w:wordWrap w:val="0"/>
        <w:overflowPunct/>
        <w:topLinePunct w:val="0"/>
        <w:bidi w:val="0"/>
        <w:snapToGrid/>
        <w:spacing w:line="336" w:lineRule="auto"/>
        <w:ind w:firstLine="456" w:firstLineChars="200"/>
        <w:rPr>
          <w:rFonts w:hint="eastAsia" w:ascii="宋体" w:hAnsi="宋体" w:eastAsia="宋体" w:cs="宋体"/>
          <w:sz w:val="24"/>
          <w:szCs w:val="24"/>
        </w:rPr>
      </w:pPr>
      <w:r>
        <w:rPr>
          <w:rFonts w:hint="eastAsia" w:ascii="宋体" w:hAnsi="宋体" w:eastAsia="宋体" w:cs="宋体"/>
          <w:spacing w:val="-6"/>
          <w:sz w:val="24"/>
          <w:szCs w:val="24"/>
        </w:rPr>
        <w:t>本次采购文件同时在内蒙古招标投标公共服务平台（http://zbgg.nmgztb.com.cn）、中国招标投标公共服务平台网（www.cebpubservice.com）、《 内蒙古电力集团电子采购系统》（http://guocai-impc.cppchina.cn/）</w:t>
      </w:r>
      <w:r>
        <w:rPr>
          <w:rFonts w:hint="eastAsia" w:ascii="宋体" w:hAnsi="宋体" w:eastAsia="宋体" w:cs="宋体"/>
          <w:sz w:val="24"/>
          <w:szCs w:val="24"/>
        </w:rPr>
        <w:t>上发布。其它媒介转发无效。</w:t>
      </w:r>
    </w:p>
    <w:p w14:paraId="192AA568">
      <w:pPr>
        <w:pageBreakBefore w:val="0"/>
        <w:kinsoku/>
        <w:wordWrap w:val="0"/>
        <w:overflowPunct/>
        <w:topLinePunct w:val="0"/>
        <w:bidi w:val="0"/>
        <w:snapToGrid/>
        <w:spacing w:line="336" w:lineRule="auto"/>
        <w:ind w:firstLine="482" w:firstLineChars="200"/>
        <w:rPr>
          <w:rFonts w:hint="eastAsia" w:ascii="宋体" w:hAnsi="宋体" w:eastAsia="宋体" w:cs="宋体"/>
          <w:b/>
          <w:bCs/>
          <w:sz w:val="24"/>
          <w:szCs w:val="24"/>
        </w:rPr>
      </w:pPr>
    </w:p>
    <w:p w14:paraId="18DF4AF8">
      <w:pPr>
        <w:pageBreakBefore w:val="0"/>
        <w:kinsoku/>
        <w:wordWrap w:val="0"/>
        <w:overflowPunct/>
        <w:topLinePunct w:val="0"/>
        <w:bidi w:val="0"/>
        <w:snapToGrid/>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11.联系方式</w:t>
      </w:r>
    </w:p>
    <w:p w14:paraId="02E2EE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4AD58D8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7B6DF5D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77B71FE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670A8E6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57C1868E">
      <w:pPr>
        <w:pageBreakBefore w:val="0"/>
        <w:kinsoku/>
        <w:wordWrap w:val="0"/>
        <w:overflowPunct/>
        <w:topLinePunct w:val="0"/>
        <w:bidi w:val="0"/>
        <w:snapToGrid/>
        <w:spacing w:line="336" w:lineRule="auto"/>
        <w:rPr>
          <w:rFonts w:hint="eastAsia"/>
        </w:rPr>
      </w:pPr>
    </w:p>
    <w:p w14:paraId="708C8DED">
      <w:pPr>
        <w:pStyle w:val="2"/>
        <w:pageBreakBefore w:val="0"/>
        <w:kinsoku/>
        <w:wordWrap w:val="0"/>
        <w:overflowPunct/>
        <w:topLinePunct w:val="0"/>
        <w:bidi w:val="0"/>
        <w:snapToGrid/>
        <w:spacing w:line="336" w:lineRule="auto"/>
        <w:rPr>
          <w:rFonts w:hint="eastAsia" w:ascii="宋体" w:hAnsi="宋体" w:cs="宋体"/>
          <w:sz w:val="24"/>
          <w:szCs w:val="24"/>
        </w:rPr>
      </w:pPr>
    </w:p>
    <w:p w14:paraId="1F5B32A3">
      <w:pPr>
        <w:pStyle w:val="2"/>
        <w:pageBreakBefore w:val="0"/>
        <w:kinsoku/>
        <w:wordWrap w:val="0"/>
        <w:overflowPunct/>
        <w:topLinePunct w:val="0"/>
        <w:bidi w:val="0"/>
        <w:snapToGrid/>
        <w:ind w:left="0" w:firstLine="0"/>
        <w:jc w:val="right"/>
        <w:rPr>
          <w:rFonts w:ascii="宋体" w:hAnsi="宋体" w:cs="宋体"/>
          <w:b w:val="0"/>
          <w:bCs w:val="0"/>
          <w:kern w:val="2"/>
          <w:sz w:val="24"/>
          <w:szCs w:val="24"/>
        </w:rPr>
      </w:pPr>
      <w:r>
        <w:rPr>
          <w:rFonts w:hint="eastAsia" w:ascii="宋体" w:hAnsi="宋体" w:cs="宋体"/>
          <w:b w:val="0"/>
          <w:bCs w:val="0"/>
          <w:kern w:val="2"/>
          <w:sz w:val="24"/>
          <w:szCs w:val="24"/>
        </w:rPr>
        <w:t>2025年</w:t>
      </w:r>
      <w:r>
        <w:rPr>
          <w:rFonts w:hint="eastAsia" w:ascii="宋体" w:hAnsi="宋体" w:cs="宋体"/>
          <w:b w:val="0"/>
          <w:bCs w:val="0"/>
          <w:kern w:val="2"/>
          <w:sz w:val="24"/>
          <w:szCs w:val="24"/>
          <w:lang w:val="en-US" w:eastAsia="zh-CN"/>
        </w:rPr>
        <w:t>8</w:t>
      </w:r>
      <w:r>
        <w:rPr>
          <w:rFonts w:hint="eastAsia" w:ascii="宋体" w:hAnsi="宋体" w:cs="宋体"/>
          <w:b w:val="0"/>
          <w:bCs w:val="0"/>
          <w:kern w:val="2"/>
          <w:sz w:val="24"/>
          <w:szCs w:val="24"/>
        </w:rPr>
        <w:t>月</w:t>
      </w:r>
      <w:r>
        <w:rPr>
          <w:rFonts w:hint="eastAsia" w:ascii="宋体" w:hAnsi="宋体" w:cs="宋体"/>
          <w:b w:val="0"/>
          <w:bCs w:val="0"/>
          <w:kern w:val="2"/>
          <w:sz w:val="24"/>
          <w:szCs w:val="24"/>
          <w:lang w:val="en-US" w:eastAsia="zh-CN"/>
        </w:rPr>
        <w:t>11</w:t>
      </w:r>
      <w:r>
        <w:rPr>
          <w:rFonts w:hint="eastAsia" w:ascii="宋体" w:hAnsi="宋体" w:cs="宋体"/>
          <w:b w:val="0"/>
          <w:bCs w:val="0"/>
          <w:kern w:val="2"/>
          <w:sz w:val="24"/>
          <w:szCs w:val="24"/>
        </w:rPr>
        <w:t>日</w:t>
      </w:r>
    </w:p>
    <w:p w14:paraId="1D2B934E">
      <w:pPr>
        <w:pageBreakBefore w:val="0"/>
        <w:kinsoku/>
        <w:wordWrap w:val="0"/>
        <w:overflowPunct/>
        <w:topLinePunct w:val="0"/>
        <w:bidi w:val="0"/>
        <w:snapToGrid/>
      </w:pPr>
    </w:p>
    <w:sectPr>
      <w:pgSz w:w="11906" w:h="16838"/>
      <w:pgMar w:top="1134" w:right="1134" w:bottom="1134" w:left="1134"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AF5F"/>
    <w:multiLevelType w:val="singleLevel"/>
    <w:tmpl w:val="5A4DAF5F"/>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4C209D"/>
    <w:rsid w:val="004C209D"/>
    <w:rsid w:val="00B701F4"/>
    <w:rsid w:val="38407CBB"/>
    <w:rsid w:val="7B2E1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qFormat="1" w:unhideWhenUsed="0"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仿宋_GB2312" w:hAnsi="Times New Roman" w:eastAsia="仿宋_GB2312" w:cs="Times New Roman"/>
      <w:kern w:val="2"/>
      <w:sz w:val="34"/>
      <w:szCs w:val="20"/>
      <w:lang w:val="en-US" w:eastAsia="zh-CN" w:bidi="ar-SA"/>
      <w14:ligatures w14:val="none"/>
    </w:rPr>
  </w:style>
  <w:style w:type="paragraph" w:styleId="8">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9">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10">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11">
    <w:name w:val="heading 4"/>
    <w:basedOn w:val="1"/>
    <w:next w:val="1"/>
    <w:link w:val="25"/>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12">
    <w:name w:val="heading 5"/>
    <w:basedOn w:val="1"/>
    <w:next w:val="1"/>
    <w:link w:val="26"/>
    <w:semiHidden/>
    <w:unhideWhenUsed/>
    <w:qFormat/>
    <w:uiPriority w:val="9"/>
    <w:pPr>
      <w:keepNext/>
      <w:keepLines/>
      <w:spacing w:before="80" w:after="40"/>
      <w:outlineLvl w:val="4"/>
    </w:pPr>
    <w:rPr>
      <w:rFonts w:cstheme="majorBidi"/>
      <w:color w:val="2F5597" w:themeColor="accent1" w:themeShade="BF"/>
      <w:sz w:val="24"/>
    </w:rPr>
  </w:style>
  <w:style w:type="paragraph" w:styleId="13">
    <w:name w:val="heading 6"/>
    <w:basedOn w:val="1"/>
    <w:next w:val="1"/>
    <w:link w:val="27"/>
    <w:semiHidden/>
    <w:unhideWhenUsed/>
    <w:qFormat/>
    <w:uiPriority w:val="9"/>
    <w:pPr>
      <w:keepNext/>
      <w:keepLines/>
      <w:spacing w:before="40"/>
      <w:outlineLvl w:val="5"/>
    </w:pPr>
    <w:rPr>
      <w:rFonts w:cstheme="majorBidi"/>
      <w:b/>
      <w:bCs/>
      <w:color w:val="2F5597" w:themeColor="accent1" w:themeShade="BF"/>
    </w:rPr>
  </w:style>
  <w:style w:type="paragraph" w:styleId="14">
    <w:name w:val="heading 7"/>
    <w:basedOn w:val="1"/>
    <w:next w:val="1"/>
    <w:link w:val="28"/>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5">
    <w:name w:val="heading 8"/>
    <w:basedOn w:val="1"/>
    <w:next w:val="1"/>
    <w:link w:val="29"/>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6">
    <w:name w:val="heading 9"/>
    <w:basedOn w:val="1"/>
    <w:next w:val="1"/>
    <w:link w:val="30"/>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6"/>
    <w:link w:val="41"/>
    <w:semiHidden/>
    <w:qFormat/>
    <w:uiPriority w:val="0"/>
    <w:pPr>
      <w:ind w:leftChars="0" w:firstLine="420"/>
    </w:pPr>
    <w:rPr>
      <w:rFonts w:ascii="Calibri" w:hAnsi="Calibri" w:eastAsia="宋体"/>
      <w:b/>
      <w:bCs/>
      <w:kern w:val="44"/>
      <w:sz w:val="44"/>
      <w:szCs w:val="44"/>
    </w:rPr>
  </w:style>
  <w:style w:type="paragraph" w:styleId="3">
    <w:name w:val="Body Text Indent"/>
    <w:basedOn w:val="1"/>
    <w:next w:val="4"/>
    <w:link w:val="40"/>
    <w:semiHidden/>
    <w:unhideWhenUsed/>
    <w:qFormat/>
    <w:uiPriority w:val="99"/>
    <w:pPr>
      <w:spacing w:after="120"/>
      <w:ind w:left="420" w:leftChars="200"/>
    </w:pPr>
  </w:style>
  <w:style w:type="paragraph" w:customStyle="1" w:styleId="4">
    <w:name w:val="p16"/>
    <w:basedOn w:val="1"/>
    <w:next w:val="5"/>
    <w:qFormat/>
    <w:uiPriority w:val="0"/>
    <w:pPr>
      <w:widowControl/>
    </w:pPr>
    <w:rPr>
      <w:rFonts w:ascii="Calibri" w:hAnsi="Calibri" w:cs="宋体"/>
      <w:kern w:val="0"/>
      <w:szCs w:val="21"/>
    </w:rPr>
  </w:style>
  <w:style w:type="paragraph" w:styleId="5">
    <w:name w:val="toc 2"/>
    <w:basedOn w:val="1"/>
    <w:next w:val="1"/>
    <w:qFormat/>
    <w:uiPriority w:val="39"/>
    <w:pPr>
      <w:ind w:left="420" w:leftChars="200"/>
    </w:pPr>
  </w:style>
  <w:style w:type="paragraph" w:styleId="6">
    <w:name w:val="Body Text First Indent"/>
    <w:basedOn w:val="7"/>
    <w:next w:val="1"/>
    <w:link w:val="44"/>
    <w:semiHidden/>
    <w:unhideWhenUsed/>
    <w:qFormat/>
    <w:uiPriority w:val="99"/>
    <w:pPr>
      <w:ind w:firstLine="420" w:firstLineChars="100"/>
    </w:pPr>
  </w:style>
  <w:style w:type="paragraph" w:styleId="7">
    <w:name w:val="Body Text"/>
    <w:basedOn w:val="1"/>
    <w:link w:val="43"/>
    <w:semiHidden/>
    <w:unhideWhenUsed/>
    <w:qFormat/>
    <w:uiPriority w:val="99"/>
    <w:pPr>
      <w:spacing w:after="120"/>
    </w:pPr>
  </w:style>
  <w:style w:type="paragraph" w:styleId="17">
    <w:name w:val="Normal Indent"/>
    <w:basedOn w:val="1"/>
    <w:link w:val="42"/>
    <w:qFormat/>
    <w:uiPriority w:val="99"/>
    <w:pPr>
      <w:ind w:firstLine="420"/>
    </w:pPr>
  </w:style>
  <w:style w:type="paragraph" w:styleId="18">
    <w:name w:val="Subtitle"/>
    <w:basedOn w:val="1"/>
    <w:next w:val="1"/>
    <w:link w:val="32"/>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2">
    <w:name w:val="标题 1 字符"/>
    <w:basedOn w:val="21"/>
    <w:link w:val="8"/>
    <w:qFormat/>
    <w:uiPriority w:val="9"/>
    <w:rPr>
      <w:rFonts w:asciiTheme="majorHAnsi" w:hAnsiTheme="majorHAnsi" w:eastAsiaTheme="majorEastAsia" w:cstheme="majorBidi"/>
      <w:color w:val="2F5597" w:themeColor="accent1" w:themeShade="BF"/>
      <w:sz w:val="48"/>
      <w:szCs w:val="48"/>
    </w:rPr>
  </w:style>
  <w:style w:type="character" w:customStyle="1" w:styleId="23">
    <w:name w:val="标题 2 字符"/>
    <w:basedOn w:val="21"/>
    <w:link w:val="9"/>
    <w:semiHidden/>
    <w:qFormat/>
    <w:uiPriority w:val="9"/>
    <w:rPr>
      <w:rFonts w:asciiTheme="majorHAnsi" w:hAnsiTheme="majorHAnsi" w:eastAsiaTheme="majorEastAsia" w:cstheme="majorBidi"/>
      <w:color w:val="2F5597" w:themeColor="accent1" w:themeShade="BF"/>
      <w:sz w:val="40"/>
      <w:szCs w:val="40"/>
    </w:rPr>
  </w:style>
  <w:style w:type="character" w:customStyle="1" w:styleId="24">
    <w:name w:val="标题 3 字符"/>
    <w:basedOn w:val="21"/>
    <w:link w:val="10"/>
    <w:semiHidden/>
    <w:qFormat/>
    <w:uiPriority w:val="9"/>
    <w:rPr>
      <w:rFonts w:asciiTheme="majorHAnsi" w:hAnsiTheme="majorHAnsi" w:eastAsiaTheme="majorEastAsia" w:cstheme="majorBidi"/>
      <w:color w:val="2F5597" w:themeColor="accent1" w:themeShade="BF"/>
      <w:sz w:val="32"/>
      <w:szCs w:val="32"/>
    </w:rPr>
  </w:style>
  <w:style w:type="character" w:customStyle="1" w:styleId="25">
    <w:name w:val="标题 4 字符"/>
    <w:basedOn w:val="21"/>
    <w:link w:val="11"/>
    <w:semiHidden/>
    <w:qFormat/>
    <w:uiPriority w:val="9"/>
    <w:rPr>
      <w:rFonts w:cstheme="majorBidi"/>
      <w:color w:val="2F5597" w:themeColor="accent1" w:themeShade="BF"/>
      <w:sz w:val="28"/>
      <w:szCs w:val="28"/>
    </w:rPr>
  </w:style>
  <w:style w:type="character" w:customStyle="1" w:styleId="26">
    <w:name w:val="标题 5 字符"/>
    <w:basedOn w:val="21"/>
    <w:link w:val="12"/>
    <w:semiHidden/>
    <w:qFormat/>
    <w:uiPriority w:val="9"/>
    <w:rPr>
      <w:rFonts w:cstheme="majorBidi"/>
      <w:color w:val="2F5597" w:themeColor="accent1" w:themeShade="BF"/>
      <w:sz w:val="24"/>
    </w:rPr>
  </w:style>
  <w:style w:type="character" w:customStyle="1" w:styleId="27">
    <w:name w:val="标题 6 字符"/>
    <w:basedOn w:val="21"/>
    <w:link w:val="13"/>
    <w:semiHidden/>
    <w:qFormat/>
    <w:uiPriority w:val="9"/>
    <w:rPr>
      <w:rFonts w:cstheme="majorBidi"/>
      <w:b/>
      <w:bCs/>
      <w:color w:val="2F5597" w:themeColor="accent1" w:themeShade="BF"/>
    </w:rPr>
  </w:style>
  <w:style w:type="character" w:customStyle="1" w:styleId="28">
    <w:name w:val="标题 7 字符"/>
    <w:basedOn w:val="21"/>
    <w:link w:val="14"/>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字符"/>
    <w:basedOn w:val="21"/>
    <w:link w:val="15"/>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字符"/>
    <w:basedOn w:val="21"/>
    <w:link w:val="16"/>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字符"/>
    <w:basedOn w:val="21"/>
    <w:link w:val="19"/>
    <w:qFormat/>
    <w:uiPriority w:val="10"/>
    <w:rPr>
      <w:rFonts w:asciiTheme="majorHAnsi" w:hAnsiTheme="majorHAnsi" w:eastAsiaTheme="majorEastAsia" w:cstheme="majorBidi"/>
      <w:spacing w:val="-10"/>
      <w:kern w:val="28"/>
      <w:sz w:val="56"/>
      <w:szCs w:val="56"/>
    </w:rPr>
  </w:style>
  <w:style w:type="character" w:customStyle="1" w:styleId="32">
    <w:name w:val="副标题 字符"/>
    <w:basedOn w:val="21"/>
    <w:link w:val="18"/>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字符"/>
    <w:basedOn w:val="21"/>
    <w:link w:val="33"/>
    <w:qFormat/>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Intense Emphasis"/>
    <w:basedOn w:val="21"/>
    <w:qFormat/>
    <w:uiPriority w:val="21"/>
    <w:rPr>
      <w:i/>
      <w:iCs/>
      <w:color w:val="2F5597" w:themeColor="accent1" w:themeShade="BF"/>
    </w:rPr>
  </w:style>
  <w:style w:type="paragraph" w:styleId="37">
    <w:name w:val="Intense Quote"/>
    <w:basedOn w:val="1"/>
    <w:next w:val="1"/>
    <w:link w:val="38"/>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8">
    <w:name w:val="明显引用 字符"/>
    <w:basedOn w:val="21"/>
    <w:link w:val="37"/>
    <w:qFormat/>
    <w:uiPriority w:val="30"/>
    <w:rPr>
      <w:i/>
      <w:iCs/>
      <w:color w:val="2F5597" w:themeColor="accent1" w:themeShade="BF"/>
    </w:rPr>
  </w:style>
  <w:style w:type="character" w:customStyle="1" w:styleId="39">
    <w:name w:val="Intense Reference"/>
    <w:basedOn w:val="21"/>
    <w:qFormat/>
    <w:uiPriority w:val="32"/>
    <w:rPr>
      <w:b/>
      <w:bCs/>
      <w:smallCaps/>
      <w:color w:val="2F5597" w:themeColor="accent1" w:themeShade="BF"/>
      <w:spacing w:val="5"/>
    </w:rPr>
  </w:style>
  <w:style w:type="character" w:customStyle="1" w:styleId="40">
    <w:name w:val="正文文本缩进 字符"/>
    <w:basedOn w:val="21"/>
    <w:link w:val="3"/>
    <w:semiHidden/>
    <w:qFormat/>
    <w:uiPriority w:val="99"/>
    <w:rPr>
      <w:rFonts w:ascii="仿宋_GB2312" w:hAnsi="Times New Roman" w:eastAsia="仿宋_GB2312" w:cs="Times New Roman"/>
      <w:sz w:val="34"/>
      <w:szCs w:val="20"/>
      <w14:ligatures w14:val="none"/>
    </w:rPr>
  </w:style>
  <w:style w:type="character" w:customStyle="1" w:styleId="41">
    <w:name w:val="正文文本首行缩进 2 字符"/>
    <w:basedOn w:val="40"/>
    <w:link w:val="2"/>
    <w:semiHidden/>
    <w:qFormat/>
    <w:uiPriority w:val="0"/>
    <w:rPr>
      <w:rFonts w:ascii="Calibri" w:hAnsi="Calibri" w:eastAsia="宋体" w:cs="Times New Roman"/>
      <w:b/>
      <w:bCs/>
      <w:kern w:val="44"/>
      <w:sz w:val="44"/>
      <w:szCs w:val="44"/>
      <w14:ligatures w14:val="none"/>
    </w:rPr>
  </w:style>
  <w:style w:type="character" w:customStyle="1" w:styleId="42">
    <w:name w:val="正文缩进 字符"/>
    <w:link w:val="17"/>
    <w:qFormat/>
    <w:uiPriority w:val="99"/>
    <w:rPr>
      <w:rFonts w:ascii="仿宋_GB2312" w:hAnsi="Times New Roman" w:eastAsia="仿宋_GB2312" w:cs="Times New Roman"/>
      <w:sz w:val="34"/>
      <w:szCs w:val="20"/>
      <w14:ligatures w14:val="none"/>
    </w:rPr>
  </w:style>
  <w:style w:type="character" w:customStyle="1" w:styleId="43">
    <w:name w:val="正文文本 字符"/>
    <w:basedOn w:val="21"/>
    <w:link w:val="7"/>
    <w:semiHidden/>
    <w:qFormat/>
    <w:uiPriority w:val="99"/>
    <w:rPr>
      <w:rFonts w:ascii="仿宋_GB2312" w:hAnsi="Times New Roman" w:eastAsia="仿宋_GB2312" w:cs="Times New Roman"/>
      <w:sz w:val="34"/>
      <w:szCs w:val="20"/>
      <w14:ligatures w14:val="none"/>
    </w:rPr>
  </w:style>
  <w:style w:type="character" w:customStyle="1" w:styleId="44">
    <w:name w:val="正文文本首行缩进 字符"/>
    <w:basedOn w:val="43"/>
    <w:link w:val="6"/>
    <w:semiHidden/>
    <w:qFormat/>
    <w:uiPriority w:val="99"/>
    <w:rPr>
      <w:rFonts w:ascii="仿宋_GB2312" w:hAnsi="Times New Roman" w:eastAsia="仿宋_GB2312" w:cs="Times New Roman"/>
      <w:sz w:val="34"/>
      <w:szCs w:val="20"/>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4585</Words>
  <Characters>5403</Characters>
  <Lines>192</Lines>
  <Paragraphs>199</Paragraphs>
  <TotalTime>3</TotalTime>
  <ScaleCrop>false</ScaleCrop>
  <LinksUpToDate>false</LinksUpToDate>
  <CharactersWithSpaces>5429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2025-04-08T07:29:00Z</dcterms:created>
  <dc:creator>立峰 毕</dc:creator>
  <cp:lastModifiedBy>贾博</cp:lastModifiedBy>
  <dcterms:modified xsi:type="dcterms:W3CDTF">2025-08-11T09:35:52Z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469C0E83ADB94FC59C41EBC8C5718A7C_13</vt:lpwstr>
  </property>
</Properties>
</file>