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C3092">
      <w:pPr>
        <w:pageBreakBefore w:val="0"/>
        <w:overflowPunct/>
        <w:bidi w:val="0"/>
        <w:spacing w:beforeAutospacing="0" w:afterAutospacing="0" w:line="520" w:lineRule="exact"/>
        <w:ind w:right="-306" w:rightChars="-90" w:firstLine="420"/>
        <w:rPr>
          <w:rFonts w:hint="eastAsia" w:ascii="宋体" w:hAnsi="宋体" w:eastAsia="宋体" w:cs="宋体"/>
          <w:kern w:val="2"/>
          <w:sz w:val="24"/>
          <w:szCs w:val="24"/>
        </w:rPr>
      </w:pPr>
      <w:r>
        <w:rPr>
          <w:rFonts w:hint="eastAsia" w:ascii="宋体" w:hAnsi="宋体" w:eastAsia="宋体" w:cs="宋体"/>
          <w:kern w:val="2"/>
          <w:sz w:val="24"/>
          <w:szCs w:val="24"/>
          <w:highlight w:val="none"/>
        </w:rPr>
        <w:t>附件</w:t>
      </w:r>
      <w:r>
        <w:rPr>
          <w:rFonts w:hint="eastAsia" w:ascii="宋体" w:hAnsi="宋体" w:eastAsia="宋体" w:cs="宋体"/>
          <w:kern w:val="2"/>
          <w:sz w:val="24"/>
          <w:szCs w:val="24"/>
          <w:highlight w:val="none"/>
          <w:lang w:val="en-US" w:eastAsia="zh-CN"/>
        </w:rPr>
        <w:t>1：</w:t>
      </w:r>
      <w:r>
        <w:rPr>
          <w:rFonts w:hint="eastAsia" w:ascii="宋体" w:hAnsi="宋体" w:eastAsia="宋体" w:cs="宋体"/>
          <w:sz w:val="24"/>
          <w:szCs w:val="24"/>
          <w:highlight w:val="none"/>
          <w:lang w:val="en-US" w:eastAsia="zh-CN"/>
        </w:rPr>
        <w:t>需求</w:t>
      </w:r>
      <w:r>
        <w:rPr>
          <w:rFonts w:hint="eastAsia" w:ascii="宋体" w:hAnsi="宋体" w:eastAsia="宋体" w:cs="宋体"/>
          <w:sz w:val="24"/>
          <w:szCs w:val="24"/>
          <w:highlight w:val="none"/>
        </w:rPr>
        <w:t>明细表。</w:t>
      </w:r>
    </w:p>
    <w:tbl>
      <w:tblPr>
        <w:tblStyle w:val="8"/>
        <w:tblW w:w="14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209"/>
        <w:gridCol w:w="1045"/>
        <w:gridCol w:w="2577"/>
        <w:gridCol w:w="775"/>
        <w:gridCol w:w="1265"/>
        <w:gridCol w:w="1297"/>
        <w:gridCol w:w="1096"/>
        <w:gridCol w:w="3842"/>
        <w:gridCol w:w="790"/>
      </w:tblGrid>
      <w:tr w14:paraId="1B3D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4709" w:type="dxa"/>
            <w:gridSpan w:val="10"/>
            <w:noWrap/>
            <w:vAlign w:val="center"/>
          </w:tcPr>
          <w:p w14:paraId="005D838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lang w:eastAsia="zh-CN"/>
              </w:rPr>
            </w:pPr>
            <w:r>
              <w:rPr>
                <w:rFonts w:hint="eastAsia" w:ascii="宋体" w:hAnsi="宋体" w:eastAsia="宋体" w:cs="宋体"/>
                <w:b/>
                <w:bCs/>
                <w:color w:val="000000"/>
                <w:sz w:val="20"/>
                <w:lang w:eastAsia="zh-CN"/>
              </w:rPr>
              <w:t>薛家湾供</w:t>
            </w:r>
            <w:bookmarkStart w:id="0" w:name="_GoBack"/>
            <w:r>
              <w:rPr>
                <w:rFonts w:hint="eastAsia" w:ascii="宋体" w:hAnsi="宋体" w:eastAsia="宋体" w:cs="宋体"/>
                <w:b/>
                <w:bCs/>
                <w:color w:val="000000"/>
                <w:sz w:val="20"/>
                <w:lang w:eastAsia="zh-CN"/>
              </w:rPr>
              <w:t>电公司2024年7月第一批服务</w:t>
            </w:r>
            <w:r>
              <w:rPr>
                <w:rFonts w:hint="eastAsia" w:ascii="宋体" w:hAnsi="宋体" w:eastAsia="宋体" w:cs="宋体"/>
                <w:b/>
                <w:bCs/>
                <w:color w:val="000000"/>
                <w:sz w:val="20"/>
                <w:lang w:val="en-US" w:eastAsia="zh-CN"/>
              </w:rPr>
              <w:t>招标（二次）</w:t>
            </w:r>
            <w:bookmarkEnd w:id="0"/>
          </w:p>
        </w:tc>
      </w:tr>
      <w:tr w14:paraId="699A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813" w:type="dxa"/>
            <w:noWrap w:val="0"/>
            <w:vAlign w:val="center"/>
          </w:tcPr>
          <w:p w14:paraId="7C9E331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标段号</w:t>
            </w:r>
          </w:p>
        </w:tc>
        <w:tc>
          <w:tcPr>
            <w:tcW w:w="1209" w:type="dxa"/>
            <w:noWrap w:val="0"/>
            <w:vAlign w:val="center"/>
          </w:tcPr>
          <w:p w14:paraId="4A650B47">
            <w:pPr>
              <w:keepNext w:val="0"/>
              <w:keepLines w:val="0"/>
              <w:pageBreakBefore w:val="0"/>
              <w:widowControl w:val="0"/>
              <w:kinsoku/>
              <w:wordWrap/>
              <w:overflowPunct/>
              <w:topLinePunct w:val="0"/>
              <w:autoSpaceDE/>
              <w:autoSpaceDN/>
              <w:bidi w:val="0"/>
              <w:adjustRightInd/>
              <w:snapToGrid/>
              <w:jc w:val="center"/>
              <w:textAlignment w:val="center"/>
              <w:rPr>
                <w:rFonts w:ascii="宋体" w:hAnsi="宋体" w:eastAsia="宋体" w:cs="宋体"/>
                <w:b/>
                <w:bCs/>
                <w:color w:val="000000"/>
                <w:sz w:val="20"/>
              </w:rPr>
            </w:pPr>
            <w:r>
              <w:rPr>
                <w:rFonts w:hint="eastAsia" w:ascii="宋体" w:hAnsi="宋体" w:eastAsia="宋体" w:cs="宋体"/>
                <w:b/>
                <w:bCs/>
                <w:color w:val="000000"/>
                <w:kern w:val="0"/>
                <w:sz w:val="20"/>
                <w:lang w:bidi="ar"/>
              </w:rPr>
              <w:t>标段名称</w:t>
            </w:r>
          </w:p>
        </w:tc>
        <w:tc>
          <w:tcPr>
            <w:tcW w:w="1045" w:type="dxa"/>
            <w:noWrap w:val="0"/>
            <w:vAlign w:val="center"/>
          </w:tcPr>
          <w:p w14:paraId="24BBA981">
            <w:pPr>
              <w:keepNext w:val="0"/>
              <w:keepLines w:val="0"/>
              <w:pageBreakBefore w:val="0"/>
              <w:widowControl w:val="0"/>
              <w:kinsoku/>
              <w:wordWrap/>
              <w:overflowPunct/>
              <w:topLinePunct w:val="0"/>
              <w:autoSpaceDE/>
              <w:autoSpaceDN/>
              <w:bidi w:val="0"/>
              <w:adjustRightInd/>
              <w:snapToGrid/>
              <w:jc w:val="center"/>
              <w:textAlignment w:val="center"/>
              <w:rPr>
                <w:rFonts w:ascii="宋体" w:hAnsi="宋体" w:eastAsia="宋体" w:cs="宋体"/>
                <w:b/>
                <w:bCs/>
                <w:color w:val="000000"/>
                <w:sz w:val="20"/>
              </w:rPr>
            </w:pPr>
            <w:r>
              <w:rPr>
                <w:rFonts w:hint="eastAsia" w:ascii="宋体" w:hAnsi="宋体" w:eastAsia="宋体" w:cs="宋体"/>
                <w:b/>
                <w:bCs/>
                <w:color w:val="000000"/>
                <w:kern w:val="0"/>
                <w:sz w:val="20"/>
                <w:lang w:bidi="ar"/>
              </w:rPr>
              <w:t>项目单位</w:t>
            </w:r>
          </w:p>
        </w:tc>
        <w:tc>
          <w:tcPr>
            <w:tcW w:w="2577" w:type="dxa"/>
            <w:noWrap w:val="0"/>
            <w:vAlign w:val="center"/>
          </w:tcPr>
          <w:p w14:paraId="223134F0">
            <w:pPr>
              <w:keepNext w:val="0"/>
              <w:keepLines w:val="0"/>
              <w:pageBreakBefore w:val="0"/>
              <w:widowControl w:val="0"/>
              <w:kinsoku/>
              <w:wordWrap/>
              <w:overflowPunct/>
              <w:topLinePunct w:val="0"/>
              <w:autoSpaceDE/>
              <w:autoSpaceDN/>
              <w:bidi w:val="0"/>
              <w:adjustRightInd/>
              <w:snapToGrid/>
              <w:jc w:val="center"/>
              <w:textAlignment w:val="center"/>
              <w:rPr>
                <w:rFonts w:hint="default" w:ascii="宋体" w:hAnsi="宋体" w:eastAsia="宋体" w:cs="宋体"/>
                <w:b/>
                <w:bCs/>
                <w:color w:val="000000"/>
                <w:kern w:val="0"/>
                <w:sz w:val="20"/>
                <w:lang w:val="en-US" w:eastAsia="zh-CN" w:bidi="ar"/>
              </w:rPr>
            </w:pPr>
            <w:r>
              <w:rPr>
                <w:rFonts w:hint="eastAsia" w:ascii="宋体" w:hAnsi="宋体" w:cs="宋体"/>
                <w:b/>
                <w:bCs/>
                <w:color w:val="000000"/>
                <w:kern w:val="0"/>
                <w:sz w:val="20"/>
                <w:lang w:val="en-US" w:eastAsia="zh-CN" w:bidi="ar"/>
              </w:rPr>
              <w:t>子</w:t>
            </w:r>
            <w:r>
              <w:rPr>
                <w:rFonts w:hint="eastAsia" w:ascii="宋体" w:hAnsi="宋体" w:eastAsia="宋体" w:cs="宋体"/>
                <w:b/>
                <w:bCs/>
                <w:color w:val="000000"/>
                <w:kern w:val="0"/>
                <w:sz w:val="20"/>
                <w:lang w:val="en-US" w:eastAsia="zh-CN" w:bidi="ar"/>
              </w:rPr>
              <w:t>项</w:t>
            </w:r>
            <w:r>
              <w:rPr>
                <w:rFonts w:hint="eastAsia" w:ascii="宋体" w:hAnsi="宋体" w:cs="宋体"/>
                <w:b/>
                <w:bCs/>
                <w:color w:val="000000"/>
                <w:kern w:val="0"/>
                <w:sz w:val="20"/>
                <w:lang w:val="en-US" w:eastAsia="zh-CN" w:bidi="ar"/>
              </w:rPr>
              <w:t>目</w:t>
            </w:r>
            <w:r>
              <w:rPr>
                <w:rFonts w:hint="eastAsia" w:ascii="宋体" w:hAnsi="宋体" w:eastAsia="宋体" w:cs="宋体"/>
                <w:b/>
                <w:bCs/>
                <w:color w:val="000000"/>
                <w:kern w:val="0"/>
                <w:sz w:val="20"/>
                <w:lang w:val="en-US" w:eastAsia="zh-CN" w:bidi="ar"/>
              </w:rPr>
              <w:t>名称</w:t>
            </w:r>
          </w:p>
        </w:tc>
        <w:tc>
          <w:tcPr>
            <w:tcW w:w="775" w:type="dxa"/>
            <w:noWrap w:val="0"/>
            <w:vAlign w:val="center"/>
          </w:tcPr>
          <w:p w14:paraId="67640D5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数量</w:t>
            </w:r>
          </w:p>
        </w:tc>
        <w:tc>
          <w:tcPr>
            <w:tcW w:w="1265" w:type="dxa"/>
            <w:noWrap w:val="0"/>
            <w:vAlign w:val="center"/>
          </w:tcPr>
          <w:p w14:paraId="15122A1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val="en-US" w:eastAsia="zh-CN" w:bidi="ar"/>
              </w:rPr>
              <w:t>标段</w:t>
            </w:r>
            <w:r>
              <w:rPr>
                <w:rFonts w:hint="eastAsia" w:ascii="宋体" w:hAnsi="宋体" w:eastAsia="宋体" w:cs="宋体"/>
                <w:b/>
                <w:bCs/>
                <w:color w:val="000000"/>
                <w:kern w:val="0"/>
                <w:sz w:val="20"/>
                <w:lang w:bidi="ar"/>
              </w:rPr>
              <w:t>最高限价(元)</w:t>
            </w:r>
          </w:p>
        </w:tc>
        <w:tc>
          <w:tcPr>
            <w:tcW w:w="1297" w:type="dxa"/>
            <w:noWrap w:val="0"/>
            <w:vAlign w:val="center"/>
          </w:tcPr>
          <w:p w14:paraId="72BE308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服务期</w:t>
            </w:r>
          </w:p>
        </w:tc>
        <w:tc>
          <w:tcPr>
            <w:tcW w:w="1096" w:type="dxa"/>
            <w:noWrap w:val="0"/>
            <w:vAlign w:val="center"/>
          </w:tcPr>
          <w:p w14:paraId="6D02C29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kern w:val="0"/>
                <w:sz w:val="20"/>
                <w:lang w:bidi="ar"/>
              </w:rPr>
            </w:pPr>
            <w:r>
              <w:rPr>
                <w:rFonts w:hint="eastAsia" w:ascii="宋体" w:hAnsi="宋体" w:eastAsia="宋体" w:cs="宋体"/>
                <w:b/>
                <w:bCs/>
                <w:color w:val="000000"/>
                <w:kern w:val="0"/>
                <w:sz w:val="20"/>
                <w:lang w:bidi="ar"/>
              </w:rPr>
              <w:t>服务地点</w:t>
            </w:r>
          </w:p>
        </w:tc>
        <w:tc>
          <w:tcPr>
            <w:tcW w:w="3842" w:type="dxa"/>
            <w:noWrap w:val="0"/>
            <w:vAlign w:val="center"/>
          </w:tcPr>
          <w:p w14:paraId="3A88E9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专用资格要求</w:t>
            </w:r>
          </w:p>
        </w:tc>
        <w:tc>
          <w:tcPr>
            <w:tcW w:w="790" w:type="dxa"/>
            <w:noWrap w:val="0"/>
            <w:vAlign w:val="center"/>
          </w:tcPr>
          <w:p w14:paraId="389576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b/>
                <w:bCs/>
                <w:color w:val="000000"/>
                <w:sz w:val="20"/>
              </w:rPr>
            </w:pPr>
            <w:r>
              <w:rPr>
                <w:rFonts w:hint="eastAsia" w:ascii="宋体" w:hAnsi="宋体" w:eastAsia="宋体" w:cs="宋体"/>
                <w:b/>
                <w:bCs/>
                <w:color w:val="000000"/>
                <w:kern w:val="0"/>
                <w:sz w:val="20"/>
                <w:lang w:bidi="ar"/>
              </w:rPr>
              <w:t>备注</w:t>
            </w:r>
          </w:p>
        </w:tc>
      </w:tr>
      <w:tr w14:paraId="470F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jc w:val="center"/>
        </w:trPr>
        <w:tc>
          <w:tcPr>
            <w:tcW w:w="813" w:type="dxa"/>
            <w:noWrap w:val="0"/>
            <w:vAlign w:val="center"/>
          </w:tcPr>
          <w:p w14:paraId="484D52A1">
            <w:pPr>
              <w:keepNext w:val="0"/>
              <w:keepLines w:val="0"/>
              <w:pageBreakBefore w:val="0"/>
              <w:widowControl w:val="0"/>
              <w:kinsoku/>
              <w:wordWrap/>
              <w:overflowPunct/>
              <w:topLinePunct w:val="0"/>
              <w:autoSpaceDE/>
              <w:autoSpaceDN/>
              <w:bidi w:val="0"/>
              <w:adjustRightInd/>
              <w:snapToGrid/>
              <w:jc w:val="center"/>
              <w:textAlignment w:val="center"/>
              <w:rPr>
                <w:rFonts w:hint="default" w:ascii="宋体" w:hAnsi="宋体" w:eastAsia="宋体" w:cs="宋体"/>
                <w:color w:val="000000"/>
                <w:sz w:val="20"/>
                <w:lang w:val="en-US" w:eastAsia="zh-CN"/>
              </w:rPr>
            </w:pPr>
            <w:r>
              <w:rPr>
                <w:rFonts w:hint="eastAsia" w:ascii="宋体" w:hAnsi="宋体" w:cs="宋体"/>
                <w:color w:val="000000"/>
                <w:sz w:val="20"/>
                <w:lang w:val="en-US" w:eastAsia="zh-CN"/>
              </w:rPr>
              <w:t>3</w:t>
            </w:r>
          </w:p>
        </w:tc>
        <w:tc>
          <w:tcPr>
            <w:tcW w:w="1209" w:type="dxa"/>
            <w:noWrap w:val="0"/>
            <w:vAlign w:val="center"/>
          </w:tcPr>
          <w:p w14:paraId="1F378F6D">
            <w:pPr>
              <w:keepNext w:val="0"/>
              <w:keepLines w:val="0"/>
              <w:widowControl/>
              <w:suppressLineNumbers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监理</w:t>
            </w:r>
          </w:p>
        </w:tc>
        <w:tc>
          <w:tcPr>
            <w:tcW w:w="1045" w:type="dxa"/>
            <w:noWrap w:val="0"/>
            <w:vAlign w:val="center"/>
          </w:tcPr>
          <w:p w14:paraId="59DED1CD">
            <w:pPr>
              <w:keepNext w:val="0"/>
              <w:keepLines w:val="0"/>
              <w:widowControl/>
              <w:suppressLineNumbers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工程建设部</w:t>
            </w:r>
          </w:p>
        </w:tc>
        <w:tc>
          <w:tcPr>
            <w:tcW w:w="2577" w:type="dxa"/>
            <w:noWrap w:val="0"/>
            <w:vAlign w:val="center"/>
          </w:tcPr>
          <w:p w14:paraId="1CE8B24A">
            <w:pPr>
              <w:keepNext w:val="0"/>
              <w:keepLines w:val="0"/>
              <w:widowControl/>
              <w:suppressLineNumbers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薛家湾供电公司玉晶科技特种玻璃综合利用项目110千伏供电线路工程监理</w:t>
            </w:r>
          </w:p>
        </w:tc>
        <w:tc>
          <w:tcPr>
            <w:tcW w:w="775" w:type="dxa"/>
            <w:noWrap w:val="0"/>
            <w:vAlign w:val="center"/>
          </w:tcPr>
          <w:p w14:paraId="47B15B6F">
            <w:pPr>
              <w:keepNext w:val="0"/>
              <w:keepLines w:val="0"/>
              <w:widowControl/>
              <w:suppressLineNumbers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c>
          <w:tcPr>
            <w:tcW w:w="1265" w:type="dxa"/>
            <w:noWrap w:val="0"/>
            <w:vAlign w:val="center"/>
          </w:tcPr>
          <w:p w14:paraId="797178F3">
            <w:pPr>
              <w:keepNext w:val="0"/>
              <w:keepLines w:val="0"/>
              <w:widowControl/>
              <w:suppressLineNumbers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159800</w:t>
            </w:r>
          </w:p>
        </w:tc>
        <w:tc>
          <w:tcPr>
            <w:tcW w:w="1297" w:type="dxa"/>
            <w:noWrap w:val="0"/>
            <w:vAlign w:val="center"/>
          </w:tcPr>
          <w:p w14:paraId="320B77D8">
            <w:pPr>
              <w:keepNext w:val="0"/>
              <w:keepLines w:val="0"/>
              <w:widowControl/>
              <w:suppressLineNumbers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合同签订后至工程竣工验收合格</w:t>
            </w:r>
          </w:p>
        </w:tc>
        <w:tc>
          <w:tcPr>
            <w:tcW w:w="1096" w:type="dxa"/>
            <w:noWrap w:val="0"/>
            <w:vAlign w:val="center"/>
          </w:tcPr>
          <w:p w14:paraId="6741C436">
            <w:pPr>
              <w:keepNext w:val="0"/>
              <w:keepLines w:val="0"/>
              <w:widowControl/>
              <w:suppressLineNumbers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满足采购人要求</w:t>
            </w:r>
          </w:p>
        </w:tc>
        <w:tc>
          <w:tcPr>
            <w:tcW w:w="3842" w:type="dxa"/>
            <w:noWrap w:val="0"/>
            <w:vAlign w:val="center"/>
          </w:tcPr>
          <w:p w14:paraId="721B639B">
            <w:pPr>
              <w:keepNext w:val="0"/>
              <w:keepLines w:val="0"/>
              <w:widowControl/>
              <w:suppressLineNumbers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1.投标人须具有建设行政主管部门核发的工程监理综合资质或工程监理电力工程专业乙级及以上资质，且证书在有效期内。</w:t>
            </w:r>
          </w:p>
          <w:p w14:paraId="1A98A1A3">
            <w:pPr>
              <w:keepNext w:val="0"/>
              <w:keepLines w:val="0"/>
              <w:widowControl/>
              <w:suppressLineNumbers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2.投标人拟派总监理工程师须具有本企业注册的建设行政主管部门核发的注册监理工程师(电力工程专业)证书；</w:t>
            </w:r>
          </w:p>
        </w:tc>
        <w:tc>
          <w:tcPr>
            <w:tcW w:w="790" w:type="dxa"/>
            <w:noWrap w:val="0"/>
            <w:vAlign w:val="center"/>
          </w:tcPr>
          <w:p w14:paraId="3D812015">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eastAsia="宋体" w:cs="宋体"/>
                <w:color w:val="000000"/>
                <w:sz w:val="20"/>
              </w:rPr>
            </w:pPr>
          </w:p>
        </w:tc>
      </w:tr>
    </w:tbl>
    <w:p w14:paraId="186229A1"/>
    <w:sectPr>
      <w:pgSz w:w="16838" w:h="11906" w:orient="landscape"/>
      <w:pgMar w:top="1134" w:right="1080" w:bottom="113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5"/>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jkzMWFiNzVjZjRmMjhmMTNmMTVkNGU2NzBmZGYifQ=="/>
  </w:docVars>
  <w:rsids>
    <w:rsidRoot w:val="00000000"/>
    <w:rsid w:val="166E0A4A"/>
    <w:rsid w:val="1B2D4565"/>
    <w:rsid w:val="1DCF0EAC"/>
    <w:rsid w:val="203A648C"/>
    <w:rsid w:val="21CE552C"/>
    <w:rsid w:val="26AA1AA0"/>
    <w:rsid w:val="29B22045"/>
    <w:rsid w:val="2B887FC9"/>
    <w:rsid w:val="3C0531F9"/>
    <w:rsid w:val="3C0F27A2"/>
    <w:rsid w:val="41F61DFA"/>
    <w:rsid w:val="498E7F35"/>
    <w:rsid w:val="5109473B"/>
    <w:rsid w:val="54C1256E"/>
    <w:rsid w:val="57760C31"/>
    <w:rsid w:val="6821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r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footnote text"/>
    <w:basedOn w:val="1"/>
    <w:autoRedefine/>
    <w:semiHidden/>
    <w:qFormat/>
    <w:uiPriority w:val="0"/>
    <w:pPr>
      <w:numPr>
        <w:ilvl w:val="0"/>
        <w:numId w:val="1"/>
      </w:numPr>
      <w:snapToGrid w:val="0"/>
      <w:ind w:left="400" w:leftChars="200" w:hanging="200" w:hangingChars="200"/>
      <w:jc w:val="left"/>
    </w:pPr>
    <w:rPr>
      <w:sz w:val="18"/>
      <w:szCs w:val="18"/>
    </w:rPr>
  </w:style>
  <w:style w:type="paragraph" w:styleId="6">
    <w:name w:val="Title"/>
    <w:basedOn w:val="1"/>
    <w:next w:val="1"/>
    <w:autoRedefine/>
    <w:qFormat/>
    <w:uiPriority w:val="0"/>
    <w:pPr>
      <w:spacing w:before="240" w:after="60"/>
      <w:ind w:firstLine="0" w:firstLineChars="0"/>
      <w:jc w:val="center"/>
      <w:outlineLvl w:val="0"/>
    </w:pPr>
    <w:rPr>
      <w:rFonts w:ascii="Cambria" w:hAnsi="Cambria" w:eastAsia="方正小标宋简体" w:cs="Times New Roman"/>
      <w:b/>
      <w:bCs/>
      <w:sz w:val="44"/>
      <w:szCs w:val="32"/>
    </w:rPr>
  </w:style>
  <w:style w:type="paragraph" w:styleId="7">
    <w:name w:val="Body Text First Indent 2"/>
    <w:basedOn w:val="3"/>
    <w:autoRedefine/>
    <w:semiHidden/>
    <w:qFormat/>
    <w:uiPriority w:val="0"/>
    <w:pPr>
      <w:spacing w:after="120"/>
      <w:ind w:left="420" w:firstLine="420" w:firstLineChars="0"/>
    </w:pPr>
    <w:rPr>
      <w:rFonts w:ascii="Calibri" w:hAnsi="Calibri"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643</Words>
  <Characters>681</Characters>
  <Lines>0</Lines>
  <Paragraphs>0</Paragraphs>
  <TotalTime>0</TotalTime>
  <ScaleCrop>false</ScaleCrop>
  <LinksUpToDate>false</LinksUpToDate>
  <CharactersWithSpaces>681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高云波</cp:lastModifiedBy>
  <dcterms:modified xsi:type="dcterms:W3CDTF">2024-08-02T02:47:39Z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9A42EA38F23A41F5BFC967E16912AC6F_12</vt:lpwstr>
  </property>
</Properties>
</file>