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0"/>
        <w:gridCol w:w="2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0" w:hRule="atLeast"/>
        </w:trPr>
        <w:tc>
          <w:tcPr>
            <w:tcW w:w="42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附件6：</w:t>
            </w:r>
          </w:p>
          <w:tbl>
            <w:tblPr>
              <w:tblStyle w:val="7"/>
              <w:tblW w:w="7992" w:type="dxa"/>
              <w:tblInd w:w="9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"/>
              <w:gridCol w:w="3072"/>
              <w:gridCol w:w="1239"/>
              <w:gridCol w:w="670"/>
              <w:gridCol w:w="484"/>
              <w:gridCol w:w="441"/>
              <w:gridCol w:w="163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8" w:hRule="atLeast"/>
              </w:trPr>
              <w:tc>
                <w:tcPr>
                  <w:tcW w:w="799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8"/>
                      <w:szCs w:val="2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highlight w:val="none"/>
                      <w:lang w:val="en-US" w:eastAsia="zh-CN"/>
                    </w:rPr>
                    <w:t>乌兰察布供电公司 2024-2026年特种作业人员取证、复证培训服务机构框架协议明细表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型号规格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数量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最高投标限价单价（元）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高处作业取证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970</w:t>
                  </w:r>
                  <w:bookmarkStart w:id="0" w:name="_GoBack"/>
                  <w:bookmarkEnd w:id="0"/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高处作业复证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280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kern w:val="2"/>
                      <w:sz w:val="24"/>
                      <w:szCs w:val="24"/>
                      <w:lang w:val="en-US" w:eastAsia="zh-CN" w:bidi="ar-SA"/>
                    </w:rPr>
                    <w:t>3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电力电缆取证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870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电力电缆复证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280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继电保护取证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1010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继电保护复证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280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电气试验取证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870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电气试验复证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280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9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熔化焊接与热切割取证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750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  <w:lang w:val="en-US" w:eastAsia="zh-CN"/>
                    </w:rPr>
                    <w:t>10</w:t>
                  </w:r>
                </w:p>
              </w:tc>
              <w:tc>
                <w:tcPr>
                  <w:tcW w:w="30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乌兰察布供电公司 2024-2026特种作业人员取证、复证培训服务机构框架协议</w:t>
                  </w:r>
                </w:p>
              </w:tc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熔化焊接与热切割复证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280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0" w:hRule="atLeast"/>
              </w:trPr>
              <w:tc>
                <w:tcPr>
                  <w:tcW w:w="5921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  <w:t>最高投标限价总价（元）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  <w:t>5870</w:t>
                  </w:r>
                </w:p>
              </w:tc>
            </w:tr>
          </w:tbl>
          <w:p>
            <w:pPr>
              <w:pStyle w:val="6"/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注：供应商的投标报价单价不得超出采购人设定的最高投标限价单价、投标报价总价不得超出最高投标限价总价，否则将视为无效报价，不参与评审。</w:t>
            </w:r>
          </w:p>
        </w:tc>
      </w:tr>
    </w:tbl>
    <w:p>
      <w:pPr>
        <w:rPr>
          <w:rFonts w:hint="eastAsia" w:ascii="仿宋_GB2312" w:hAnsi="仿宋_GB2312" w:eastAsia="仿宋_GB2312" w:cs="仿宋_GB2312"/>
          <w:highlight w:val="none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05B43837"/>
    <w:rsid w:val="130731BF"/>
    <w:rsid w:val="308C30C0"/>
    <w:rsid w:val="703A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Indent"/>
    <w:basedOn w:val="1"/>
    <w:autoRedefine/>
    <w:qFormat/>
    <w:uiPriority w:val="99"/>
    <w:pPr>
      <w:ind w:firstLine="420" w:firstLineChars="200"/>
    </w:pPr>
    <w:rPr>
      <w:szCs w:val="24"/>
    </w:rPr>
  </w:style>
  <w:style w:type="paragraph" w:styleId="4">
    <w:name w:val="Body Text Indent"/>
    <w:basedOn w:val="1"/>
    <w:next w:val="5"/>
    <w:uiPriority w:val="0"/>
    <w:pPr>
      <w:autoSpaceDE w:val="0"/>
      <w:autoSpaceDN w:val="0"/>
      <w:adjustRightInd w:val="0"/>
      <w:spacing w:line="360" w:lineRule="auto"/>
      <w:ind w:firstLine="560"/>
    </w:pPr>
    <w:rPr>
      <w:rFonts w:ascii="宋体" w:hAnsi="宋体"/>
      <w:color w:val="FF0000"/>
      <w:sz w:val="28"/>
      <w:szCs w:val="28"/>
      <w:lang w:val="zh-CN"/>
    </w:rPr>
  </w:style>
  <w:style w:type="paragraph" w:styleId="5">
    <w:name w:val="footnote text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next w:val="1"/>
    <w:autoRedefine/>
    <w:unhideWhenUsed/>
    <w:qFormat/>
    <w:uiPriority w:val="99"/>
    <w:pPr>
      <w:ind w:firstLine="420" w:firstLineChars="200"/>
    </w:pPr>
  </w:style>
  <w:style w:type="character" w:customStyle="1" w:styleId="9">
    <w:name w:val="font51"/>
    <w:basedOn w:val="8"/>
    <w:autoRedefine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2024-01-23T02:39:00Z</dcterms:created>
  <dc:creator>Administrator</dc:creator>
  <cp:lastModifiedBy>37611</cp:lastModifiedBy>
  <dcterms:modified xsi:type="dcterms:W3CDTF">2024-04-26T02:00:24Z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26E635BB510C43E78121A8923EFFB408_12</vt:lpwstr>
  </property>
</Properties>
</file>