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4"/>
          <w:szCs w:val="40"/>
          <w:highlight w:val="none"/>
          <w:lang w:val="en-US" w:eastAsia="zh-CN"/>
        </w:rPr>
        <w:t>公告附表——采购计划表：</w:t>
      </w:r>
    </w:p>
    <w:p>
      <w:pPr>
        <w:pStyle w:val="12"/>
        <w:tabs>
          <w:tab w:val="center" w:pos="4201"/>
          <w:tab w:val="right" w:leader="dot" w:pos="9298"/>
        </w:tabs>
        <w:spacing w:line="360" w:lineRule="auto"/>
        <w:ind w:left="0" w:leftChars="0" w:firstLine="0" w:firstLineChars="0"/>
        <w:jc w:val="both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</w:pPr>
    </w:p>
    <w:tbl>
      <w:tblPr>
        <w:tblStyle w:val="9"/>
        <w:tblW w:w="4997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054"/>
        <w:gridCol w:w="1148"/>
        <w:gridCol w:w="417"/>
        <w:gridCol w:w="716"/>
        <w:gridCol w:w="916"/>
        <w:gridCol w:w="1016"/>
        <w:gridCol w:w="480"/>
        <w:gridCol w:w="543"/>
        <w:gridCol w:w="2116"/>
        <w:gridCol w:w="764"/>
        <w:gridCol w:w="44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9" w:hRule="atLeast"/>
        </w:trPr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标段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名称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内容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单位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数量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单价(预算.元)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合计(预算.元)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项目单位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采购方式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服务期\工期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资金来源</w:t>
            </w: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atLeast"/>
        </w:trPr>
        <w:tc>
          <w:tcPr>
            <w:tcW w:w="5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标段37 废旧变压器油处置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鄂尔多斯供电公司废旧变压器油处置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鄂尔多斯供电公司废旧变压器油转让回收</w:t>
            </w:r>
          </w:p>
        </w:tc>
        <w:tc>
          <w:tcPr>
            <w:tcW w:w="2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吨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3.407</w:t>
            </w:r>
          </w:p>
        </w:tc>
        <w:tc>
          <w:tcPr>
            <w:tcW w:w="4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3000.00 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10221.00 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物资供应处</w:t>
            </w: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竞价采购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2024.02.01-2024.2.6</w:t>
            </w: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其他业务成本</w:t>
            </w: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702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>合计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10221.00 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0"/>
                <w:szCs w:val="20"/>
                <w:highlight w:val="none"/>
                <w:lang w:bidi="ar"/>
              </w:rPr>
              <w:t xml:space="preserve"> </w:t>
            </w:r>
          </w:p>
        </w:tc>
        <w:tc>
          <w:tcPr>
            <w:tcW w:w="3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3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/>
                <w:sz w:val="20"/>
                <w:szCs w:val="20"/>
                <w:highlight w:val="none"/>
              </w:rPr>
            </w:pPr>
          </w:p>
        </w:tc>
      </w:tr>
    </w:tbl>
    <w:p>
      <w:pPr>
        <w:pStyle w:val="13"/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</w:rPr>
        <w:t>说明：1、本次预算底价为含税价，各回收商在底价的基础上进行报价，报价不得低于底价，低于低价的将否决其响应。</w:t>
      </w:r>
    </w:p>
    <w:p>
      <w:pPr>
        <w:pStyle w:val="13"/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2、本项目多轮报价采用5轮报价，即响应文件中的报价为一次报价。通过初步评审的回收商均可以参与之后的多轮报价，每轮报价必须高于上一次的报价，每次加价不得低于200元。每轮报价时长不得超过30分钟，若本轮未提交报价，以该回收商的上一次报价为准。未按要求加价的或低于上一次报价的，本轮次报价视为无效报价，以该回收商的上一次报价为准。当5轮报价完成后，同一标段出现两个及以上报价最高且报价相同的回收商，将针对以上回收商开启多轮报价，直至同一标段产生报价最高的回收商，否则不予开启。</w:t>
      </w:r>
    </w:p>
    <w:p>
      <w:pPr>
        <w:pStyle w:val="13"/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3、结算方式：每批回收价格按照=乙方所报单价（元/吨）*本批次报废铅酸蓄电池重量（吨）。</w:t>
      </w:r>
    </w:p>
    <w:p>
      <w:pPr>
        <w:pStyle w:val="13"/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4、回收商报价时需综合考虑协议有效期内货物装卸、道路运输成本及相关物资市场价格波动的影响，合理报价。</w:t>
      </w:r>
    </w:p>
    <w:p>
      <w:pPr>
        <w:pStyle w:val="13"/>
        <w:spacing w:line="360" w:lineRule="auto"/>
        <w:ind w:left="0" w:leftChars="0" w:firstLine="0" w:firstLineChars="0"/>
        <w:jc w:val="left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5、回收商负责按照甲方要求免费办理铅酸蓄电池的回收及拉运，不得向甲方另行收费。</w:t>
      </w:r>
    </w:p>
    <w:p>
      <w:pPr>
        <w:pStyle w:val="12"/>
        <w:tabs>
          <w:tab w:val="center" w:pos="4201"/>
          <w:tab w:val="right" w:leader="dot" w:pos="9298"/>
        </w:tabs>
        <w:spacing w:line="360" w:lineRule="auto"/>
        <w:ind w:left="0" w:leftChars="0" w:firstLine="0" w:firstLineChars="0"/>
        <w:jc w:val="both"/>
        <w:rPr>
          <w:rFonts w:hint="eastAsia" w:ascii="仿宋" w:hAnsi="仿宋" w:eastAsia="仿宋" w:cs="仿宋"/>
          <w:b/>
          <w:bCs/>
          <w:color w:val="auto"/>
          <w:sz w:val="24"/>
          <w:szCs w:val="24"/>
          <w:highlight w:val="none"/>
          <w:lang w:val="en-US" w:eastAsia="zh-CN"/>
        </w:rPr>
        <w:sectPr>
          <w:pgSz w:w="11906" w:h="16838"/>
          <w:pgMar w:top="720" w:right="720" w:bottom="720" w:left="720" w:header="851" w:footer="992" w:gutter="0"/>
          <w:pgNumType w:fmt="decimal"/>
          <w:cols w:space="720" w:num="1"/>
          <w:docGrid w:type="lines" w:linePitch="312" w:charSpace="0"/>
        </w:sectPr>
      </w:pPr>
    </w:p>
    <w:p>
      <w:pPr>
        <w:spacing w:line="360" w:lineRule="auto"/>
        <w:jc w:val="left"/>
        <w:rPr>
          <w:rFonts w:hint="eastAsia" w:ascii="仿宋" w:hAnsi="仿宋" w:eastAsia="仿宋" w:cs="仿宋"/>
          <w:b/>
          <w:sz w:val="24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附件1：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《响应真实性承诺书》</w:t>
      </w:r>
    </w:p>
    <w:p>
      <w:pPr>
        <w:pStyle w:val="2"/>
        <w:spacing w:line="360" w:lineRule="auto"/>
        <w:rPr>
          <w:rFonts w:hint="eastAsia" w:ascii="仿宋" w:hAnsi="仿宋" w:eastAsia="仿宋" w:cs="仿宋"/>
          <w:highlight w:val="none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内蒙古电力（集团）有限责任公司鄂尔多斯供电分公司物资供应处：</w:t>
      </w: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我公司参与贵公司组织采购的</w:t>
      </w:r>
      <w:r>
        <w:rPr>
          <w:rFonts w:hint="eastAsia" w:ascii="仿宋" w:hAnsi="仿宋" w:eastAsia="仿宋" w:cs="仿宋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sz w:val="24"/>
          <w:highlight w:val="none"/>
        </w:rPr>
        <w:t>（项目名称），我公司承诺所提交的材料、响应文件表述、响应文件内容是真实有效的。如有不实，则违反“诚实信用”原则，我公司承担由此引发的所有责任。</w:t>
      </w: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p>
      <w:pPr>
        <w:adjustRightInd w:val="0"/>
        <w:snapToGrid w:val="0"/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tbl>
      <w:tblPr>
        <w:tblStyle w:val="10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wordWrap w:val="0"/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 xml:space="preserve">        年        月        日</w:t>
            </w:r>
          </w:p>
        </w:tc>
      </w:tr>
    </w:tbl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br w:type="page"/>
      </w:r>
    </w:p>
    <w:p>
      <w:pPr>
        <w:spacing w:line="360" w:lineRule="auto"/>
        <w:jc w:val="left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附件：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2</w:t>
      </w:r>
    </w:p>
    <w:p>
      <w:pPr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法定代表人资格证明</w:t>
      </w:r>
    </w:p>
    <w:p>
      <w:pPr>
        <w:autoSpaceDE w:val="0"/>
        <w:autoSpaceDN w:val="0"/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（适用于无代理人的情况）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6"/>
          <w:sz w:val="24"/>
          <w:highlight w:val="none"/>
        </w:rPr>
        <w:t>企业（</w:t>
      </w:r>
      <w:r>
        <w:rPr>
          <w:rFonts w:hint="eastAsia" w:ascii="仿宋" w:hAnsi="仿宋" w:eastAsia="仿宋" w:cs="仿宋"/>
          <w:spacing w:val="6"/>
          <w:sz w:val="24"/>
          <w:highlight w:val="none"/>
          <w:lang w:eastAsia="zh-CN"/>
        </w:rPr>
        <w:t>回收商</w:t>
      </w:r>
      <w:r>
        <w:rPr>
          <w:rFonts w:hint="eastAsia" w:ascii="仿宋" w:hAnsi="仿宋" w:eastAsia="仿宋" w:cs="仿宋"/>
          <w:spacing w:val="6"/>
          <w:sz w:val="24"/>
          <w:highlight w:val="none"/>
        </w:rPr>
        <w:t>）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名称：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单位性质：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spacing w:val="6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spacing w:val="6"/>
          <w:sz w:val="24"/>
          <w:highlight w:val="none"/>
        </w:rPr>
        <w:t>地    址：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成立时间：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经营期限：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姓名：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性别：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  <w:u w:val="singl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年龄：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职务：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系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的法定代表人。</w:t>
      </w:r>
    </w:p>
    <w:p>
      <w:pPr>
        <w:autoSpaceDE w:val="0"/>
        <w:autoSpaceDN w:val="0"/>
        <w:spacing w:line="360" w:lineRule="auto"/>
        <w:jc w:val="lef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9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414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jc w:val="center"/>
              <w:rPr>
                <w:rFonts w:hint="eastAsia" w:ascii="仿宋" w:hAnsi="仿宋" w:eastAsia="仿宋" w:cs="仿宋"/>
                <w:kern w:val="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60" w:firstLineChars="15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特此证明。</w:t>
      </w: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adjustRightInd w:val="0"/>
        <w:snapToGrid w:val="0"/>
        <w:spacing w:line="360" w:lineRule="auto"/>
        <w:jc w:val="right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lang w:eastAsia="zh-CN"/>
        </w:rPr>
        <w:t>回收商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 xml:space="preserve"> （加盖单位公章）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5160" w:firstLineChars="2150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年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月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日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br w:type="page"/>
      </w:r>
      <w:r>
        <w:rPr>
          <w:rFonts w:hint="eastAsia" w:ascii="仿宋" w:hAnsi="仿宋" w:eastAsia="仿宋" w:cs="仿宋"/>
          <w:b/>
          <w:bCs/>
          <w:sz w:val="44"/>
          <w:szCs w:val="44"/>
          <w:highlight w:val="none"/>
        </w:rPr>
        <w:t>法人代表授权委托书</w:t>
      </w:r>
    </w:p>
    <w:p>
      <w:pPr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回收商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名称）的法定代表人（单位负责人），现委托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(项目编号)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(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标段)响应文件、签订合同和处理有关事宜，其法律后果由我方承担。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。（可参考：自本委托书签署之日起至响应文件有效期满）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16510" b="18415"/>
                <wp:wrapNone/>
                <wp:docPr id="7" name="圆角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ind w:left="0" w:leftChars="0" w:firstLine="0" w:firstLineChars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89.4pt;width:186.75pt;z-index:251662336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2T1OWdoAAAAKAQAADwAAAAAAAAABACAAAAAiAAAAZHJzL2Rvd25y&#10;ZXYueG1sUEsBAhQAFAAAAAgAh07iQDoVTYk1AgAAdwQAAA4AAAAAAAAAAQAgAAAAKQEAAGRycy9l&#10;Mm9Eb2MueG1sUEsFBgAAAAAGAAYAWQEAANAFAAAAAA==&#10;">
                <v:path/>
                <v:fill on="t" focussize="0,0"/>
                <v:stroke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ind w:left="0" w:leftChars="0" w:firstLine="0" w:firstLineChars="0"/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16510" b="8890"/>
                <wp:wrapNone/>
                <wp:docPr id="15" name="圆角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ind w:left="0" w:leftChars="0" w:firstLine="0" w:firstLineChars="0"/>
                              <w:jc w:val="both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3360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PmzMzHYAAAACQEAAA8AAAAAAAAAAQAgAAAAIgAAAGRycy9kb3du&#10;cmV2LnhtbFBLAQIUABQAAAAIAIdO4kB1Q3FIOAIAAHkEAAAOAAAAAAAAAAEAIAAAACcBAABkcnMv&#10;ZTJvRG9jLnhtbFBLBQYAAAAABgAGAFkBAADRBQAAAAA=&#10;">
                <v:path/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ind w:left="0" w:leftChars="0" w:firstLine="0" w:firstLineChars="0"/>
                        <w:jc w:val="both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16510" b="18415"/>
                <wp:wrapNone/>
                <wp:docPr id="12" name="圆角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/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77.4pt;width:186.75pt;z-index:251664384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5NzKBdoAAAAKAQAADwAAAAAAAAABACAAAAAiAAAAZHJzL2Rvd25y&#10;ZXYueG1sUEsBAhQAFAAAAAgAh07iQLdLkM81AgAAeAQAAA4AAAAAAAAAAQAgAAAAKQEAAGRycy9l&#10;Mm9Eb2MueG1sUEsFBgAAAAAGAAYAWQEAANAFAAAAAA==&#10;">
                <v:path/>
                <v:fill on="t" focussize="0,0"/>
                <v:stroke joinstyle="round" dashstyle="dash"/>
                <v:imagedata o:title=""/>
                <o:lock v:ext="edit" aspectratio="f"/>
                <v:textbox>
                  <w:txbxContent>
                    <w:p/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16510" b="15240"/>
                <wp:wrapNone/>
                <wp:docPr id="13" name="圆角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80.05pt;width:186.75pt;z-index:251665408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D5bAS82AAAAAkBAAAPAAAAAAAAAAEAIAAAACIAAABkcnMvZG93&#10;bnJldi54bWxQSwECFAAUAAAACACHTuJA+JtF6DkCAAB5BAAADgAAAAAAAAABACAAAAAnAQAAZHJz&#10;L2Uyb0RvYy54bWxQSwUGAAAAAAYABgBZAQAA0gUAAAAA&#10;">
                <v:path/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  <w:p>
                      <w:pPr>
                        <w:jc w:val="center"/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eastAsia="zh-CN"/>
        </w:rPr>
        <w:t>回收商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>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法定代表人（单位负责人）：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non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non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sz w:val="24"/>
          <w:szCs w:val="24"/>
          <w:highlight w:val="none"/>
        </w:rPr>
        <w:t>年   月   日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附件</w:t>
      </w:r>
      <w:r>
        <w:rPr>
          <w:rFonts w:hint="eastAsia" w:ascii="仿宋" w:hAnsi="仿宋" w:eastAsia="仿宋" w:cs="仿宋"/>
          <w:b/>
          <w:sz w:val="28"/>
          <w:szCs w:val="28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/>
          <w:sz w:val="28"/>
          <w:szCs w:val="28"/>
          <w:highlight w:val="none"/>
        </w:rPr>
        <w:t>：</w:t>
      </w:r>
    </w:p>
    <w:p>
      <w:pPr>
        <w:spacing w:line="360" w:lineRule="auto"/>
        <w:rPr>
          <w:rFonts w:hint="eastAsia" w:ascii="仿宋" w:hAnsi="仿宋" w:eastAsia="仿宋" w:cs="仿宋"/>
          <w:b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（一）信用中国查询方式或下载信用报告</w:t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1、国家信息中心主办“信用中国”网站地址：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"http://www.creditchina.gov.cn打开网页后，点击"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http://www.creditchina.gov.cn打开网页后，点击“信用服务”。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801995" cy="2755900"/>
            <wp:effectExtent l="0" t="0" r="4445" b="254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01995" cy="275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2、在以下页面中点击“失信被执行人”</w:t>
      </w:r>
    </w:p>
    <w:p>
      <w:pPr>
        <w:spacing w:line="360" w:lineRule="auto"/>
        <w:rPr>
          <w:rFonts w:hint="eastAsia" w:ascii="仿宋" w:hAnsi="仿宋" w:eastAsia="仿宋" w:cs="仿宋"/>
          <w:kern w:val="0"/>
          <w:sz w:val="24"/>
          <w:highlight w:val="none"/>
        </w:rPr>
        <w:sectPr>
          <w:footerReference r:id="rId3" w:type="default"/>
          <w:pgSz w:w="11905" w:h="16838"/>
          <w:pgMar w:top="1701" w:right="1417" w:bottom="1701" w:left="1417" w:header="850" w:footer="992" w:gutter="0"/>
          <w:pgNumType w:fmt="decimal"/>
          <w:cols w:space="720" w:num="1"/>
          <w:titlePg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855970" cy="3321050"/>
            <wp:effectExtent l="0" t="0" r="11430" b="1270"/>
            <wp:docPr id="9" name="图片 2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 descr="失信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3、在查询窗口输入查询企业名称，将查询结果截图</w:t>
      </w:r>
    </w:p>
    <w:p>
      <w:pPr>
        <w:spacing w:line="360" w:lineRule="auto"/>
        <w:rPr>
          <w:rFonts w:hint="eastAsia" w:ascii="仿宋" w:hAnsi="仿宋" w:eastAsia="仿宋" w:cs="仿宋"/>
          <w:highlight w:val="none"/>
        </w:rPr>
      </w:pPr>
      <w:r>
        <w:rPr>
          <w:rFonts w:hint="eastAsia" w:ascii="仿宋" w:hAnsi="仿宋" w:eastAsia="仿宋" w:cs="仿宋"/>
          <w:highlight w:val="none"/>
        </w:rPr>
        <w:drawing>
          <wp:inline distT="0" distB="0" distL="114300" distR="114300">
            <wp:extent cx="5653405" cy="3240405"/>
            <wp:effectExtent l="0" t="0" r="635" b="571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53405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（二）国家企业信用信息公示系统查询方式</w:t>
      </w:r>
    </w:p>
    <w:p>
      <w:pPr>
        <w:spacing w:line="360" w:lineRule="auto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1、登录“国家企业信用信息公示系统”网站地址：</w:t>
      </w:r>
      <w:r>
        <w:rPr>
          <w:rFonts w:hint="eastAsia" w:ascii="仿宋" w:hAnsi="仿宋" w:eastAsia="仿宋" w:cs="仿宋"/>
          <w:highlight w:val="none"/>
        </w:rPr>
        <w:fldChar w:fldCharType="begin"/>
      </w:r>
      <w:r>
        <w:rPr>
          <w:rFonts w:hint="eastAsia" w:ascii="仿宋" w:hAnsi="仿宋" w:eastAsia="仿宋" w:cs="仿宋"/>
          <w:highlight w:val="none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highlight w:val="none"/>
        </w:rPr>
        <w:fldChar w:fldCharType="separate"/>
      </w:r>
      <w:r>
        <w:rPr>
          <w:rFonts w:hint="eastAsia" w:ascii="仿宋" w:hAnsi="仿宋" w:eastAsia="仿宋" w:cs="仿宋"/>
          <w:sz w:val="24"/>
          <w:highlight w:val="none"/>
        </w:rPr>
        <w:t>http://www.gsxt.gov.cn/index.html</w:t>
      </w:r>
      <w:r>
        <w:rPr>
          <w:rFonts w:hint="eastAsia" w:ascii="仿宋" w:hAnsi="仿宋" w:eastAsia="仿宋" w:cs="仿宋"/>
          <w:sz w:val="24"/>
          <w:highlight w:val="none"/>
        </w:rPr>
        <w:fldChar w:fldCharType="end"/>
      </w:r>
      <w:r>
        <w:rPr>
          <w:rFonts w:hint="eastAsia" w:ascii="仿宋" w:hAnsi="仿宋" w:eastAsia="仿宋" w:cs="仿宋"/>
          <w:sz w:val="24"/>
          <w:highlight w:val="none"/>
        </w:rPr>
        <w:t>，在查询窗口输入企业名称，点击查询。</w:t>
      </w:r>
    </w:p>
    <w:p>
      <w:pPr>
        <w:spacing w:line="360" w:lineRule="auto"/>
        <w:jc w:val="center"/>
        <w:rPr>
          <w:rFonts w:hint="eastAsia" w:ascii="仿宋" w:hAnsi="仿宋" w:eastAsia="仿宋" w:cs="仿宋"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570855" cy="3018155"/>
            <wp:effectExtent l="0" t="0" r="6985" b="14605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0855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kern w:val="0"/>
          <w:sz w:val="24"/>
          <w:highlight w:val="none"/>
        </w:rPr>
        <w:br w:type="page"/>
      </w:r>
    </w:p>
    <w:p>
      <w:pPr>
        <w:spacing w:line="360" w:lineRule="auto"/>
        <w:jc w:val="both"/>
        <w:rPr>
          <w:rFonts w:hint="eastAsia" w:ascii="仿宋" w:hAnsi="仿宋" w:eastAsia="仿宋" w:cs="仿宋"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2、点击进入企业界面。</w:t>
      </w: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ind w:right="-1029" w:rightChars="-490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713095" cy="2900680"/>
            <wp:effectExtent l="0" t="0" r="1905" b="10160"/>
            <wp:docPr id="1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3095" cy="290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right="-1029" w:rightChars="-490"/>
        <w:rPr>
          <w:rFonts w:hint="eastAsia" w:ascii="仿宋" w:hAnsi="仿宋" w:eastAsia="仿宋" w:cs="仿宋"/>
          <w:sz w:val="24"/>
          <w:highlight w:val="none"/>
        </w:rPr>
      </w:pPr>
    </w:p>
    <w:p>
      <w:pPr>
        <w:spacing w:line="360" w:lineRule="auto"/>
        <w:ind w:right="-1029" w:rightChars="-490"/>
        <w:jc w:val="left"/>
        <w:rPr>
          <w:rFonts w:hint="eastAsia" w:ascii="仿宋" w:hAnsi="仿宋" w:eastAsia="仿宋" w:cs="仿宋"/>
          <w:b/>
          <w:bCs/>
          <w:kern w:val="0"/>
          <w:sz w:val="24"/>
          <w:highlight w:val="none"/>
        </w:rPr>
      </w:pPr>
      <w:r>
        <w:rPr>
          <w:rFonts w:hint="eastAsia" w:ascii="仿宋" w:hAnsi="仿宋" w:eastAsia="仿宋" w:cs="仿宋"/>
          <w:sz w:val="24"/>
          <w:highlight w:val="none"/>
        </w:rPr>
        <w:t>3、</w:t>
      </w:r>
      <w:r>
        <w:rPr>
          <w:rFonts w:hint="eastAsia" w:ascii="仿宋" w:hAnsi="仿宋" w:eastAsia="仿宋" w:cs="仿宋"/>
          <w:bCs/>
          <w:sz w:val="24"/>
          <w:highlight w:val="none"/>
        </w:rPr>
        <w:t>点击“列入严重违法失信企业名单（黑名单）信息”，查询后截图。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  <w:sectPr>
          <w:footerReference r:id="rId6" w:type="first"/>
          <w:headerReference r:id="rId4" w:type="default"/>
          <w:footerReference r:id="rId5" w:type="default"/>
          <w:pgSz w:w="11905" w:h="16838"/>
          <w:pgMar w:top="1701" w:right="1417" w:bottom="1701" w:left="1417" w:header="850" w:footer="992" w:gutter="0"/>
          <w:pgNumType w:fmt="decimal"/>
          <w:cols w:space="720" w:num="1"/>
          <w:titlePg/>
          <w:rtlGutter w:val="0"/>
          <w:docGrid w:type="lines" w:linePitch="328" w:charSpace="0"/>
        </w:sectPr>
      </w:pPr>
      <w:r>
        <w:rPr>
          <w:rFonts w:hint="eastAsia" w:ascii="仿宋" w:hAnsi="仿宋" w:eastAsia="仿宋" w:cs="仿宋"/>
          <w:sz w:val="24"/>
          <w:highlight w:val="none"/>
        </w:rPr>
        <w:drawing>
          <wp:inline distT="0" distB="0" distL="114300" distR="114300">
            <wp:extent cx="5711825" cy="2983230"/>
            <wp:effectExtent l="0" t="0" r="3175" b="381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1825" cy="298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hint="eastAsia" w:ascii="仿宋" w:hAnsi="仿宋" w:eastAsia="仿宋" w:cs="仿宋"/>
          <w:b/>
          <w:bCs/>
          <w:sz w:val="24"/>
          <w:highlight w:val="none"/>
        </w:rPr>
      </w:pPr>
      <w:r>
        <w:rPr>
          <w:rFonts w:hint="eastAsia" w:ascii="仿宋" w:hAnsi="仿宋" w:eastAsia="仿宋" w:cs="仿宋"/>
          <w:b/>
          <w:bCs/>
          <w:sz w:val="24"/>
          <w:highlight w:val="none"/>
        </w:rPr>
        <w:t>（三）中国裁判文书网查询方式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、回收商查询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（2）在全文检索中输入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“行贿罪”</w:t>
      </w:r>
      <w:r>
        <w:rPr>
          <w:rFonts w:hint="eastAsia" w:ascii="仿宋" w:hAnsi="仿宋" w:eastAsia="仿宋" w:cs="仿宋"/>
          <w:bCs/>
          <w:sz w:val="24"/>
          <w:highlight w:val="none"/>
        </w:rPr>
        <w:t>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（3）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在“当事人”处输入回收商全称；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（4）在裁判日期选择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（5）截取成功截图如下（须截取到左上角的时间）。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drawing>
          <wp:inline distT="0" distB="0" distL="114300" distR="114300">
            <wp:extent cx="5488305" cy="3270885"/>
            <wp:effectExtent l="0" t="0" r="0" b="5715"/>
            <wp:docPr id="3" name="图片 7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截图"/>
                    <pic:cNvPicPr>
                      <a:picLocks noChangeAspect="1"/>
                    </pic:cNvPicPr>
                  </pic:nvPicPr>
                  <pic:blipFill>
                    <a:blip r:embed="rId14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br w:type="page"/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2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、企业法定代表人查询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bCs/>
          <w:sz w:val="24"/>
          <w:highlight w:val="none"/>
        </w:rPr>
        <w:t>）在裁判日期选择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  <w:lang w:eastAsia="zh-CN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bCs/>
          <w:sz w:val="24"/>
          <w:highlight w:val="none"/>
        </w:rPr>
        <w:t>）然后点击保存搜索条件；再次点击高级检索，在全文检索中输入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回收商</w:t>
      </w:r>
      <w:r>
        <w:rPr>
          <w:rFonts w:hint="eastAsia" w:ascii="仿宋" w:hAnsi="仿宋" w:eastAsia="仿宋" w:cs="仿宋"/>
          <w:bCs/>
          <w:sz w:val="24"/>
          <w:highlight w:val="none"/>
        </w:rPr>
        <w:t>全称，并选择“全文”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bCs/>
          <w:sz w:val="24"/>
          <w:highlight w:val="none"/>
        </w:rPr>
        <w:t>点击检索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；</w:t>
      </w:r>
    </w:p>
    <w:p>
      <w:pPr>
        <w:spacing w:before="161" w:beforeLines="50" w:after="161" w:afterLines="50" w:line="360" w:lineRule="auto"/>
        <w:rPr>
          <w:rFonts w:hint="eastAsia" w:ascii="仿宋" w:hAnsi="仿宋" w:eastAsia="仿宋" w:cs="仿宋"/>
          <w:bCs/>
          <w:sz w:val="24"/>
          <w:highlight w:val="none"/>
        </w:rPr>
      </w:pPr>
      <w:r>
        <w:rPr>
          <w:rFonts w:hint="eastAsia" w:ascii="仿宋" w:hAnsi="仿宋" w:eastAsia="仿宋" w:cs="仿宋"/>
          <w:bCs/>
          <w:sz w:val="24"/>
          <w:highlight w:val="none"/>
        </w:rPr>
        <w:t>（</w:t>
      </w:r>
      <w:r>
        <w:rPr>
          <w:rFonts w:hint="eastAsia" w:ascii="仿宋" w:hAnsi="仿宋" w:eastAsia="仿宋" w:cs="仿宋"/>
          <w:bCs/>
          <w:sz w:val="24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bCs/>
          <w:sz w:val="24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bCs/>
          <w:sz w:val="24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7620" b="7620"/>
            <wp:docPr id="14" name="图片 8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图片1_副本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00" w:lineRule="exact"/>
      <w:rPr>
        <w:sz w:val="20"/>
        <w:szCs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SS+kn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xjdksgBAACb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VhS4rjFiV9+/rj8+nP5/Z2g&#10;DwXqA9SYdx8wMw3v/IDJsx/QmXkPKtr8RUYE4yjv+SqvHBIR+dF6tV5XGBIYmy+Izx6ehwjpvfSW&#10;ZKOhEedXZOWnj5DG1DklV3P+ThtTZmjcPw7EzB6Wex97zFYa9sNEaO/bM/LpcfQNdbjplJgPDpXN&#10;WzIbcTb2s3EMUR+6ska5HoTbY8ImSm+5wgg7FcaZFXbTfuWleHwvWQ//1PY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cY3ZLIAQAAmw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kYTdiNGI1Y2FiMjQ1N2E4MTgyOGFiN2EyYTcxYzEifQ=="/>
  </w:docVars>
  <w:rsids>
    <w:rsidRoot w:val="23F116D1"/>
    <w:rsid w:val="23F11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nhideWhenUsed/>
    <w:qFormat/>
    <w:uiPriority w:val="99"/>
    <w:pPr>
      <w:ind w:firstLine="420"/>
    </w:pPr>
  </w:style>
  <w:style w:type="paragraph" w:styleId="3">
    <w:name w:val="Body Text Indent"/>
    <w:basedOn w:val="1"/>
    <w:next w:val="4"/>
    <w:qFormat/>
    <w:uiPriority w:val="0"/>
    <w:pPr>
      <w:ind w:firstLine="560" w:firstLineChars="200"/>
    </w:pPr>
    <w:rPr>
      <w:rFonts w:ascii="Book Antiqua" w:hAnsi="Book Antiqua"/>
      <w:kern w:val="0"/>
      <w:sz w:val="28"/>
    </w:rPr>
  </w:style>
  <w:style w:type="paragraph" w:customStyle="1" w:styleId="4">
    <w:name w:val="p16"/>
    <w:next w:val="5"/>
    <w:qFormat/>
    <w:uiPriority w:val="0"/>
    <w:pPr>
      <w:ind w:firstLine="420"/>
      <w:jc w:val="both"/>
    </w:pPr>
    <w:rPr>
      <w:rFonts w:ascii="宋体" w:hAnsi="Times New Roman" w:eastAsia="宋体" w:cs="宋体"/>
      <w:sz w:val="21"/>
      <w:szCs w:val="21"/>
      <w:lang w:val="en-US" w:eastAsia="zh-CN" w:bidi="ar-SA"/>
    </w:rPr>
  </w:style>
  <w:style w:type="paragraph" w:styleId="5">
    <w:name w:val="toc 2"/>
    <w:basedOn w:val="1"/>
    <w:next w:val="1"/>
    <w:qFormat/>
    <w:uiPriority w:val="39"/>
    <w:pPr>
      <w:ind w:left="210"/>
      <w:jc w:val="left"/>
    </w:pPr>
    <w:rPr>
      <w:smallCaps/>
      <w:sz w:val="20"/>
      <w:szCs w:val="20"/>
    </w:rPr>
  </w:style>
  <w:style w:type="paragraph" w:styleId="6">
    <w:name w:val="Body Text"/>
    <w:basedOn w:val="1"/>
    <w:next w:val="1"/>
    <w:qFormat/>
    <w:uiPriority w:val="0"/>
    <w:rPr>
      <w:rFonts w:ascii="宋体" w:hAnsi="宋体"/>
      <w:kern w:val="0"/>
      <w:sz w:val="28"/>
    </w:rPr>
  </w:style>
  <w:style w:type="paragraph" w:styleId="7">
    <w:name w:val="footer"/>
    <w:basedOn w:val="1"/>
    <w:next w:val="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8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table" w:styleId="10">
    <w:name w:val="Table Grid"/>
    <w:basedOn w:val="9"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2">
    <w:name w:val="段"/>
    <w:qFormat/>
    <w:uiPriority w:val="0"/>
    <w:pPr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13">
    <w:name w:val="BodyText1I2"/>
    <w:basedOn w:val="14"/>
    <w:qFormat/>
    <w:uiPriority w:val="0"/>
    <w:pPr>
      <w:spacing w:after="120" w:line="240" w:lineRule="auto"/>
      <w:ind w:left="420" w:leftChars="200" w:firstLine="420" w:firstLineChars="200"/>
      <w:jc w:val="both"/>
      <w:textAlignment w:val="baseline"/>
    </w:pPr>
    <w:rPr>
      <w:rFonts w:ascii="Times New Roman" w:hAnsi="Times New Roman" w:eastAsia="宋体"/>
      <w:kern w:val="2"/>
      <w:sz w:val="21"/>
      <w:szCs w:val="24"/>
      <w:lang w:val="en-US" w:eastAsia="zh-CN" w:bidi="ar-SA"/>
    </w:rPr>
  </w:style>
  <w:style w:type="paragraph" w:customStyle="1" w:styleId="14">
    <w:name w:val="BodyTextIndent"/>
    <w:basedOn w:val="1"/>
    <w:qFormat/>
    <w:uiPriority w:val="0"/>
    <w:pPr>
      <w:spacing w:after="120" w:line="360" w:lineRule="auto"/>
      <w:ind w:left="420" w:leftChars="200" w:firstLine="1041" w:firstLineChars="20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2024-02-05T02:31:00Z</dcterms:created>
  <dc:creator>鄂尔多斯草原高宇 ✨15047795745</dc:creator>
  <cp:lastModifiedBy>鄂尔多斯草原高宇 ✨15047795745</cp:lastModifiedBy>
  <dcterms:modified xsi:type="dcterms:W3CDTF">2024-02-05T02:32:03Z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CF38AD3A665D4517B925B816243D234A_11</vt:lpwstr>
  </property>
</Properties>
</file>