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Autospacing="0"/>
        <w:ind w:left="0" w:leftChars="0" w:firstLine="0" w:firstLineChars="0"/>
        <w:jc w:val="center"/>
        <w:rPr>
          <w:rFonts w:hint="default"/>
          <w:lang w:val="en-US" w:eastAsia="zh-CN"/>
        </w:rPr>
      </w:pPr>
      <w:r>
        <w:rPr>
          <w:rFonts w:hint="eastAsia" w:ascii="仿宋" w:hAnsi="仿宋" w:eastAsia="仿宋" w:cs="仿宋"/>
          <w:b/>
          <w:color w:val="auto"/>
          <w:sz w:val="30"/>
          <w:szCs w:val="30"/>
          <w:highlight w:val="none"/>
          <w:lang w:eastAsia="zh-CN"/>
        </w:rPr>
        <w:t>鄂尔多斯供电公司2023年第一批使用供电单位应急资金项目（主网）物资询比</w:t>
      </w:r>
      <w:r>
        <w:rPr>
          <w:rFonts w:hint="eastAsia" w:ascii="仿宋" w:hAnsi="仿宋" w:eastAsia="仿宋" w:cs="仿宋"/>
          <w:b/>
          <w:color w:val="auto"/>
          <w:sz w:val="30"/>
          <w:szCs w:val="30"/>
          <w:highlight w:val="none"/>
          <w:lang w:val="en-US" w:eastAsia="zh-CN"/>
        </w:rPr>
        <w:t>采购二次公告</w:t>
      </w:r>
    </w:p>
    <w:p>
      <w:pPr>
        <w:pageBreakBefore w:val="0"/>
        <w:kinsoku/>
        <w:overflowPunct/>
        <w:topLinePunct w:val="0"/>
        <w:bidi w:val="0"/>
        <w:spacing w:beforeAutospacing="0" w:line="360" w:lineRule="auto"/>
        <w:ind w:firstLine="0" w:firstLineChars="0"/>
        <w:contextualSpacing/>
        <w:jc w:val="center"/>
        <w:textAlignment w:val="auto"/>
        <w:rPr>
          <w:rFonts w:hint="eastAsia" w:ascii="仿宋" w:hAnsi="仿宋" w:eastAsia="仿宋" w:cs="仿宋"/>
          <w:b/>
          <w:color w:val="auto"/>
          <w:sz w:val="28"/>
          <w:szCs w:val="28"/>
          <w:highlight w:val="none"/>
        </w:rPr>
      </w:pPr>
      <w:bookmarkStart w:id="0" w:name="_Toc286333061"/>
      <w:r>
        <w:rPr>
          <w:rFonts w:hint="eastAsia" w:ascii="仿宋" w:hAnsi="仿宋" w:eastAsia="仿宋" w:cs="仿宋"/>
          <w:b/>
          <w:color w:val="auto"/>
          <w:sz w:val="28"/>
          <w:szCs w:val="28"/>
          <w:highlight w:val="none"/>
        </w:rPr>
        <w:t>（项目编号：FJAH-EG2023-25）</w:t>
      </w:r>
    </w:p>
    <w:bookmarkEnd w:id="0"/>
    <w:p>
      <w:pPr>
        <w:bidi w:val="0"/>
        <w:spacing w:line="360" w:lineRule="auto"/>
        <w:ind w:firstLine="480" w:firstLineChars="200"/>
        <w:rPr>
          <w:rFonts w:hint="eastAsia" w:ascii="仿宋" w:hAnsi="仿宋" w:eastAsia="仿宋" w:cs="仿宋"/>
          <w:color w:val="auto"/>
          <w:highlight w:val="none"/>
        </w:rPr>
      </w:pPr>
      <w:bookmarkStart w:id="1" w:name="_Toc449193527"/>
      <w:bookmarkStart w:id="2" w:name="_Toc527970775"/>
      <w:bookmarkStart w:id="3" w:name="_Toc527978785"/>
      <w:bookmarkStart w:id="4" w:name="_Toc286333062"/>
      <w:bookmarkStart w:id="5" w:name="_Hlk534840068"/>
      <w:bookmarkStart w:id="6" w:name="_Toc487729869"/>
      <w:bookmarkStart w:id="7" w:name="_Toc449194178"/>
      <w:bookmarkStart w:id="8" w:name="_Toc487214768"/>
      <w:bookmarkStart w:id="9" w:name="_Toc39827092"/>
      <w:bookmarkStart w:id="10" w:name="_Toc39827527"/>
      <w:bookmarkStart w:id="11" w:name="_Toc39827462"/>
      <w:bookmarkStart w:id="12" w:name="_Toc38213877"/>
      <w:bookmarkStart w:id="13" w:name="_Toc449193533"/>
      <w:bookmarkStart w:id="14" w:name="_Toc449194184"/>
      <w:r>
        <w:rPr>
          <w:rFonts w:hint="eastAsia" w:ascii="仿宋" w:hAnsi="仿宋" w:eastAsia="仿宋" w:cs="仿宋"/>
          <w:color w:val="auto"/>
          <w:highlight w:val="none"/>
        </w:rPr>
        <w:t>本项目鄂尔多斯供电公司2023年第一批使用供电单位应急资金项目（主网）物资询比</w:t>
      </w:r>
      <w:r>
        <w:rPr>
          <w:rFonts w:hint="eastAsia" w:ascii="仿宋" w:hAnsi="仿宋" w:eastAsia="仿宋" w:cs="仿宋"/>
          <w:color w:val="auto"/>
          <w:highlight w:val="none"/>
          <w:lang w:val="en-US" w:eastAsia="zh-CN"/>
        </w:rPr>
        <w:t>二次</w:t>
      </w:r>
      <w:r>
        <w:rPr>
          <w:rFonts w:hint="eastAsia" w:ascii="仿宋" w:hAnsi="仿宋" w:eastAsia="仿宋" w:cs="仿宋"/>
          <w:color w:val="auto"/>
          <w:highlight w:val="none"/>
        </w:rPr>
        <w:t>采购</w:t>
      </w:r>
      <w:r>
        <w:rPr>
          <w:rFonts w:hint="eastAsia" w:ascii="仿宋" w:hAnsi="仿宋" w:eastAsia="仿宋" w:cs="仿宋"/>
          <w:b w:val="0"/>
          <w:color w:val="auto"/>
          <w:sz w:val="24"/>
          <w:szCs w:val="24"/>
          <w:highlight w:val="none"/>
          <w:lang w:val="en-US" w:eastAsia="zh-CN"/>
        </w:rPr>
        <w:t>，</w:t>
      </w:r>
      <w:r>
        <w:rPr>
          <w:rFonts w:hint="eastAsia" w:ascii="仿宋" w:hAnsi="仿宋" w:eastAsia="仿宋" w:cs="仿宋"/>
          <w:color w:val="auto"/>
          <w:highlight w:val="none"/>
          <w:lang w:val="en-US" w:eastAsia="zh-CN"/>
        </w:rPr>
        <w:t>采购</w:t>
      </w:r>
      <w:r>
        <w:rPr>
          <w:rFonts w:hint="eastAsia" w:ascii="仿宋" w:hAnsi="仿宋" w:eastAsia="仿宋" w:cs="仿宋"/>
          <w:color w:val="auto"/>
          <w:highlight w:val="none"/>
        </w:rPr>
        <w:t>人为</w:t>
      </w:r>
      <w:r>
        <w:rPr>
          <w:rFonts w:hint="eastAsia" w:ascii="仿宋" w:hAnsi="仿宋" w:eastAsia="仿宋" w:cs="仿宋"/>
          <w:color w:val="auto"/>
          <w:highlight w:val="none"/>
          <w:lang w:eastAsia="zh-CN"/>
        </w:rPr>
        <w:t>内蒙古电力（集团）有限责任公司鄂尔多斯供电分公司物资供应处</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委托</w:t>
      </w:r>
      <w:r>
        <w:rPr>
          <w:rFonts w:hint="eastAsia" w:ascii="仿宋_GB2312" w:hAnsi="仿宋_GB2312" w:eastAsia="仿宋_GB2312" w:cs="仿宋_GB2312"/>
          <w:sz w:val="24"/>
          <w:szCs w:val="24"/>
          <w:lang w:val="en-US" w:eastAsia="zh-CN"/>
        </w:rPr>
        <w:t>福建安华发展有限公司</w:t>
      </w:r>
      <w:r>
        <w:rPr>
          <w:rFonts w:hint="eastAsia" w:ascii="仿宋" w:hAnsi="仿宋" w:eastAsia="仿宋" w:cs="仿宋"/>
          <w:color w:val="auto"/>
          <w:highlight w:val="none"/>
          <w:lang w:eastAsia="zh-CN"/>
        </w:rPr>
        <w:t>为采购代理机构</w:t>
      </w:r>
      <w:r>
        <w:rPr>
          <w:rFonts w:hint="eastAsia" w:ascii="仿宋" w:hAnsi="仿宋" w:eastAsia="仿宋" w:cs="仿宋"/>
          <w:color w:val="auto"/>
          <w:highlight w:val="none"/>
        </w:rPr>
        <w:t>。该项目已具备</w:t>
      </w:r>
      <w:r>
        <w:rPr>
          <w:rFonts w:hint="eastAsia" w:ascii="仿宋" w:hAnsi="仿宋" w:eastAsia="仿宋" w:cs="仿宋"/>
          <w:color w:val="auto"/>
          <w:highlight w:val="none"/>
          <w:lang w:val="en-US" w:eastAsia="zh-CN"/>
        </w:rPr>
        <w:t>采购</w:t>
      </w:r>
      <w:r>
        <w:rPr>
          <w:rFonts w:hint="eastAsia" w:ascii="仿宋" w:hAnsi="仿宋" w:eastAsia="仿宋" w:cs="仿宋"/>
          <w:color w:val="auto"/>
          <w:highlight w:val="none"/>
        </w:rPr>
        <w:t>条件。现</w:t>
      </w:r>
      <w:r>
        <w:rPr>
          <w:rFonts w:hint="eastAsia" w:ascii="仿宋" w:hAnsi="仿宋" w:eastAsia="仿宋" w:cs="仿宋"/>
          <w:color w:val="auto"/>
          <w:highlight w:val="none"/>
          <w:lang w:val="en-US" w:eastAsia="zh-CN"/>
        </w:rPr>
        <w:t>将</w:t>
      </w:r>
      <w:r>
        <w:rPr>
          <w:rFonts w:hint="eastAsia" w:ascii="仿宋" w:hAnsi="仿宋" w:eastAsia="仿宋" w:cs="仿宋"/>
          <w:color w:val="auto"/>
          <w:sz w:val="24"/>
          <w:szCs w:val="24"/>
          <w:highlight w:val="none"/>
          <w:shd w:val="clear" w:color="auto" w:fill="auto"/>
          <w:lang w:eastAsia="zh-CN"/>
        </w:rPr>
        <w:t>该项目</w:t>
      </w:r>
      <w:r>
        <w:rPr>
          <w:rFonts w:hint="eastAsia" w:ascii="仿宋" w:hAnsi="仿宋" w:eastAsia="仿宋" w:cs="仿宋"/>
          <w:color w:val="auto"/>
          <w:highlight w:val="none"/>
        </w:rPr>
        <w:t>有关事宜公告如下：</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color w:val="auto"/>
          <w:kern w:val="2"/>
          <w:sz w:val="32"/>
          <w:szCs w:val="32"/>
          <w:highlight w:val="none"/>
          <w:lang w:val="en-US" w:eastAsia="zh-CN" w:bidi="ar-SA"/>
        </w:rPr>
      </w:pPr>
      <w:bookmarkStart w:id="15" w:name="_Toc38213876"/>
      <w:bookmarkStart w:id="16" w:name="_Toc39827526"/>
      <w:bookmarkStart w:id="17" w:name="_Toc39827461"/>
      <w:bookmarkStart w:id="18" w:name="_Toc4102801"/>
      <w:bookmarkStart w:id="19" w:name="_Toc4148803"/>
      <w:bookmarkStart w:id="20" w:name="_Toc19175"/>
      <w:bookmarkStart w:id="21" w:name="_Toc39827091"/>
      <w:r>
        <w:rPr>
          <w:rFonts w:hint="eastAsia" w:ascii="仿宋" w:hAnsi="仿宋" w:eastAsia="仿宋" w:cs="仿宋"/>
          <w:b/>
          <w:color w:val="auto"/>
          <w:sz w:val="32"/>
          <w:szCs w:val="32"/>
          <w:highlight w:val="none"/>
        </w:rPr>
        <w:t>项目概况</w:t>
      </w:r>
      <w:bookmarkEnd w:id="15"/>
      <w:bookmarkEnd w:id="16"/>
      <w:bookmarkEnd w:id="17"/>
      <w:bookmarkEnd w:id="18"/>
      <w:bookmarkEnd w:id="19"/>
      <w:bookmarkEnd w:id="20"/>
      <w:bookmarkEnd w:id="21"/>
    </w:p>
    <w:bookmarkEnd w:id="1"/>
    <w:bookmarkEnd w:id="2"/>
    <w:bookmarkEnd w:id="3"/>
    <w:bookmarkEnd w:id="4"/>
    <w:bookmarkEnd w:id="5"/>
    <w:bookmarkEnd w:id="6"/>
    <w:bookmarkEnd w:id="7"/>
    <w:bookmarkEnd w:id="8"/>
    <w:p>
      <w:pPr>
        <w:pStyle w:val="2"/>
        <w:spacing w:line="360" w:lineRule="auto"/>
        <w:ind w:firstLine="0"/>
        <w:rPr>
          <w:rFonts w:hint="eastAsia" w:ascii="仿宋" w:hAnsi="仿宋" w:eastAsia="仿宋" w:cs="仿宋"/>
          <w:b w:val="0"/>
          <w:bCs w:val="0"/>
          <w:color w:val="auto"/>
          <w:kern w:val="2"/>
          <w:sz w:val="24"/>
          <w:szCs w:val="24"/>
          <w:highlight w:val="none"/>
          <w:lang w:val="en-US" w:eastAsia="zh-CN" w:bidi="ar-SA"/>
        </w:rPr>
      </w:pPr>
      <w:bookmarkStart w:id="22" w:name="_Toc29362"/>
      <w:r>
        <w:rPr>
          <w:rFonts w:hint="eastAsia" w:ascii="仿宋" w:hAnsi="仿宋" w:eastAsia="仿宋" w:cs="仿宋"/>
          <w:b w:val="0"/>
          <w:bCs w:val="0"/>
          <w:color w:val="auto"/>
          <w:kern w:val="2"/>
          <w:sz w:val="24"/>
          <w:szCs w:val="24"/>
          <w:highlight w:val="none"/>
          <w:lang w:val="en-US" w:eastAsia="zh-CN" w:bidi="ar-SA"/>
        </w:rPr>
        <w:t>1.采购方式：询比采购；</w:t>
      </w:r>
    </w:p>
    <w:p>
      <w:pPr>
        <w:pStyle w:val="2"/>
        <w:spacing w:line="360" w:lineRule="auto"/>
        <w:ind w:firstLine="0"/>
        <w:rPr>
          <w:rFonts w:hint="eastAsia" w:ascii="仿宋" w:hAnsi="仿宋" w:eastAsia="仿宋" w:cs="仿宋"/>
          <w:b w:val="0"/>
          <w:bCs w:val="0"/>
          <w:color w:val="auto"/>
          <w:kern w:val="2"/>
          <w:sz w:val="24"/>
          <w:szCs w:val="24"/>
          <w:highlight w:val="none"/>
          <w:lang w:val="en-US" w:eastAsia="zh-CN" w:bidi="ar-SA"/>
        </w:rPr>
      </w:pPr>
      <w:bookmarkStart w:id="23" w:name="_Toc449194181"/>
      <w:bookmarkStart w:id="24" w:name="_Toc449193530"/>
      <w:r>
        <w:rPr>
          <w:rFonts w:hint="eastAsia" w:ascii="仿宋" w:hAnsi="仿宋" w:eastAsia="仿宋" w:cs="仿宋"/>
          <w:b w:val="0"/>
          <w:bCs w:val="0"/>
          <w:color w:val="auto"/>
          <w:kern w:val="2"/>
          <w:sz w:val="24"/>
          <w:szCs w:val="24"/>
          <w:highlight w:val="none"/>
          <w:lang w:val="en-US" w:eastAsia="zh-CN" w:bidi="ar-SA"/>
        </w:rPr>
        <w:t>2.资金来源：详见公告附表；</w:t>
      </w:r>
    </w:p>
    <w:p>
      <w:pPr>
        <w:pStyle w:val="2"/>
        <w:spacing w:line="360" w:lineRule="auto"/>
        <w:ind w:firstLine="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3.本项目采购内容及范围：</w:t>
      </w:r>
      <w:bookmarkEnd w:id="23"/>
      <w:bookmarkEnd w:id="24"/>
      <w:r>
        <w:rPr>
          <w:rFonts w:hint="eastAsia" w:ascii="仿宋" w:hAnsi="仿宋" w:eastAsia="仿宋" w:cs="仿宋"/>
          <w:b w:val="0"/>
          <w:bCs w:val="0"/>
          <w:color w:val="auto"/>
          <w:kern w:val="2"/>
          <w:sz w:val="24"/>
          <w:szCs w:val="24"/>
          <w:highlight w:val="none"/>
          <w:lang w:val="en-US" w:eastAsia="zh-CN" w:bidi="ar-SA"/>
        </w:rPr>
        <w:t>详见公告附表；</w:t>
      </w:r>
    </w:p>
    <w:p>
      <w:pPr>
        <w:pStyle w:val="2"/>
        <w:spacing w:line="360" w:lineRule="auto"/>
        <w:ind w:firstLine="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4.交货地点：采购人指定地点。</w:t>
      </w:r>
    </w:p>
    <w:p>
      <w:pPr>
        <w:rPr>
          <w:rFonts w:hint="default"/>
          <w:lang w:val="en-US" w:eastAsia="zh-CN"/>
        </w:rPr>
      </w:pPr>
      <w:r>
        <w:rPr>
          <w:rFonts w:hint="eastAsia" w:ascii="仿宋" w:hAnsi="仿宋" w:eastAsia="仿宋" w:cs="仿宋"/>
          <w:b w:val="0"/>
          <w:bCs w:val="0"/>
          <w:color w:val="auto"/>
          <w:kern w:val="2"/>
          <w:sz w:val="24"/>
          <w:szCs w:val="24"/>
          <w:highlight w:val="none"/>
          <w:lang w:val="en-US" w:eastAsia="zh-CN" w:bidi="ar-SA"/>
        </w:rPr>
        <w:t>5.</w:t>
      </w:r>
      <w:r>
        <w:rPr>
          <w:rFonts w:hint="eastAsia" w:ascii="仿宋_GB2312" w:hAnsi="仿宋_GB2312" w:eastAsia="仿宋_GB2312" w:cs="仿宋_GB2312"/>
          <w:b w:val="0"/>
          <w:bCs/>
          <w:sz w:val="24"/>
          <w:szCs w:val="24"/>
          <w:lang w:val="en-US" w:eastAsia="zh-CN"/>
        </w:rPr>
        <w:t>质量要求：符合招标文件及合同条款要求</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资格要求</w:t>
      </w:r>
      <w:bookmarkEnd w:id="9"/>
      <w:bookmarkEnd w:id="10"/>
      <w:bookmarkEnd w:id="11"/>
      <w:bookmarkEnd w:id="12"/>
      <w:bookmarkEnd w:id="22"/>
    </w:p>
    <w:bookmarkEnd w:id="13"/>
    <w:bookmarkEnd w:id="14"/>
    <w:p>
      <w:pPr>
        <w:pStyle w:val="14"/>
        <w:spacing w:line="360" w:lineRule="auto"/>
        <w:ind w:firstLine="480" w:firstLineChars="200"/>
        <w:rPr>
          <w:rFonts w:hint="eastAsia" w:ascii="仿宋" w:hAnsi="仿宋" w:eastAsia="仿宋" w:cs="仿宋"/>
          <w:sz w:val="24"/>
          <w:szCs w:val="24"/>
          <w:highlight w:val="none"/>
          <w:lang w:eastAsia="zh-CN"/>
        </w:rPr>
      </w:pPr>
      <w:bookmarkStart w:id="25" w:name="_Toc487729873"/>
      <w:bookmarkStart w:id="26" w:name="_Toc527970779"/>
      <w:bookmarkStart w:id="27" w:name="_Toc3631"/>
      <w:bookmarkStart w:id="28" w:name="_Toc39827099"/>
      <w:bookmarkStart w:id="29" w:name="_Toc4148806"/>
      <w:bookmarkStart w:id="30" w:name="_Toc487214772"/>
      <w:bookmarkStart w:id="31" w:name="_Toc39827534"/>
      <w:bookmarkStart w:id="32" w:name="_Toc39827469"/>
      <w:bookmarkStart w:id="33" w:name="_Toc38213884"/>
      <w:bookmarkStart w:id="34" w:name="_Toc4102804"/>
      <w:bookmarkStart w:id="35" w:name="_Toc527978789"/>
      <w:r>
        <w:rPr>
          <w:rFonts w:hint="eastAsia" w:ascii="仿宋" w:hAnsi="仿宋" w:eastAsia="仿宋" w:cs="仿宋"/>
          <w:sz w:val="24"/>
          <w:szCs w:val="24"/>
          <w:highlight w:val="none"/>
          <w:lang w:val="en-US" w:eastAsia="zh-CN"/>
        </w:rPr>
        <w:t>1.</w:t>
      </w:r>
      <w:r>
        <w:rPr>
          <w:rFonts w:hint="eastAsia" w:ascii="仿宋" w:hAnsi="仿宋" w:eastAsia="仿宋" w:cs="仿宋"/>
          <w:color w:val="auto"/>
          <w:sz w:val="24"/>
          <w:szCs w:val="32"/>
          <w:highlight w:val="none"/>
          <w:lang w:val="en-US" w:eastAsia="zh-CN"/>
        </w:rPr>
        <w:t>本次采购要求供应商须为中华人民共和国境内依法注册的法人或其它组织，并在人员、设备、资金等方面具有承担项目的能力。</w:t>
      </w:r>
    </w:p>
    <w:p>
      <w:pPr>
        <w:pStyle w:val="14"/>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单位负责人为同一人或者存在控股、管理关系的不同单位，不得参加同一标段响应或者未划分标段的同一项目响应。母子公司不能互用资质、业绩。</w:t>
      </w:r>
    </w:p>
    <w:p>
      <w:pPr>
        <w:pStyle w:val="14"/>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3.供应商及其法定代表人近三年内在中国裁判文书网（wenshu.court.gov.cn）无行贿犯罪档案。</w:t>
      </w:r>
    </w:p>
    <w:p>
      <w:pPr>
        <w:pStyle w:val="14"/>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供应商未被工商行政管理机关在</w:t>
      </w:r>
      <w:r>
        <w:rPr>
          <w:rFonts w:hint="eastAsia" w:ascii="仿宋" w:hAnsi="仿宋" w:eastAsia="仿宋" w:cs="仿宋"/>
          <w:sz w:val="24"/>
          <w:szCs w:val="24"/>
          <w:highlight w:val="none"/>
          <w:lang w:val="en-US" w:eastAsia="zh-CN"/>
        </w:rPr>
        <w:t>国家</w:t>
      </w:r>
      <w:r>
        <w:rPr>
          <w:rFonts w:hint="eastAsia" w:ascii="仿宋" w:hAnsi="仿宋" w:eastAsia="仿宋" w:cs="仿宋"/>
          <w:sz w:val="24"/>
          <w:szCs w:val="24"/>
          <w:highlight w:val="none"/>
          <w:lang w:eastAsia="zh-CN"/>
        </w:rPr>
        <w:t>企业信用信息公示系统（www.</w:t>
      </w:r>
      <w:r>
        <w:rPr>
          <w:rFonts w:hint="eastAsia" w:ascii="仿宋" w:hAnsi="仿宋" w:eastAsia="仿宋" w:cs="仿宋"/>
          <w:sz w:val="24"/>
          <w:szCs w:val="24"/>
          <w:highlight w:val="none"/>
          <w:lang w:val="en-US" w:eastAsia="zh-CN"/>
        </w:rPr>
        <w:t>gsxt</w:t>
      </w:r>
      <w:r>
        <w:rPr>
          <w:rFonts w:hint="eastAsia" w:ascii="仿宋" w:hAnsi="仿宋" w:eastAsia="仿宋" w:cs="仿宋"/>
          <w:sz w:val="24"/>
          <w:szCs w:val="24"/>
          <w:highlight w:val="none"/>
          <w:lang w:eastAsia="zh-CN"/>
        </w:rPr>
        <w:t>.gov.cn）中列入“严重违法失信企业名单”。</w:t>
      </w:r>
    </w:p>
    <w:p>
      <w:pPr>
        <w:pStyle w:val="14"/>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eastAsia="zh-CN"/>
        </w:rPr>
        <w:t>供应商未被最高人民法院在“信用中国”网站（www.creditchina.gov.cn）或各级信用信息共享平台中列入失信被执行人名单。</w:t>
      </w:r>
    </w:p>
    <w:p>
      <w:pPr>
        <w:pStyle w:val="14"/>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6.未被列入《内蒙古电力（集团）有限责任公司不良行为供应商名单》和中国电力企业联合会公布的“中电联关于公布涉电力领域重点关注对象名单”。</w:t>
      </w:r>
    </w:p>
    <w:p>
      <w:pPr>
        <w:pStyle w:val="14"/>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7.供应商须具有一般纳税人资格。</w:t>
      </w:r>
    </w:p>
    <w:p>
      <w:pPr>
        <w:pStyle w:val="14"/>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本次采购不接受联合体。</w:t>
      </w:r>
    </w:p>
    <w:p>
      <w:pPr>
        <w:pStyle w:val="14"/>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9.本项目采用资格后审。</w:t>
      </w:r>
    </w:p>
    <w:p>
      <w:pPr>
        <w:pStyle w:val="14"/>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10.专用资格要求：</w:t>
      </w:r>
    </w:p>
    <w:p>
      <w:pPr>
        <w:pStyle w:val="14"/>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包件2（35KV主变压器）</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（1）供应商须为内蒙古电力（集团）有限责任公司设备材料供应商资格预审“32 标段-35kV主变压器” 合格供应商（提供资格预审合格通知书扫描件）。</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(2）供应商须提供近年（2020年10月1日-至今，以合同签订时间为准）同类产品供货业绩(同一业绩的证明文件以已签署的合同和对应的发票为准）。</w:t>
      </w:r>
    </w:p>
    <w:p>
      <w:pPr>
        <w:pStyle w:val="14"/>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包件5（35KV-220KV电流互感器）</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（1）供应商须为内蒙古电力（集团）有限责任公司设备材料供应商资格预审“22 标段-35KV-220KV电流互感器” 合格供应商（提供资格预审合格通知书扫描件）。</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(2）供应商须提供近年（2020年10月1日-至今，以合同签订时间为准）同类产品供货业绩(同一业绩的证明文件以已签署的合同和对应的发票为准）。</w:t>
      </w:r>
    </w:p>
    <w:p>
      <w:pPr>
        <w:pStyle w:val="14"/>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包件6（并联电容器组（用于220KV及以下工程））</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（1）供应商须为内蒙古电力（集团）有限责任公司设备材料供应商资格预审“46标段-并联电容器组（用于220KV及以下工程）” 合格供应商（提供资格预审合格通知书扫描件）。</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(2）供应商须提供近年（2020年10月1日-至今，以合同签订时间为准）同类产品供货业绩(同一业绩的证明文件以已签署的合同和对应的发票为准）。</w:t>
      </w:r>
    </w:p>
    <w:p>
      <w:pPr>
        <w:pStyle w:val="14"/>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包件8（110KV主变保护）</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（1）供应商须为内蒙古电力（集团）有限责任公司设备材料供应商资格预审“61标段-110KV主变保护” 合格供应商（提供资格预审合格通知书扫描件）。</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(2）供应商须提供近年（2020年10月1日-至今，以合同签订时间为准）同类产品供货业绩(同一业绩的证明文件以已签署的合同和对应的发票为准）。</w:t>
      </w:r>
    </w:p>
    <w:p>
      <w:pPr>
        <w:pStyle w:val="14"/>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包件9（35KV及以下电缆）</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（1）供应商须为内蒙古电力（集团）有限责任公司设备材料供应商资格预审“90标段-35KV及以下电缆” 合格供应商（提供资格预审合格通知书扫描件）。</w:t>
      </w:r>
    </w:p>
    <w:p>
      <w:pPr>
        <w:pStyle w:val="14"/>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(2）供应商须提供近年（2020年10月1日-至今，以合同签订时间为准）同类产品供货业绩(同一业绩的证明文件以已签署的合同和对应的发票为准）。</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采购</w:t>
      </w:r>
      <w:r>
        <w:rPr>
          <w:rFonts w:hint="eastAsia" w:ascii="仿宋" w:hAnsi="仿宋" w:eastAsia="仿宋" w:cs="仿宋"/>
          <w:b/>
          <w:color w:val="auto"/>
          <w:sz w:val="32"/>
          <w:szCs w:val="32"/>
          <w:highlight w:val="none"/>
        </w:rPr>
        <w:t>文件的获取</w:t>
      </w:r>
      <w:bookmarkEnd w:id="25"/>
      <w:bookmarkEnd w:id="26"/>
      <w:bookmarkEnd w:id="27"/>
      <w:bookmarkEnd w:id="28"/>
      <w:bookmarkEnd w:id="29"/>
      <w:bookmarkEnd w:id="30"/>
      <w:bookmarkEnd w:id="31"/>
      <w:bookmarkEnd w:id="32"/>
      <w:bookmarkEnd w:id="33"/>
      <w:bookmarkEnd w:id="34"/>
      <w:bookmarkEnd w:id="35"/>
    </w:p>
    <w:p>
      <w:pPr>
        <w:pStyle w:val="2"/>
        <w:numPr>
          <w:ilvl w:val="0"/>
          <w:numId w:val="2"/>
        </w:numPr>
        <w:spacing w:line="360" w:lineRule="auto"/>
        <w:rPr>
          <w:rFonts w:hint="eastAsia" w:ascii="仿宋" w:hAnsi="仿宋" w:eastAsia="仿宋" w:cs="仿宋"/>
          <w:color w:val="auto"/>
          <w:kern w:val="2"/>
          <w:sz w:val="24"/>
          <w:szCs w:val="24"/>
          <w:highlight w:val="none"/>
          <w:shd w:val="clear" w:color="auto" w:fill="auto"/>
          <w:lang w:val="en-US" w:eastAsia="zh-CN" w:bidi="ar-SA"/>
        </w:rPr>
      </w:pPr>
      <w:bookmarkStart w:id="36" w:name="_Toc24993"/>
      <w:bookmarkStart w:id="37" w:name="_Toc332194842"/>
      <w:bookmarkStart w:id="38" w:name="_Toc32592"/>
      <w:bookmarkStart w:id="39" w:name="_Toc487729875"/>
      <w:bookmarkStart w:id="40" w:name="_Toc286333067"/>
      <w:bookmarkStart w:id="41" w:name="_Toc449194189"/>
      <w:bookmarkStart w:id="42" w:name="_Toc3259"/>
      <w:bookmarkStart w:id="43" w:name="_Toc449193538"/>
      <w:r>
        <w:rPr>
          <w:rFonts w:hint="eastAsia" w:ascii="仿宋" w:hAnsi="仿宋" w:eastAsia="仿宋" w:cs="仿宋"/>
          <w:color w:val="auto"/>
          <w:kern w:val="2"/>
          <w:sz w:val="24"/>
          <w:szCs w:val="24"/>
          <w:highlight w:val="none"/>
          <w:shd w:val="clear" w:color="auto" w:fill="auto"/>
          <w:lang w:val="en-US" w:eastAsia="zh-CN" w:bidi="ar-SA"/>
        </w:rPr>
        <w:t>获取时间及方式：凡有意参加响应者，请</w:t>
      </w:r>
      <w:r>
        <w:rPr>
          <w:rFonts w:hint="eastAsia" w:ascii="仿宋" w:hAnsi="仿宋" w:eastAsia="仿宋" w:cs="仿宋"/>
          <w:color w:val="auto"/>
          <w:kern w:val="2"/>
          <w:sz w:val="24"/>
          <w:szCs w:val="24"/>
          <w:highlight w:val="none"/>
          <w:u w:val="none"/>
          <w:shd w:val="clear" w:color="auto" w:fill="auto"/>
          <w:lang w:val="en-US" w:eastAsia="zh-CN" w:bidi="ar-SA"/>
        </w:rPr>
        <w:t>于</w:t>
      </w:r>
      <w:r>
        <w:rPr>
          <w:rFonts w:hint="eastAsia" w:ascii="仿宋" w:hAnsi="仿宋" w:eastAsia="仿宋" w:cs="仿宋"/>
          <w:color w:val="033FD6"/>
          <w:kern w:val="2"/>
          <w:sz w:val="24"/>
          <w:szCs w:val="24"/>
          <w:highlight w:val="none"/>
          <w:u w:val="none"/>
          <w:shd w:val="clear" w:color="auto" w:fill="auto"/>
          <w:lang w:val="en-US" w:eastAsia="zh-CN" w:bidi="ar-SA"/>
        </w:rPr>
        <w:t>2023年10月24日起至2023年10月27日17:00前</w:t>
      </w:r>
      <w:r>
        <w:rPr>
          <w:rFonts w:hint="eastAsia" w:ascii="仿宋" w:hAnsi="仿宋" w:eastAsia="仿宋" w:cs="仿宋"/>
          <w:color w:val="auto"/>
          <w:kern w:val="2"/>
          <w:sz w:val="24"/>
          <w:szCs w:val="24"/>
          <w:highlight w:val="none"/>
          <w:shd w:val="clear" w:color="auto" w:fill="auto"/>
          <w:lang w:val="en-US" w:eastAsia="zh-CN" w:bidi="ar-SA"/>
        </w:rPr>
        <w:t>（北京时间），</w:t>
      </w:r>
      <w:r>
        <w:rPr>
          <w:rFonts w:hint="eastAsia" w:ascii="仿宋" w:hAnsi="仿宋" w:eastAsia="仿宋" w:cs="仿宋"/>
          <w:b w:val="0"/>
          <w:bCs/>
          <w:color w:val="auto"/>
          <w:sz w:val="24"/>
          <w:szCs w:val="24"/>
          <w:highlight w:val="none"/>
          <w:lang w:val="en-US" w:eastAsia="zh-CN"/>
        </w:rPr>
        <w:t>进入《内蒙古电力集团电子采购系统》（http://guocai-impc.cppchina.cn）在线获取采购文件，逾期不予受理。</w:t>
      </w:r>
    </w:p>
    <w:p>
      <w:pPr>
        <w:pStyle w:val="2"/>
        <w:numPr>
          <w:ilvl w:val="0"/>
          <w:numId w:val="2"/>
        </w:numPr>
        <w:spacing w:line="360" w:lineRule="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采购文件工本费：不收费。</w:t>
      </w:r>
    </w:p>
    <w:p>
      <w:pPr>
        <w:pStyle w:val="2"/>
        <w:numPr>
          <w:ilvl w:val="0"/>
          <w:numId w:val="2"/>
        </w:numPr>
        <w:spacing w:line="360" w:lineRule="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客服电话：供应商下载采购文件失败或遇到其他问题请拨打客服电话：400-9913-966(周一～周五</w:t>
      </w:r>
      <w:r>
        <w:rPr>
          <w:rFonts w:hint="eastAsia" w:ascii="仿宋" w:hAnsi="仿宋" w:eastAsia="仿宋" w:cs="仿宋"/>
          <w:color w:val="auto"/>
          <w:sz w:val="24"/>
          <w:szCs w:val="24"/>
          <w:highlight w:val="none"/>
        </w:rPr>
        <w:t>8：30-20：30</w:t>
      </w:r>
      <w:r>
        <w:rPr>
          <w:rFonts w:hint="eastAsia" w:ascii="仿宋" w:hAnsi="仿宋" w:eastAsia="仿宋" w:cs="仿宋"/>
          <w:b w:val="0"/>
          <w:bCs/>
          <w:color w:val="auto"/>
          <w:sz w:val="24"/>
          <w:szCs w:val="24"/>
          <w:highlight w:val="none"/>
          <w:lang w:val="en-US" w:eastAsia="zh-CN"/>
        </w:rPr>
        <w:t>)联系咨询。</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获取方式: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shd w:val="clear" w:color="auto" w:fill="auto"/>
          <w:lang w:val="en-US" w:eastAsia="zh-CN"/>
        </w:rPr>
        <w:t>（1）供应商基本信息注册：凡第一次参与内蒙古电力公司的各类采购项目的供应商，在响应前需要在内蒙古电力公司物资管理信息系统--“内蒙古电力（集团）有限责任公司电子商务平台（http://wzglb.impc.com.cn:82）”，</w:t>
      </w:r>
      <w:r>
        <w:rPr>
          <w:rFonts w:hint="eastAsia" w:ascii="仿宋" w:hAnsi="仿宋" w:eastAsia="仿宋" w:cs="仿宋"/>
          <w:color w:val="auto"/>
          <w:sz w:val="24"/>
          <w:szCs w:val="24"/>
          <w:highlight w:val="none"/>
        </w:rPr>
        <w:t>先进行供应商基本信息注册，然后在招标采购项目挂网公告所在的电子采购交易平台（内蒙古电力集团电子采购系统）办理中招互连扫码签章，前述工作完成后方可开始投标。</w:t>
      </w:r>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具体流程为：</w:t>
      </w:r>
      <w:r>
        <w:rPr>
          <w:rFonts w:hint="eastAsia" w:ascii="仿宋" w:hAnsi="仿宋" w:eastAsia="仿宋" w:cs="仿宋"/>
          <w:sz w:val="24"/>
          <w:szCs w:val="24"/>
          <w:highlight w:val="none"/>
        </w:rPr>
        <w:t>登录平台→在报名管理界面查看最新招标项目→供应商提交资料，通过“文件下载”界面下载</w:t>
      </w:r>
      <w:r>
        <w:rPr>
          <w:rFonts w:hint="eastAsia" w:ascii="仿宋" w:hAnsi="仿宋" w:eastAsia="仿宋" w:cs="仿宋"/>
          <w:sz w:val="24"/>
          <w:szCs w:val="24"/>
          <w:highlight w:val="none"/>
          <w:lang w:eastAsia="zh-CN"/>
        </w:rPr>
        <w:t>采购</w:t>
      </w:r>
      <w:r>
        <w:rPr>
          <w:rFonts w:hint="eastAsia" w:ascii="仿宋" w:hAnsi="仿宋" w:eastAsia="仿宋" w:cs="仿宋"/>
          <w:sz w:val="24"/>
          <w:szCs w:val="24"/>
          <w:highlight w:val="none"/>
        </w:rPr>
        <w:t>文件。</w:t>
      </w:r>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（2）投标单位须凭【中招互连】APP办理项目后续电子响应事宜，之前未进行注册【中招互连】APP的企业</w:t>
      </w:r>
      <w:r>
        <w:rPr>
          <w:rFonts w:hint="eastAsia" w:ascii="仿宋" w:hAnsi="仿宋" w:eastAsia="仿宋" w:cs="仿宋"/>
          <w:color w:val="auto"/>
          <w:sz w:val="24"/>
          <w:szCs w:val="24"/>
        </w:rPr>
        <w:t>需要下载【中招互连】APP，</w:t>
      </w:r>
      <w:r>
        <w:rPr>
          <w:rFonts w:hint="eastAsia" w:ascii="仿宋" w:hAnsi="仿宋" w:eastAsia="仿宋" w:cs="仿宋"/>
          <w:color w:val="auto"/>
          <w:sz w:val="24"/>
          <w:szCs w:val="24"/>
          <w:highlight w:val="none"/>
          <w:lang w:val="en-US" w:eastAsia="zh-CN"/>
        </w:rPr>
        <w:t>根据提示即可在线办理相关事宜，后续所有流程全部扫码登录，扫码签章，扫码加密，扫码解密。</w:t>
      </w:r>
    </w:p>
    <w:p>
      <w:pPr>
        <w:pageBreakBefore w:val="0"/>
        <w:numPr>
          <w:ilvl w:val="0"/>
          <w:numId w:val="0"/>
        </w:numPr>
        <w:kinsoku/>
        <w:overflowPunct/>
        <w:topLinePunct w:val="0"/>
        <w:bidi w:val="0"/>
        <w:spacing w:before="240" w:line="360" w:lineRule="auto"/>
        <w:ind w:firstLine="482" w:firstLineChars="200"/>
        <w:contextualSpacing/>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color w:val="000000"/>
          <w:sz w:val="24"/>
          <w:highlight w:val="none"/>
          <w:lang w:val="en-US" w:eastAsia="zh-CN"/>
        </w:rPr>
        <w:t>获取文件</w:t>
      </w:r>
      <w:r>
        <w:rPr>
          <w:rFonts w:hint="eastAsia" w:ascii="仿宋" w:hAnsi="仿宋" w:eastAsia="仿宋" w:cs="仿宋"/>
          <w:b/>
          <w:color w:val="000000"/>
          <w:sz w:val="24"/>
          <w:highlight w:val="none"/>
        </w:rPr>
        <w:t>时</w:t>
      </w:r>
      <w:r>
        <w:rPr>
          <w:rFonts w:hint="eastAsia" w:ascii="仿宋" w:hAnsi="仿宋" w:eastAsia="仿宋" w:cs="仿宋"/>
          <w:b/>
          <w:color w:val="000000"/>
          <w:sz w:val="24"/>
          <w:highlight w:val="none"/>
          <w:lang w:val="en-US" w:eastAsia="zh-CN"/>
        </w:rPr>
        <w:t>所</w:t>
      </w:r>
      <w:r>
        <w:rPr>
          <w:rFonts w:hint="eastAsia" w:ascii="仿宋" w:hAnsi="仿宋" w:eastAsia="仿宋" w:cs="仿宋"/>
          <w:b/>
          <w:color w:val="000000"/>
          <w:sz w:val="24"/>
          <w:highlight w:val="none"/>
        </w:rPr>
        <w:t>需</w:t>
      </w:r>
      <w:r>
        <w:rPr>
          <w:rFonts w:hint="eastAsia" w:ascii="仿宋" w:hAnsi="仿宋" w:eastAsia="仿宋" w:cs="仿宋"/>
          <w:b/>
          <w:color w:val="000000"/>
          <w:sz w:val="24"/>
          <w:highlight w:val="none"/>
          <w:lang w:val="en-US" w:eastAsia="zh-CN"/>
        </w:rPr>
        <w:t>资料</w:t>
      </w:r>
      <w:r>
        <w:rPr>
          <w:rFonts w:hint="eastAsia" w:ascii="仿宋" w:hAnsi="仿宋" w:eastAsia="仿宋" w:cs="仿宋"/>
          <w:b/>
          <w:color w:val="000000"/>
          <w:sz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highlight w:val="none"/>
        </w:rPr>
        <w:t>法定代表人授权委托书；</w:t>
      </w:r>
      <w:r>
        <w:rPr>
          <w:rFonts w:hint="eastAsia" w:ascii="仿宋" w:hAnsi="仿宋" w:eastAsia="仿宋" w:cs="仿宋"/>
          <w:color w:val="auto"/>
          <w:sz w:val="24"/>
          <w:highlight w:val="none"/>
          <w:lang w:val="en-US" w:eastAsia="zh-CN"/>
        </w:rPr>
        <w:t>（格式详见附件）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highlight w:val="none"/>
          <w:lang w:val="en-US" w:eastAsia="zh-CN"/>
        </w:rPr>
        <w:t>统一社会信用代码的营业执照扫描件；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（3）公告中的专用资格要求的内容；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sz w:val="24"/>
          <w:highlight w:val="none"/>
          <w:lang w:val="en-US" w:eastAsia="zh-CN"/>
        </w:rPr>
        <w:t>企业名称如有变更，需提供有关行政机关提供的变更证明；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kern w:val="2"/>
          <w:sz w:val="24"/>
          <w:szCs w:val="24"/>
          <w:lang w:val="en-US" w:eastAsia="zh-CN" w:bidi="ar-SA"/>
        </w:rPr>
        <w:t>（5）</w:t>
      </w:r>
      <w:r>
        <w:rPr>
          <w:rFonts w:hint="eastAsia" w:ascii="仿宋" w:hAnsi="仿宋" w:eastAsia="仿宋" w:cs="仿宋"/>
          <w:color w:val="auto"/>
          <w:sz w:val="24"/>
          <w:highlight w:val="none"/>
        </w:rPr>
        <w:t>供应商需提供在国家企业信用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公示系统（www.gsxt.gov.cn）查询的“严重违法失信企业名单”信息的查询结果截图。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详见附件）</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供应商及其法定代表人近</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rPr>
        <w:t>年内在中国裁判文书网（wenshu.court.gov.cn）无行贿犯罪档案的查询结果截图。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（7）</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需提供</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在“信用中国”网站（www.creditchina.gov.cn）或各级信用信息共享平台中列入失信被执行人名单信息的查询结果截图。</w:t>
      </w:r>
      <w:r>
        <w:rPr>
          <w:rFonts w:hint="eastAsia" w:ascii="仿宋" w:hAnsi="仿宋" w:eastAsia="仿宋" w:cs="仿宋"/>
          <w:color w:val="auto"/>
          <w:sz w:val="24"/>
          <w:highlight w:val="none"/>
          <w:lang w:val="en-US" w:eastAsia="zh-CN"/>
        </w:rPr>
        <w:t>（详见附件）</w:t>
      </w:r>
    </w:p>
    <w:p>
      <w:pPr>
        <w:pageBreakBefore w:val="0"/>
        <w:numPr>
          <w:ilvl w:val="0"/>
          <w:numId w:val="0"/>
        </w:numPr>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kern w:val="2"/>
          <w:sz w:val="24"/>
          <w:szCs w:val="24"/>
          <w:lang w:val="en-US" w:eastAsia="zh-CN" w:bidi="ar-SA"/>
        </w:rPr>
        <w:t>（8）</w:t>
      </w:r>
      <w:r>
        <w:rPr>
          <w:rFonts w:hint="eastAsia" w:ascii="仿宋" w:hAnsi="仿宋" w:eastAsia="仿宋" w:cs="仿宋"/>
          <w:color w:val="auto"/>
          <w:sz w:val="24"/>
          <w:highlight w:val="none"/>
          <w:lang w:val="en-US" w:eastAsia="zh-CN"/>
        </w:rPr>
        <w:t>供应商一般纳税人资格证明。</w:t>
      </w:r>
    </w:p>
    <w:p>
      <w:pPr>
        <w:pageBreakBefore w:val="0"/>
        <w:numPr>
          <w:ilvl w:val="0"/>
          <w:numId w:val="0"/>
        </w:numPr>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kern w:val="2"/>
          <w:sz w:val="24"/>
          <w:szCs w:val="24"/>
          <w:shd w:val="clear" w:fill="auto"/>
          <w:lang w:val="en-US" w:eastAsia="zh-CN" w:bidi="ar-SA"/>
        </w:rPr>
        <w:t>（9）</w:t>
      </w:r>
      <w:r>
        <w:rPr>
          <w:rFonts w:hint="eastAsia" w:ascii="仿宋" w:hAnsi="仿宋" w:eastAsia="仿宋" w:cs="仿宋"/>
          <w:color w:val="auto"/>
          <w:sz w:val="24"/>
          <w:highlight w:val="none"/>
          <w:lang w:val="en-US" w:eastAsia="zh-CN"/>
        </w:rPr>
        <w:t>提供《响应真实性承诺书》。（详见附件）</w:t>
      </w:r>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6.说明：</w:t>
      </w:r>
    </w:p>
    <w:p>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szCs w:val="24"/>
          <w:highlight w:val="none"/>
          <w:lang w:val="en-US" w:eastAsia="zh-CN"/>
        </w:rPr>
        <w:t>（1）供应商</w:t>
      </w:r>
      <w:r>
        <w:rPr>
          <w:rFonts w:hint="eastAsia" w:ascii="仿宋" w:hAnsi="仿宋" w:eastAsia="仿宋" w:cs="仿宋"/>
          <w:sz w:val="24"/>
          <w:szCs w:val="24"/>
          <w:highlight w:val="none"/>
        </w:rPr>
        <w:t>在中标候选人公示结束前发生不良行为被处理的，取消其中标资格。</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rPr>
      </w:pPr>
      <w:bookmarkStart w:id="44" w:name="_Toc10124"/>
      <w:r>
        <w:rPr>
          <w:rFonts w:hint="eastAsia" w:ascii="仿宋" w:hAnsi="仿宋" w:eastAsia="仿宋" w:cs="仿宋"/>
          <w:b/>
          <w:color w:val="auto"/>
          <w:sz w:val="32"/>
          <w:szCs w:val="32"/>
          <w:highlight w:val="none"/>
        </w:rPr>
        <w:t>响应文件</w:t>
      </w:r>
      <w:r>
        <w:rPr>
          <w:rFonts w:hint="eastAsia" w:ascii="仿宋" w:hAnsi="仿宋" w:eastAsia="仿宋" w:cs="仿宋"/>
          <w:b/>
          <w:color w:val="auto"/>
          <w:sz w:val="32"/>
          <w:szCs w:val="32"/>
          <w:highlight w:val="none"/>
          <w:lang w:val="en-US" w:eastAsia="zh-CN"/>
        </w:rPr>
        <w:t>的</w:t>
      </w:r>
      <w:r>
        <w:rPr>
          <w:rFonts w:hint="eastAsia" w:ascii="仿宋" w:hAnsi="仿宋" w:eastAsia="仿宋" w:cs="仿宋"/>
          <w:b/>
          <w:color w:val="auto"/>
          <w:sz w:val="32"/>
          <w:szCs w:val="32"/>
          <w:highlight w:val="none"/>
        </w:rPr>
        <w:t>递交方式</w:t>
      </w:r>
      <w:bookmarkEnd w:id="44"/>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szCs w:val="24"/>
          <w:highlight w:val="none"/>
          <w:lang w:val="en-US" w:eastAsia="zh-CN"/>
        </w:rPr>
      </w:pPr>
      <w:bookmarkStart w:id="45" w:name="_Toc27302"/>
      <w:r>
        <w:rPr>
          <w:rFonts w:hint="eastAsia" w:ascii="仿宋" w:hAnsi="仿宋" w:eastAsia="仿宋" w:cs="仿宋"/>
          <w:b w:val="0"/>
          <w:bCs/>
          <w:color w:val="auto"/>
          <w:kern w:val="2"/>
          <w:sz w:val="24"/>
          <w:szCs w:val="24"/>
          <w:highlight w:val="none"/>
          <w:lang w:val="en-US" w:eastAsia="zh-CN" w:bidi="ar-SA"/>
        </w:rPr>
        <w:t>1.</w:t>
      </w:r>
      <w:r>
        <w:rPr>
          <w:rFonts w:hint="eastAsia" w:ascii="仿宋" w:hAnsi="仿宋" w:eastAsia="仿宋" w:cs="仿宋"/>
          <w:b w:val="0"/>
          <w:bCs/>
          <w:color w:val="auto"/>
          <w:sz w:val="24"/>
          <w:szCs w:val="24"/>
          <w:highlight w:val="none"/>
          <w:lang w:val="en-US" w:eastAsia="zh-CN"/>
        </w:rPr>
        <w:t>递交方式：电子响应文件请于响应截止时间之前上传到“内蒙古电力集团电子采购系统”，响应截止时间后上传的响应文件恕不接收。本项目采用远程开标方式，不接收纸质响应</w:t>
      </w:r>
      <w:r>
        <w:rPr>
          <w:rFonts w:hint="eastAsia" w:ascii="仿宋" w:hAnsi="仿宋" w:eastAsia="仿宋" w:cs="仿宋"/>
          <w:color w:val="auto"/>
          <w:sz w:val="24"/>
          <w:szCs w:val="24"/>
          <w:highlight w:val="none"/>
          <w:lang w:val="en-US" w:eastAsia="zh-CN"/>
        </w:rPr>
        <w:t>文件，逾期上传的响应文件，将不予接收。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2.响应文件加密：供应商对网上递交的响应文件应加密。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递交响应文件的截止时间</w:t>
      </w:r>
      <w:bookmarkEnd w:id="45"/>
      <w:r>
        <w:rPr>
          <w:rFonts w:hint="eastAsia" w:ascii="仿宋" w:hAnsi="仿宋" w:eastAsia="仿宋" w:cs="仿宋"/>
          <w:b/>
          <w:color w:val="auto"/>
          <w:sz w:val="32"/>
          <w:szCs w:val="32"/>
          <w:highlight w:val="none"/>
          <w:lang w:val="en-US" w:eastAsia="zh-CN"/>
        </w:rPr>
        <w:t>及解密时间</w:t>
      </w:r>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响应文件上传时间：</w:t>
      </w:r>
      <w:r>
        <w:rPr>
          <w:rFonts w:hint="eastAsia" w:ascii="仿宋" w:hAnsi="仿宋" w:eastAsia="仿宋" w:cs="仿宋"/>
          <w:color w:val="033FD6"/>
          <w:sz w:val="24"/>
          <w:highlight w:val="none"/>
          <w:lang w:val="en-US" w:eastAsia="zh-CN"/>
        </w:rPr>
        <w:t>2023</w:t>
      </w:r>
      <w:r>
        <w:rPr>
          <w:rFonts w:hint="eastAsia" w:ascii="仿宋" w:hAnsi="仿宋" w:eastAsia="仿宋" w:cs="仿宋"/>
          <w:color w:val="033FD6"/>
          <w:sz w:val="24"/>
          <w:highlight w:val="none"/>
        </w:rPr>
        <w:t>年</w:t>
      </w:r>
      <w:r>
        <w:rPr>
          <w:rFonts w:hint="eastAsia" w:ascii="仿宋" w:hAnsi="仿宋" w:eastAsia="仿宋" w:cs="仿宋"/>
          <w:color w:val="033FD6"/>
          <w:sz w:val="24"/>
          <w:highlight w:val="none"/>
          <w:lang w:val="en-US" w:eastAsia="zh-CN"/>
        </w:rPr>
        <w:t>10</w:t>
      </w:r>
      <w:r>
        <w:rPr>
          <w:rFonts w:hint="eastAsia" w:ascii="仿宋" w:hAnsi="仿宋" w:eastAsia="仿宋" w:cs="仿宋"/>
          <w:color w:val="033FD6"/>
          <w:sz w:val="24"/>
          <w:highlight w:val="none"/>
        </w:rPr>
        <w:t>月</w:t>
      </w:r>
      <w:r>
        <w:rPr>
          <w:rFonts w:hint="eastAsia" w:ascii="仿宋" w:hAnsi="仿宋" w:eastAsia="仿宋" w:cs="仿宋"/>
          <w:color w:val="033FD6"/>
          <w:sz w:val="24"/>
          <w:highlight w:val="none"/>
          <w:lang w:val="en-US" w:eastAsia="zh-CN"/>
        </w:rPr>
        <w:t>24</w:t>
      </w:r>
      <w:r>
        <w:rPr>
          <w:rFonts w:hint="eastAsia" w:ascii="仿宋" w:hAnsi="仿宋" w:eastAsia="仿宋" w:cs="仿宋"/>
          <w:color w:val="033FD6"/>
          <w:sz w:val="24"/>
          <w:highlight w:val="none"/>
        </w:rPr>
        <w:t>日</w:t>
      </w:r>
      <w:r>
        <w:rPr>
          <w:rFonts w:hint="eastAsia" w:ascii="仿宋" w:hAnsi="仿宋" w:eastAsia="仿宋" w:cs="仿宋"/>
          <w:color w:val="033FD6"/>
          <w:sz w:val="24"/>
          <w:highlight w:val="none"/>
          <w:lang w:val="en-US" w:eastAsia="zh-CN"/>
        </w:rPr>
        <w:t>-2023</w:t>
      </w:r>
      <w:r>
        <w:rPr>
          <w:rFonts w:hint="eastAsia" w:ascii="仿宋" w:hAnsi="仿宋" w:eastAsia="仿宋" w:cs="仿宋"/>
          <w:color w:val="033FD6"/>
          <w:sz w:val="24"/>
          <w:highlight w:val="none"/>
        </w:rPr>
        <w:t>年</w:t>
      </w:r>
      <w:r>
        <w:rPr>
          <w:rFonts w:hint="eastAsia" w:ascii="仿宋" w:hAnsi="仿宋" w:eastAsia="仿宋" w:cs="仿宋"/>
          <w:color w:val="033FD6"/>
          <w:sz w:val="24"/>
          <w:highlight w:val="none"/>
          <w:lang w:val="en-US" w:eastAsia="zh-CN"/>
        </w:rPr>
        <w:t>10</w:t>
      </w:r>
      <w:r>
        <w:rPr>
          <w:rFonts w:hint="eastAsia" w:ascii="仿宋" w:hAnsi="仿宋" w:eastAsia="仿宋" w:cs="仿宋"/>
          <w:color w:val="033FD6"/>
          <w:sz w:val="24"/>
          <w:highlight w:val="none"/>
        </w:rPr>
        <w:t>月</w:t>
      </w:r>
      <w:r>
        <w:rPr>
          <w:rFonts w:hint="eastAsia" w:ascii="仿宋" w:hAnsi="仿宋" w:eastAsia="仿宋" w:cs="仿宋"/>
          <w:color w:val="033FD6"/>
          <w:sz w:val="24"/>
          <w:highlight w:val="none"/>
          <w:lang w:val="en-US" w:eastAsia="zh-CN"/>
        </w:rPr>
        <w:t>30</w:t>
      </w:r>
      <w:r>
        <w:rPr>
          <w:rFonts w:hint="eastAsia" w:ascii="仿宋" w:hAnsi="仿宋" w:eastAsia="仿宋" w:cs="仿宋"/>
          <w:color w:val="033FD6"/>
          <w:sz w:val="24"/>
          <w:highlight w:val="none"/>
        </w:rPr>
        <w:t>日</w:t>
      </w:r>
      <w:r>
        <w:rPr>
          <w:rFonts w:hint="eastAsia" w:ascii="仿宋" w:hAnsi="仿宋" w:eastAsia="仿宋" w:cs="仿宋"/>
          <w:color w:val="033FD6"/>
          <w:sz w:val="24"/>
          <w:highlight w:val="none"/>
          <w:lang w:val="en-US" w:eastAsia="zh-CN"/>
        </w:rPr>
        <w:t>下午14时00分</w:t>
      </w:r>
      <w:r>
        <w:rPr>
          <w:rFonts w:hint="eastAsia" w:ascii="仿宋" w:hAnsi="仿宋" w:eastAsia="仿宋" w:cs="仿宋"/>
          <w:color w:val="auto"/>
          <w:sz w:val="24"/>
          <w:highlight w:val="none"/>
          <w:lang w:val="en-US" w:eastAsia="zh-CN"/>
        </w:rPr>
        <w:t>（北京时间）</w:t>
      </w:r>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递交响应文件截止时间：</w:t>
      </w:r>
      <w:r>
        <w:rPr>
          <w:rFonts w:hint="eastAsia" w:ascii="仿宋" w:hAnsi="仿宋" w:eastAsia="仿宋" w:cs="仿宋"/>
          <w:color w:val="033FD6"/>
          <w:sz w:val="24"/>
          <w:highlight w:val="none"/>
          <w:lang w:val="en-US" w:eastAsia="zh-CN"/>
        </w:rPr>
        <w:t>2023年10月30日下午14时00分</w:t>
      </w:r>
      <w:r>
        <w:rPr>
          <w:rFonts w:hint="eastAsia" w:ascii="仿宋" w:hAnsi="仿宋" w:eastAsia="仿宋" w:cs="仿宋"/>
          <w:color w:val="auto"/>
          <w:sz w:val="24"/>
          <w:highlight w:val="none"/>
          <w:lang w:val="en-US" w:eastAsia="zh-CN"/>
        </w:rPr>
        <w:t>（北京时间）</w:t>
      </w:r>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响应文件解密开始</w:t>
      </w:r>
      <w:r>
        <w:rPr>
          <w:rFonts w:hint="eastAsia" w:ascii="仿宋" w:hAnsi="仿宋" w:eastAsia="仿宋" w:cs="仿宋"/>
          <w:color w:val="auto"/>
          <w:sz w:val="24"/>
          <w:highlight w:val="none"/>
        </w:rPr>
        <w:t>时间：</w:t>
      </w:r>
      <w:r>
        <w:rPr>
          <w:rFonts w:hint="eastAsia" w:ascii="仿宋" w:hAnsi="仿宋" w:eastAsia="仿宋" w:cs="仿宋"/>
          <w:color w:val="033FD6"/>
          <w:sz w:val="24"/>
          <w:highlight w:val="none"/>
          <w:lang w:val="en-US" w:eastAsia="zh-CN"/>
        </w:rPr>
        <w:t>2023年10月30日下午14时00分</w:t>
      </w:r>
      <w:r>
        <w:rPr>
          <w:rFonts w:hint="eastAsia" w:ascii="仿宋" w:hAnsi="仿宋" w:eastAsia="仿宋" w:cs="仿宋"/>
          <w:color w:val="auto"/>
          <w:sz w:val="24"/>
          <w:highlight w:val="none"/>
          <w:lang w:val="en-US" w:eastAsia="zh-CN"/>
        </w:rPr>
        <w:t>（北京时间）</w:t>
      </w:r>
    </w:p>
    <w:p>
      <w:pPr>
        <w:pageBreakBefore w:val="0"/>
        <w:tabs>
          <w:tab w:val="center" w:pos="4513"/>
        </w:tabs>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响应文件解密截止时间：</w:t>
      </w:r>
      <w:r>
        <w:rPr>
          <w:rFonts w:hint="eastAsia" w:ascii="仿宋" w:hAnsi="仿宋" w:eastAsia="仿宋" w:cs="仿宋"/>
          <w:color w:val="033FD6"/>
          <w:sz w:val="24"/>
          <w:highlight w:val="none"/>
          <w:lang w:val="en-US" w:eastAsia="zh-CN"/>
        </w:rPr>
        <w:t>2023年10月</w:t>
      </w:r>
      <w:r>
        <w:rPr>
          <w:rFonts w:hint="eastAsia" w:ascii="仿宋" w:hAnsi="仿宋" w:eastAsia="仿宋" w:cs="仿宋"/>
          <w:color w:val="033FD6"/>
          <w:sz w:val="24"/>
          <w:highlight w:val="none"/>
          <w:lang w:val="en-US" w:eastAsia="zh-CN"/>
        </w:rPr>
        <w:tab/>
      </w:r>
      <w:r>
        <w:rPr>
          <w:rFonts w:hint="eastAsia" w:ascii="仿宋" w:hAnsi="仿宋" w:eastAsia="仿宋" w:cs="仿宋"/>
          <w:color w:val="033FD6"/>
          <w:sz w:val="24"/>
          <w:highlight w:val="none"/>
          <w:lang w:val="en-US" w:eastAsia="zh-CN"/>
        </w:rPr>
        <w:t>30日下午14时30分</w:t>
      </w:r>
      <w:r>
        <w:rPr>
          <w:rFonts w:hint="eastAsia" w:ascii="仿宋" w:hAnsi="仿宋" w:eastAsia="仿宋" w:cs="仿宋"/>
          <w:color w:val="auto"/>
          <w:sz w:val="24"/>
          <w:highlight w:val="none"/>
          <w:lang w:val="en-US" w:eastAsia="zh-CN"/>
        </w:rPr>
        <w:t>（北京时间）</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操作流程</w:t>
      </w:r>
      <w:bookmarkStart w:id="55" w:name="_GoBack"/>
      <w:bookmarkEnd w:id="55"/>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电脑环境要求：（1）操作系统：Windows 7 、10；（2）浏览器：360极速、谷歌Chrome、火狐Firefox、微软Edge浏览器；（3）办公软件：Microsoft Office 2007或WPS2019个人版；（4）PDF软件推荐： Adobe Reader。</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非以上环境可能出现错误影响其投标，登录交易平台时如提示更新插件则必须更新，否则影响其电子投标。</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开标前签到流程：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进入【网上开标】菜单→进入开标厅→点击“点此签到”按钮→点击右上角“签到”按钮→自动在签到表加盖法人章→最后点击“保存”按钮。</w:t>
      </w:r>
    </w:p>
    <w:p>
      <w:pPr>
        <w:tabs>
          <w:tab w:val="left" w:pos="2625"/>
        </w:tabs>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远程解密流程：</w:t>
      </w:r>
    </w:p>
    <w:p>
      <w:pPr>
        <w:tabs>
          <w:tab w:val="left" w:pos="2625"/>
        </w:tabs>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于递交响应性文件截止时间在原单位使用原上传文件电脑在“网上开标”界面，点击“进开标厅”按钮，在该界面进行响应性文件的远程解密。届时请登录【中招互连】APP提前30分钟等候在电脑前准备参加文件解密（供应商需保持电脑网络通畅）。</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3.解密后报价确认流程：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进入【网上开标】菜单→进入开标厅→点击“点此签字”按钮→点击右上角“签字“按钮→自动在签到表加盖法人章→最后点击“保存”按钮。</w:t>
      </w:r>
    </w:p>
    <w:p>
      <w:pPr>
        <w:tabs>
          <w:tab w:val="left" w:pos="2625"/>
        </w:tabs>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请供应商按公告时间及时参与相关签到、解密及确认等工作，签到、解密及确认过程中有任何问题请及时联系技术支持解决，因供应商原因未在规定时间内解密、确认响应性文件的，视为供应商撤销其响应性文件。</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C00000"/>
          <w:sz w:val="24"/>
          <w:szCs w:val="24"/>
          <w:highlight w:val="none"/>
          <w:lang w:val="en-US" w:eastAsia="zh-CN"/>
        </w:rPr>
      </w:pPr>
      <w:r>
        <w:rPr>
          <w:rFonts w:hint="eastAsia" w:ascii="仿宋" w:hAnsi="仿宋" w:eastAsia="仿宋" w:cs="仿宋"/>
          <w:b w:val="0"/>
          <w:bCs w:val="0"/>
          <w:color w:val="C00000"/>
          <w:sz w:val="24"/>
          <w:szCs w:val="24"/>
          <w:highlight w:val="none"/>
        </w:rPr>
        <w:t>开标地点：</w:t>
      </w:r>
      <w:r>
        <w:rPr>
          <w:rFonts w:hint="eastAsia" w:ascii="仿宋" w:hAnsi="仿宋" w:eastAsia="仿宋" w:cs="仿宋"/>
          <w:b w:val="0"/>
          <w:bCs w:val="0"/>
          <w:color w:val="C00000"/>
          <w:sz w:val="24"/>
          <w:szCs w:val="24"/>
          <w:highlight w:val="none"/>
          <w:lang w:val="en-US" w:eastAsia="zh-CN"/>
        </w:rPr>
        <w:t>内蒙古电子招标投标交易平台开标室</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C00000"/>
          <w:sz w:val="24"/>
          <w:szCs w:val="24"/>
          <w:highlight w:val="none"/>
        </w:rPr>
      </w:pPr>
      <w:r>
        <w:rPr>
          <w:rFonts w:hint="eastAsia" w:ascii="仿宋" w:hAnsi="仿宋" w:eastAsia="仿宋" w:cs="仿宋"/>
          <w:b w:val="0"/>
          <w:bCs w:val="0"/>
          <w:color w:val="C00000"/>
          <w:sz w:val="24"/>
          <w:szCs w:val="24"/>
          <w:highlight w:val="none"/>
          <w:lang w:val="en-US" w:eastAsia="zh-CN"/>
        </w:rPr>
        <w:t>地址：</w:t>
      </w:r>
      <w:r>
        <w:rPr>
          <w:rFonts w:hint="eastAsia" w:ascii="仿宋" w:hAnsi="仿宋" w:eastAsia="仿宋" w:cs="仿宋"/>
          <w:b w:val="0"/>
          <w:bCs w:val="0"/>
          <w:color w:val="C00000"/>
          <w:sz w:val="24"/>
          <w:szCs w:val="24"/>
          <w:highlight w:val="none"/>
        </w:rPr>
        <w:t>鄂尔多斯市康巴什区日兴大厦7楼</w:t>
      </w:r>
      <w:r>
        <w:rPr>
          <w:rFonts w:hint="eastAsia" w:ascii="仿宋" w:hAnsi="仿宋" w:eastAsia="仿宋" w:cs="仿宋"/>
          <w:b w:val="0"/>
          <w:bCs w:val="0"/>
          <w:color w:val="C00000"/>
          <w:sz w:val="24"/>
          <w:szCs w:val="24"/>
          <w:highlight w:val="none"/>
          <w:lang w:val="en-US" w:eastAsia="zh-CN"/>
        </w:rPr>
        <w:t>开标室</w:t>
      </w:r>
    </w:p>
    <w:p>
      <w:pPr>
        <w:pageBreakBefore w:val="0"/>
        <w:kinsoku/>
        <w:overflowPunct/>
        <w:topLinePunct w:val="0"/>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如果递交响应文件截止时间有改变，采购代理机构将提前通知，逾期提交的响应文件将不予受理。</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评审方式</w:t>
      </w:r>
      <w:bookmarkEnd w:id="36"/>
    </w:p>
    <w:p>
      <w:pPr>
        <w:pStyle w:val="2"/>
        <w:spacing w:line="360" w:lineRule="auto"/>
        <w:ind w:firstLine="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本次评审采用</w:t>
      </w:r>
      <w:r>
        <w:rPr>
          <w:rFonts w:hint="eastAsia" w:ascii="仿宋" w:hAnsi="仿宋" w:eastAsia="仿宋" w:cs="仿宋"/>
          <w:color w:val="auto"/>
          <w:kern w:val="2"/>
          <w:sz w:val="24"/>
          <w:szCs w:val="24"/>
          <w:highlight w:val="none"/>
          <w:lang w:val="en-US" w:eastAsia="zh-CN" w:bidi="ar-SA"/>
        </w:rPr>
        <w:t>综合评估法</w:t>
      </w:r>
      <w:r>
        <w:rPr>
          <w:rFonts w:hint="eastAsia" w:ascii="仿宋" w:hAnsi="仿宋" w:eastAsia="仿宋" w:cs="仿宋"/>
          <w:color w:val="auto"/>
          <w:sz w:val="24"/>
          <w:highlight w:val="none"/>
          <w:lang w:val="en-US" w:eastAsia="zh-CN"/>
        </w:rPr>
        <w:t>。</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lang w:val="en-US" w:eastAsia="zh-CN"/>
        </w:rPr>
      </w:pPr>
      <w:bookmarkStart w:id="46" w:name="_Toc11262"/>
      <w:r>
        <w:rPr>
          <w:rFonts w:hint="eastAsia" w:ascii="仿宋" w:hAnsi="仿宋" w:eastAsia="仿宋" w:cs="仿宋"/>
          <w:b/>
          <w:color w:val="auto"/>
          <w:sz w:val="32"/>
          <w:szCs w:val="32"/>
          <w:highlight w:val="none"/>
          <w:lang w:val="en-US" w:eastAsia="zh-CN"/>
        </w:rPr>
        <w:t>采购费用</w:t>
      </w:r>
      <w:bookmarkEnd w:id="46"/>
    </w:p>
    <w:bookmarkEnd w:id="37"/>
    <w:bookmarkEnd w:id="38"/>
    <w:bookmarkEnd w:id="39"/>
    <w:bookmarkEnd w:id="40"/>
    <w:bookmarkEnd w:id="41"/>
    <w:bookmarkEnd w:id="42"/>
    <w:bookmarkEnd w:id="43"/>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（1）本项目不收取保证金。</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（2）代理服务费：由成交单位缴纳代理服务费，具体要求详见供应商须知前附表。</w:t>
      </w:r>
    </w:p>
    <w:p>
      <w:pPr>
        <w:pageBreakBefore w:val="0"/>
        <w:kinsoku/>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内蒙古电力集团电子采购系统</w:t>
      </w:r>
      <w:r>
        <w:rPr>
          <w:rFonts w:hint="eastAsia" w:ascii="仿宋" w:hAnsi="仿宋" w:eastAsia="仿宋" w:cs="仿宋"/>
          <w:color w:val="auto"/>
          <w:sz w:val="24"/>
          <w:szCs w:val="24"/>
          <w:highlight w:val="none"/>
        </w:rPr>
        <w:t>使用服务费：本项目采用全流程电子采购，每标段每家供应商需（在</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采购文件后，上传响应文件前）在线向电子交易平台缴纳电子响应服务费</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00元/标段/次</w:t>
      </w:r>
      <w:r>
        <w:rPr>
          <w:rFonts w:hint="eastAsia" w:ascii="仿宋" w:hAnsi="仿宋" w:eastAsia="仿宋" w:cs="仿宋"/>
          <w:color w:val="auto"/>
          <w:sz w:val="24"/>
          <w:szCs w:val="24"/>
          <w:highlight w:val="none"/>
          <w:lang w:eastAsia="zh-CN"/>
        </w:rPr>
        <w:t>。</w:t>
      </w:r>
    </w:p>
    <w:p>
      <w:pPr>
        <w:pStyle w:val="2"/>
        <w:spacing w:line="360" w:lineRule="auto"/>
        <w:rPr>
          <w:rFonts w:hint="eastAsia" w:ascii="仿宋" w:hAnsi="仿宋" w:eastAsia="仿宋" w:cs="仿宋"/>
          <w:color w:val="C00000"/>
          <w:kern w:val="2"/>
          <w:sz w:val="24"/>
          <w:szCs w:val="24"/>
          <w:highlight w:val="none"/>
          <w:lang w:val="en-US" w:eastAsia="zh-CN" w:bidi="ar-SA"/>
        </w:rPr>
      </w:pPr>
      <w:r>
        <w:rPr>
          <w:rFonts w:hint="eastAsia" w:ascii="仿宋" w:hAnsi="仿宋" w:eastAsia="仿宋" w:cs="仿宋"/>
          <w:color w:val="C00000"/>
          <w:sz w:val="24"/>
          <w:szCs w:val="24"/>
          <w:highlight w:val="none"/>
        </w:rPr>
        <w:t>（4）场所服务费</w:t>
      </w:r>
      <w:r>
        <w:rPr>
          <w:rFonts w:hint="eastAsia" w:ascii="仿宋" w:hAnsi="仿宋" w:eastAsia="仿宋" w:cs="仿宋"/>
          <w:color w:val="C00000"/>
          <w:sz w:val="24"/>
          <w:szCs w:val="24"/>
          <w:highlight w:val="none"/>
          <w:lang w:eastAsia="zh-CN"/>
        </w:rPr>
        <w:t>：</w:t>
      </w:r>
      <w:r>
        <w:rPr>
          <w:rFonts w:hint="eastAsia" w:ascii="仿宋" w:hAnsi="仿宋" w:eastAsia="仿宋" w:cs="仿宋"/>
          <w:color w:val="C00000"/>
          <w:kern w:val="2"/>
          <w:sz w:val="24"/>
          <w:szCs w:val="24"/>
          <w:highlight w:val="none"/>
          <w:lang w:val="en-US" w:eastAsia="zh-CN" w:bidi="ar-SA"/>
        </w:rPr>
        <w:t>每包件/标段中标人需向内蒙古电子招标投标交易平台缴纳平台使用服务费，场所服务费由中标人缴纳中标金额的千分之一，四舍五入到元，不足500元按照500元计取；框架、费率等没有实际中标金额的每家中标人收取1000元，中标金额上不封顶。服务费缴纳方式为现金或公对公转账，账户信息详见供应商须知前附表。</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成交供应商须在成交结果公告发布后次日起，三个工作日内完成代理服务费、</w:t>
      </w:r>
      <w:r>
        <w:rPr>
          <w:rFonts w:hint="eastAsia" w:ascii="仿宋" w:hAnsi="仿宋" w:eastAsia="仿宋" w:cs="仿宋"/>
          <w:color w:val="C00000"/>
          <w:sz w:val="24"/>
          <w:szCs w:val="24"/>
          <w:lang w:val="en-US" w:eastAsia="zh-CN"/>
        </w:rPr>
        <w:t>场地服务费</w:t>
      </w:r>
      <w:r>
        <w:rPr>
          <w:rFonts w:hint="eastAsia" w:ascii="仿宋" w:hAnsi="仿宋" w:eastAsia="仿宋" w:cs="仿宋"/>
          <w:sz w:val="24"/>
          <w:szCs w:val="24"/>
          <w:lang w:val="en-US" w:eastAsia="zh-CN"/>
        </w:rPr>
        <w:t>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0" w:leftChars="0" w:firstLine="643" w:firstLineChars="200"/>
        <w:contextualSpacing/>
        <w:textAlignment w:val="auto"/>
        <w:outlineLvl w:val="1"/>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公告发布的媒介</w:t>
      </w:r>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color w:val="auto"/>
          <w:sz w:val="24"/>
          <w:szCs w:val="24"/>
          <w:highlight w:val="none"/>
        </w:rPr>
      </w:pPr>
      <w:bookmarkStart w:id="47" w:name="_Toc39827101"/>
      <w:bookmarkStart w:id="48" w:name="_Toc39827536"/>
      <w:bookmarkStart w:id="49" w:name="_Toc38213886"/>
      <w:bookmarkStart w:id="50" w:name="_Toc39827471"/>
      <w:bookmarkStart w:id="51" w:name="_Toc449193539"/>
      <w:bookmarkStart w:id="52" w:name="_Toc449194190"/>
      <w:bookmarkStart w:id="53" w:name="_Toc487214774"/>
      <w:bookmarkStart w:id="54" w:name="_Toc487729876"/>
      <w:r>
        <w:rPr>
          <w:rFonts w:hint="eastAsia" w:ascii="仿宋" w:hAnsi="仿宋" w:eastAsia="仿宋" w:cs="仿宋"/>
          <w:color w:val="auto"/>
          <w:sz w:val="24"/>
          <w:szCs w:val="24"/>
          <w:highlight w:val="none"/>
        </w:rPr>
        <w:t>本次公告在《中国招标投标公共服务平台》（www.cebpubservice.com）、</w:t>
      </w:r>
      <w:r>
        <w:rPr>
          <w:rFonts w:hint="eastAsia" w:ascii="仿宋" w:hAnsi="仿宋" w:eastAsia="仿宋" w:cs="仿宋"/>
          <w:color w:val="auto"/>
          <w:sz w:val="24"/>
          <w:szCs w:val="24"/>
          <w:highlight w:val="none"/>
          <w:lang w:val="en-US" w:eastAsia="zh-CN"/>
        </w:rPr>
        <w:t>《内蒙古招标投标公共服务平台》（http://zbgg.nmgztb.com.cn/）、</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内蒙古电力集团电子采购系统</w:t>
      </w:r>
      <w:r>
        <w:rPr>
          <w:rFonts w:hint="eastAsia" w:ascii="仿宋" w:hAnsi="仿宋" w:eastAsia="仿宋" w:cs="仿宋"/>
          <w:color w:val="auto"/>
          <w:sz w:val="24"/>
          <w:szCs w:val="24"/>
          <w:highlight w:val="none"/>
        </w:rPr>
        <w:t>》</w:t>
      </w:r>
      <w:r>
        <w:rPr>
          <w:rFonts w:hint="eastAsia" w:ascii="仿宋" w:hAnsi="仿宋" w:eastAsia="仿宋" w:cs="仿宋"/>
          <w:b w:val="0"/>
          <w:bCs/>
          <w:color w:val="auto"/>
          <w:sz w:val="24"/>
          <w:szCs w:val="24"/>
          <w:highlight w:val="none"/>
          <w:lang w:val="en-US" w:eastAsia="zh-CN"/>
        </w:rPr>
        <w:t>（http://guocai-impc.cppchina.cn）、</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内蒙古自治区企业阳光采购服务平台</w:t>
      </w:r>
      <w:r>
        <w:rPr>
          <w:rFonts w:hint="eastAsia" w:ascii="仿宋" w:hAnsi="仿宋" w:eastAsia="仿宋" w:cs="仿宋"/>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http://nmgygcg.ejy365.com/</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同时发布，其它媒介转发无效。</w:t>
      </w:r>
      <w:bookmarkEnd w:id="47"/>
      <w:bookmarkEnd w:id="48"/>
      <w:bookmarkEnd w:id="49"/>
      <w:bookmarkEnd w:id="50"/>
    </w:p>
    <w:bookmarkEnd w:id="51"/>
    <w:bookmarkEnd w:id="52"/>
    <w:bookmarkEnd w:id="53"/>
    <w:bookmarkEnd w:id="54"/>
    <w:p>
      <w:pPr>
        <w:numPr>
          <w:ilvl w:val="0"/>
          <w:numId w:val="1"/>
        </w:numPr>
        <w:adjustRightInd w:val="0"/>
        <w:snapToGrid/>
        <w:spacing w:beforeLines="50" w:afterLines="50" w:line="360" w:lineRule="auto"/>
        <w:ind w:firstLine="643" w:firstLineChars="200"/>
        <w:contextualSpacing/>
        <w:outlineLvl w:val="1"/>
        <w:rPr>
          <w:rFonts w:hint="eastAsia" w:ascii="仿宋" w:hAnsi="仿宋" w:eastAsia="仿宋" w:cs="仿宋"/>
          <w:b/>
          <w:bCs w:val="0"/>
          <w:color w:val="auto"/>
          <w:sz w:val="32"/>
          <w:szCs w:val="32"/>
          <w:highlight w:val="none"/>
          <w:shd w:val="clear" w:color="auto" w:fill="auto"/>
        </w:rPr>
      </w:pPr>
      <w:r>
        <w:rPr>
          <w:rFonts w:hint="eastAsia" w:ascii="仿宋" w:hAnsi="仿宋" w:eastAsia="仿宋" w:cs="仿宋"/>
          <w:b/>
          <w:bCs w:val="0"/>
          <w:color w:val="auto"/>
          <w:sz w:val="32"/>
          <w:szCs w:val="32"/>
          <w:highlight w:val="none"/>
          <w:shd w:val="clear" w:color="auto" w:fill="auto"/>
        </w:rPr>
        <w:t>联系方式</w:t>
      </w:r>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sz w:val="21"/>
          <w:highlight w:val="none"/>
          <w:lang w:eastAsia="zh-CN"/>
        </w:rPr>
      </w:pPr>
      <w:r>
        <w:rPr>
          <w:rFonts w:hint="eastAsia" w:ascii="仿宋" w:hAnsi="仿宋" w:eastAsia="仿宋" w:cs="仿宋"/>
          <w:color w:val="auto"/>
          <w:sz w:val="24"/>
          <w:highlight w:val="none"/>
        </w:rPr>
        <w:t>采购人：</w:t>
      </w:r>
      <w:r>
        <w:rPr>
          <w:rFonts w:hint="eastAsia" w:ascii="仿宋" w:hAnsi="仿宋" w:eastAsia="仿宋" w:cs="仿宋"/>
          <w:color w:val="auto"/>
          <w:sz w:val="24"/>
          <w:highlight w:val="none"/>
          <w:lang w:eastAsia="zh-CN"/>
        </w:rPr>
        <w:t>内蒙古电力（集团）有限责任公司鄂尔多斯供电分公司物资供应处</w:t>
      </w:r>
    </w:p>
    <w:p>
      <w:pPr>
        <w:widowControl w:val="0"/>
        <w:spacing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地址：内蒙古自治区鄂尔多斯市康巴什区</w:t>
      </w:r>
    </w:p>
    <w:p>
      <w:pPr>
        <w:widowControl w:val="0"/>
        <w:spacing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联系人：赵伟 </w:t>
      </w:r>
    </w:p>
    <w:p>
      <w:pPr>
        <w:widowControl w:val="0"/>
        <w:spacing w:line="360" w:lineRule="auto"/>
        <w:ind w:firstLine="480" w:firstLineChars="200"/>
        <w:jc w:val="both"/>
        <w:rPr>
          <w:rFonts w:hint="eastAsia"/>
          <w:highlight w:val="none"/>
          <w:lang w:val="en-US" w:eastAsia="zh-CN"/>
        </w:rPr>
      </w:pPr>
      <w:r>
        <w:rPr>
          <w:rFonts w:hint="eastAsia" w:ascii="仿宋" w:hAnsi="仿宋" w:eastAsia="仿宋" w:cs="仿宋"/>
          <w:color w:val="auto"/>
          <w:kern w:val="0"/>
          <w:sz w:val="24"/>
          <w:szCs w:val="24"/>
          <w:highlight w:val="none"/>
          <w:lang w:val="en-US" w:eastAsia="zh-CN" w:bidi="ar-SA"/>
        </w:rPr>
        <w:t>联系电话：0477-8598759</w:t>
      </w:r>
    </w:p>
    <w:p>
      <w:pPr>
        <w:widowControl w:val="0"/>
        <w:spacing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异议受理电话：15044738222</w:t>
      </w:r>
    </w:p>
    <w:p>
      <w:pPr>
        <w:widowControl w:val="0"/>
        <w:spacing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异议受理邮箱：</w:t>
      </w:r>
      <w:r>
        <w:rPr>
          <w:rFonts w:hint="eastAsia" w:ascii="仿宋" w:hAnsi="仿宋" w:eastAsia="仿宋" w:cs="仿宋"/>
          <w:color w:val="auto"/>
          <w:kern w:val="0"/>
          <w:sz w:val="24"/>
          <w:szCs w:val="24"/>
          <w:highlight w:val="none"/>
          <w:lang w:val="en-US" w:eastAsia="zh-CN" w:bidi="ar-SA"/>
        </w:rPr>
        <w:fldChar w:fldCharType="begin"/>
      </w:r>
      <w:r>
        <w:rPr>
          <w:rFonts w:hint="eastAsia" w:ascii="仿宋" w:hAnsi="仿宋" w:eastAsia="仿宋" w:cs="仿宋"/>
          <w:color w:val="auto"/>
          <w:kern w:val="0"/>
          <w:sz w:val="24"/>
          <w:szCs w:val="24"/>
          <w:highlight w:val="none"/>
          <w:lang w:val="en-US" w:eastAsia="zh-CN" w:bidi="ar-SA"/>
        </w:rPr>
        <w:instrText xml:space="preserve"> HYPERLINK "mailto:gw15149493091@163.com" </w:instrText>
      </w:r>
      <w:r>
        <w:rPr>
          <w:rFonts w:hint="eastAsia" w:ascii="仿宋" w:hAnsi="仿宋" w:eastAsia="仿宋" w:cs="仿宋"/>
          <w:color w:val="auto"/>
          <w:kern w:val="0"/>
          <w:sz w:val="24"/>
          <w:szCs w:val="24"/>
          <w:highlight w:val="none"/>
          <w:lang w:val="en-US" w:eastAsia="zh-CN" w:bidi="ar-SA"/>
        </w:rPr>
        <w:fldChar w:fldCharType="separate"/>
      </w:r>
      <w:r>
        <w:rPr>
          <w:rFonts w:hint="eastAsia" w:ascii="仿宋" w:hAnsi="仿宋" w:eastAsia="仿宋" w:cs="仿宋"/>
          <w:color w:val="auto"/>
          <w:kern w:val="0"/>
          <w:sz w:val="24"/>
          <w:szCs w:val="24"/>
          <w:highlight w:val="none"/>
          <w:lang w:val="en-US" w:eastAsia="zh-CN" w:bidi="ar-SA"/>
        </w:rPr>
        <w:t>gw15149493091@163.com</w:t>
      </w:r>
      <w:r>
        <w:rPr>
          <w:rFonts w:hint="eastAsia" w:ascii="仿宋" w:hAnsi="仿宋" w:eastAsia="仿宋" w:cs="仿宋"/>
          <w:color w:val="auto"/>
          <w:kern w:val="0"/>
          <w:sz w:val="24"/>
          <w:szCs w:val="24"/>
          <w:highlight w:val="none"/>
          <w:lang w:val="en-US" w:eastAsia="zh-CN" w:bidi="ar-SA"/>
        </w:rPr>
        <w:fldChar w:fldCharType="end"/>
      </w: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lang w:val="en-US" w:eastAsia="zh-CN"/>
        </w:rPr>
      </w:pP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采购</w:t>
      </w:r>
      <w:r>
        <w:rPr>
          <w:rFonts w:hint="eastAsia" w:ascii="仿宋" w:hAnsi="仿宋" w:eastAsia="仿宋" w:cs="仿宋"/>
          <w:color w:val="auto"/>
          <w:kern w:val="0"/>
          <w:sz w:val="24"/>
          <w:szCs w:val="24"/>
          <w:highlight w:val="none"/>
        </w:rPr>
        <w:t>代理机构</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福建安华发展有限公司</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地</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址：</w:t>
      </w:r>
      <w:r>
        <w:rPr>
          <w:rFonts w:hint="eastAsia" w:ascii="仿宋" w:hAnsi="仿宋" w:eastAsia="仿宋" w:cs="仿宋"/>
          <w:color w:val="auto"/>
          <w:kern w:val="0"/>
          <w:sz w:val="24"/>
          <w:szCs w:val="24"/>
          <w:highlight w:val="none"/>
          <w:lang w:val="en-US" w:eastAsia="zh-CN"/>
        </w:rPr>
        <w:t>内蒙古自治区呼和浩特市玉泉区恒盛广场D座1708室</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 系 人：</w:t>
      </w:r>
      <w:r>
        <w:rPr>
          <w:rFonts w:hint="eastAsia" w:ascii="仿宋" w:hAnsi="仿宋" w:eastAsia="仿宋" w:cs="仿宋"/>
          <w:color w:val="auto"/>
          <w:kern w:val="0"/>
          <w:sz w:val="24"/>
          <w:szCs w:val="24"/>
          <w:highlight w:val="none"/>
          <w:lang w:val="en-US" w:eastAsia="zh-CN"/>
        </w:rPr>
        <w:t>徐娜、彭佳鑫、武晓春、齐鑫</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联系电话</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18547858255、13347121525</w:t>
      </w: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邮    箱</w:t>
      </w:r>
      <w:r>
        <w:rPr>
          <w:rFonts w:hint="eastAsia" w:ascii="仿宋" w:hAnsi="仿宋" w:eastAsia="仿宋" w:cs="仿宋"/>
          <w:color w:val="auto"/>
          <w:kern w:val="0"/>
          <w:sz w:val="24"/>
          <w:szCs w:val="24"/>
          <w:highlight w:val="none"/>
        </w:rPr>
        <w:t>：</w:t>
      </w:r>
      <w:r>
        <w:rPr>
          <w:rFonts w:hint="eastAsia" w:ascii="仿宋" w:hAnsi="仿宋" w:eastAsia="仿宋" w:cs="仿宋"/>
          <w:sz w:val="22"/>
          <w:szCs w:val="22"/>
          <w:highlight w:val="none"/>
          <w:lang w:eastAsia="zh-CN"/>
        </w:rPr>
        <w:t>fjahfzgs@163.com</w:t>
      </w:r>
    </w:p>
    <w:p>
      <w:pPr>
        <w:jc w:val="right"/>
        <w:rPr>
          <w:rFonts w:hint="eastAsia" w:ascii="仿宋" w:hAnsi="仿宋" w:eastAsia="仿宋" w:cs="仿宋"/>
          <w:b/>
          <w:color w:val="auto"/>
          <w:sz w:val="24"/>
          <w:highlight w:val="none"/>
          <w:shd w:val="clear" w:color="auto" w:fill="auto"/>
          <w:lang w:eastAsia="zh-CN"/>
        </w:rPr>
      </w:pPr>
    </w:p>
    <w:p>
      <w:pPr>
        <w:jc w:val="right"/>
        <w:rPr>
          <w:rFonts w:hint="eastAsia" w:ascii="仿宋" w:hAnsi="仿宋" w:eastAsia="仿宋" w:cs="仿宋"/>
          <w:b/>
          <w:color w:val="auto"/>
          <w:sz w:val="24"/>
          <w:highlight w:val="none"/>
          <w:shd w:val="clear" w:color="auto" w:fill="auto"/>
          <w:lang w:eastAsia="zh-CN"/>
        </w:rPr>
      </w:pPr>
    </w:p>
    <w:p>
      <w:pPr>
        <w:pStyle w:val="7"/>
        <w:jc w:val="right"/>
      </w:pPr>
      <w:r>
        <w:rPr>
          <w:rFonts w:hint="eastAsia" w:ascii="仿宋" w:hAnsi="仿宋" w:eastAsia="仿宋" w:cs="仿宋"/>
          <w:b/>
          <w:bCs/>
          <w:color w:val="auto"/>
          <w:sz w:val="24"/>
          <w:highlight w:val="none"/>
          <w:lang w:val="en-US" w:eastAsia="zh-CN"/>
        </w:rPr>
        <w:t>2023</w:t>
      </w:r>
      <w:r>
        <w:rPr>
          <w:rFonts w:hint="eastAsia" w:ascii="仿宋" w:hAnsi="仿宋" w:eastAsia="仿宋" w:cs="仿宋"/>
          <w:b/>
          <w:bCs/>
          <w:color w:val="auto"/>
          <w:sz w:val="24"/>
          <w:highlight w:val="none"/>
        </w:rPr>
        <w:t>年</w:t>
      </w:r>
      <w:r>
        <w:rPr>
          <w:rFonts w:hint="eastAsia" w:ascii="仿宋" w:hAnsi="仿宋" w:eastAsia="仿宋" w:cs="仿宋"/>
          <w:b/>
          <w:bCs/>
          <w:color w:val="auto"/>
          <w:sz w:val="24"/>
          <w:highlight w:val="none"/>
          <w:lang w:val="en-US" w:eastAsia="zh-CN"/>
        </w:rPr>
        <w:t>10</w:t>
      </w:r>
      <w:r>
        <w:rPr>
          <w:rFonts w:hint="eastAsia" w:ascii="仿宋" w:hAnsi="仿宋" w:eastAsia="仿宋" w:cs="仿宋"/>
          <w:b/>
          <w:bCs/>
          <w:color w:val="auto"/>
          <w:sz w:val="24"/>
          <w:highlight w:val="none"/>
        </w:rPr>
        <w:t>月</w:t>
      </w:r>
      <w:r>
        <w:rPr>
          <w:rFonts w:hint="eastAsia" w:ascii="仿宋" w:hAnsi="仿宋" w:eastAsia="仿宋" w:cs="仿宋"/>
          <w:b/>
          <w:bCs/>
          <w:color w:val="auto"/>
          <w:sz w:val="24"/>
          <w:highlight w:val="none"/>
          <w:lang w:val="en-US" w:eastAsia="zh-CN"/>
        </w:rPr>
        <w:t>24</w:t>
      </w:r>
      <w:r>
        <w:rPr>
          <w:rFonts w:hint="eastAsia" w:ascii="仿宋" w:hAnsi="仿宋" w:eastAsia="仿宋" w:cs="仿宋"/>
          <w:b/>
          <w:bCs/>
          <w:color w:val="auto"/>
          <w:sz w:val="24"/>
          <w:highlight w:val="none"/>
        </w:rPr>
        <w:t>日</w:t>
      </w:r>
    </w:p>
    <w:sectPr>
      <w:footerReference r:id="rId5" w:type="default"/>
      <w:pgSz w:w="11906" w:h="16838"/>
      <w:pgMar w:top="1440" w:right="1440" w:bottom="1440" w:left="144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13D82654"/>
    <w:multiLevelType w:val="singleLevel"/>
    <w:tmpl w:val="13D8265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YmE3NDJhOTk0MjMzMDA1ZTkzMGRhMTNjMzg5NDQifQ=="/>
  </w:docVars>
  <w:rsids>
    <w:rsidRoot w:val="34E81302"/>
    <w:rsid w:val="2C2633EB"/>
    <w:rsid w:val="34E81302"/>
    <w:rsid w:val="41947504"/>
    <w:rsid w:val="4442366A"/>
    <w:rsid w:val="5F5875E4"/>
    <w:rsid w:val="60A86FD2"/>
    <w:rsid w:val="67105A03"/>
    <w:rsid w:val="701622E8"/>
    <w:rsid w:val="7A24079D"/>
    <w:rsid w:val="7E8A0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qFormat/>
    <w:uiPriority w:val="0"/>
    <w:pPr>
      <w:ind w:firstLine="360" w:firstLineChars="200"/>
    </w:pPr>
    <w:rPr>
      <w:sz w:val="18"/>
    </w:rPr>
  </w:style>
  <w:style w:type="paragraph" w:customStyle="1" w:styleId="4">
    <w:name w:val="p16"/>
    <w:basedOn w:val="1"/>
    <w:next w:val="5"/>
    <w:qFormat/>
    <w:uiPriority w:val="0"/>
    <w:pPr>
      <w:widowControl/>
      <w:spacing w:line="400" w:lineRule="atLeast"/>
    </w:pPr>
    <w:rPr>
      <w:kern w:val="0"/>
      <w:sz w:val="24"/>
    </w:rPr>
  </w:style>
  <w:style w:type="paragraph" w:styleId="5">
    <w:name w:val="toc 2"/>
    <w:basedOn w:val="1"/>
    <w:next w:val="1"/>
    <w:qFormat/>
    <w:uiPriority w:val="39"/>
    <w:pPr>
      <w:ind w:left="210"/>
      <w:jc w:val="left"/>
    </w:pPr>
    <w:rPr>
      <w:rFonts w:ascii="Times New Roman" w:hAnsi="Times New Roman" w:eastAsia="宋体" w:cs="Times New Roman"/>
      <w:smallCaps/>
      <w:sz w:val="20"/>
      <w:szCs w:val="20"/>
    </w:rPr>
  </w:style>
  <w:style w:type="paragraph" w:styleId="6">
    <w:name w:val="Normal Indent"/>
    <w:basedOn w:val="1"/>
    <w:next w:val="7"/>
    <w:qFormat/>
    <w:uiPriority w:val="0"/>
    <w:pPr>
      <w:widowControl/>
      <w:ind w:firstLine="420"/>
      <w:jc w:val="left"/>
    </w:pPr>
    <w:rPr>
      <w:rFonts w:ascii="Calibri" w:hAnsi="Calibri" w:eastAsia="宋体" w:cs="Times New Roman"/>
      <w:kern w:val="0"/>
      <w:sz w:val="20"/>
      <w:szCs w:val="20"/>
    </w:rPr>
  </w:style>
  <w:style w:type="paragraph" w:styleId="7">
    <w:name w:val="Plain Text"/>
    <w:basedOn w:val="1"/>
    <w:next w:val="8"/>
    <w:qFormat/>
    <w:uiPriority w:val="0"/>
    <w:rPr>
      <w:rFonts w:ascii="宋体" w:hAnsi="Courier New" w:eastAsia="宋体" w:cs="Courier New"/>
      <w:kern w:val="0"/>
      <w:sz w:val="20"/>
      <w:szCs w:val="21"/>
    </w:rPr>
  </w:style>
  <w:style w:type="paragraph" w:styleId="8">
    <w:name w:val="Date"/>
    <w:basedOn w:val="1"/>
    <w:next w:val="1"/>
    <w:qFormat/>
    <w:uiPriority w:val="0"/>
    <w:rPr>
      <w:rFonts w:ascii="Times New Roman" w:hAnsi="Times New Roman" w:eastAsia="宋体" w:cs="Times New Roman"/>
      <w:kern w:val="0"/>
      <w:sz w:val="24"/>
      <w:szCs w:val="20"/>
    </w:rPr>
  </w:style>
  <w:style w:type="paragraph" w:styleId="9">
    <w:name w:val="Body Text"/>
    <w:basedOn w:val="1"/>
    <w:next w:val="10"/>
    <w:qFormat/>
    <w:uiPriority w:val="0"/>
    <w:rPr>
      <w:rFonts w:ascii="宋体" w:hAnsi="宋体" w:eastAsia="宋体" w:cs="Times New Roman"/>
      <w:kern w:val="0"/>
      <w:sz w:val="28"/>
    </w:rPr>
  </w:style>
  <w:style w:type="paragraph" w:customStyle="1" w:styleId="1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footer"/>
    <w:basedOn w:val="1"/>
    <w:next w:val="9"/>
    <w:qFormat/>
    <w:uiPriority w:val="0"/>
    <w:pPr>
      <w:tabs>
        <w:tab w:val="center" w:pos="4153"/>
        <w:tab w:val="right" w:pos="8306"/>
      </w:tabs>
      <w:snapToGrid w:val="0"/>
      <w:jc w:val="left"/>
    </w:pPr>
    <w:rPr>
      <w:sz w:val="18"/>
    </w:rPr>
  </w:style>
  <w:style w:type="paragraph" w:customStyle="1" w:styleId="14">
    <w:name w:val="无间隔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4159</Words>
  <Characters>4808</Characters>
  <Lines>0</Lines>
  <Paragraphs>0</Paragraphs>
  <TotalTime>21</TotalTime>
  <ScaleCrop>false</ScaleCrop>
  <LinksUpToDate>false</LinksUpToDate>
  <CharactersWithSpaces>4846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2023-10-15T03:05:00Z</dcterms:created>
  <dc:creator>DELL</dc:creator>
  <cp:lastModifiedBy>AD</cp:lastModifiedBy>
  <dcterms:modified xsi:type="dcterms:W3CDTF">2023-10-24T08:21:17Z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81D000C2672E4899B2908D400DA6A43C_11</vt:lpwstr>
  </property>
</Properties>
</file>