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9356"/>
        </w:tabs>
        <w:kinsoku/>
        <w:overflowPunct/>
        <w:topLinePunct w:val="0"/>
        <w:autoSpaceDE/>
        <w:autoSpaceDN/>
        <w:bidi w:val="0"/>
        <w:snapToGrid/>
        <w:spacing w:line="360" w:lineRule="auto"/>
        <w:ind w:left="0" w:leftChars="0" w:firstLine="0" w:firstLineChars="0"/>
        <w:jc w:val="center"/>
        <w:textAlignment w:val="auto"/>
        <w:rPr>
          <w:rFonts w:hint="eastAsia" w:ascii="仿宋" w:hAnsi="仿宋" w:eastAsia="仿宋" w:cs="仿宋"/>
          <w:b/>
          <w:kern w:val="0"/>
          <w:sz w:val="36"/>
          <w:szCs w:val="36"/>
          <w:lang w:val="en-US" w:eastAsia="zh-CN"/>
        </w:rPr>
      </w:pPr>
      <w:r>
        <w:rPr>
          <w:rFonts w:hint="eastAsia" w:ascii="仿宋" w:hAnsi="仿宋" w:eastAsia="仿宋" w:cs="仿宋"/>
          <w:b/>
          <w:kern w:val="0"/>
          <w:sz w:val="36"/>
          <w:szCs w:val="36"/>
          <w:lang w:val="en-US" w:eastAsia="zh-CN"/>
        </w:rPr>
        <w:t>鄂尔多斯供电公司2023年第三批供电单位应急资金项目（配网）勘察、设计、监理采购</w:t>
      </w:r>
    </w:p>
    <w:p>
      <w:pPr>
        <w:keepNext w:val="0"/>
        <w:keepLines w:val="0"/>
        <w:pageBreakBefore w:val="0"/>
        <w:widowControl w:val="0"/>
        <w:tabs>
          <w:tab w:val="left" w:pos="9356"/>
        </w:tabs>
        <w:kinsoku/>
        <w:overflowPunct/>
        <w:topLinePunct w:val="0"/>
        <w:autoSpaceDE/>
        <w:autoSpaceDN/>
        <w:bidi w:val="0"/>
        <w:snapToGrid/>
        <w:spacing w:line="360" w:lineRule="auto"/>
        <w:ind w:left="0" w:leftChars="0" w:firstLine="0" w:firstLineChars="0"/>
        <w:jc w:val="center"/>
        <w:textAlignment w:val="auto"/>
        <w:rPr>
          <w:rFonts w:hint="eastAsia" w:ascii="仿宋" w:hAnsi="仿宋" w:eastAsia="仿宋" w:cs="仿宋"/>
          <w:b/>
          <w:kern w:val="0"/>
          <w:sz w:val="36"/>
          <w:szCs w:val="36"/>
        </w:rPr>
      </w:pPr>
      <w:r>
        <w:rPr>
          <w:rFonts w:hint="eastAsia" w:ascii="仿宋" w:hAnsi="仿宋" w:eastAsia="仿宋" w:cs="仿宋"/>
          <w:b/>
          <w:kern w:val="0"/>
          <w:sz w:val="36"/>
          <w:szCs w:val="36"/>
          <w:lang w:val="en-US" w:eastAsia="zh-CN"/>
        </w:rPr>
        <w:t>询比采购</w:t>
      </w:r>
      <w:r>
        <w:rPr>
          <w:rFonts w:hint="eastAsia" w:ascii="仿宋" w:hAnsi="仿宋" w:eastAsia="仿宋" w:cs="仿宋"/>
          <w:b/>
          <w:kern w:val="0"/>
          <w:sz w:val="36"/>
          <w:szCs w:val="36"/>
        </w:rPr>
        <w:t>公告</w:t>
      </w:r>
    </w:p>
    <w:p>
      <w:pPr>
        <w:pStyle w:val="2"/>
        <w:keepNext w:val="0"/>
        <w:keepLines w:val="0"/>
        <w:pageBreakBefore w:val="0"/>
        <w:widowControl w:val="0"/>
        <w:tabs>
          <w:tab w:val="left" w:pos="9356"/>
        </w:tabs>
        <w:kinsoku/>
        <w:overflowPunct/>
        <w:topLinePunct w:val="0"/>
        <w:autoSpaceDE/>
        <w:autoSpaceDN/>
        <w:bidi w:val="0"/>
        <w:snapToGrid/>
        <w:spacing w:line="360" w:lineRule="auto"/>
        <w:ind w:left="0" w:leftChars="0" w:firstLine="0" w:firstLineChars="0"/>
        <w:jc w:val="center"/>
        <w:textAlignment w:val="auto"/>
        <w:rPr>
          <w:rFonts w:hint="default"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rPr>
        <w:t>项目编号:</w:t>
      </w:r>
      <w:r>
        <w:rPr>
          <w:rFonts w:hint="eastAsia" w:ascii="仿宋" w:hAnsi="仿宋" w:eastAsia="仿宋" w:cs="仿宋"/>
          <w:kern w:val="0"/>
          <w:sz w:val="21"/>
          <w:szCs w:val="21"/>
          <w:highlight w:val="none"/>
          <w:lang w:eastAsia="zh-CN"/>
        </w:rPr>
        <w:t>TC239K0</w:t>
      </w:r>
      <w:r>
        <w:rPr>
          <w:rFonts w:hint="eastAsia" w:ascii="仿宋" w:hAnsi="仿宋" w:eastAsia="仿宋" w:cs="仿宋"/>
          <w:kern w:val="0"/>
          <w:sz w:val="21"/>
          <w:szCs w:val="21"/>
          <w:highlight w:val="none"/>
          <w:lang w:val="en-US" w:eastAsia="zh-CN"/>
        </w:rPr>
        <w:t>6Y</w:t>
      </w:r>
    </w:p>
    <w:p>
      <w:pPr>
        <w:keepNext w:val="0"/>
        <w:keepLines w:val="0"/>
        <w:pageBreakBefore w:val="0"/>
        <w:widowControl w:val="0"/>
        <w:numPr>
          <w:ilvl w:val="0"/>
          <w:numId w:val="0"/>
        </w:numPr>
        <w:kinsoku/>
        <w:wordWrap/>
        <w:overflowPunct/>
        <w:topLinePunct w:val="0"/>
        <w:autoSpaceDE/>
        <w:autoSpaceDN/>
        <w:bidi w:val="0"/>
        <w:adjustRightInd w:val="0"/>
        <w:snapToGrid/>
        <w:spacing w:beforeLines="50" w:afterLines="50" w:line="360" w:lineRule="auto"/>
        <w:ind w:firstLine="480" w:firstLineChars="200"/>
        <w:contextualSpacing/>
        <w:textAlignment w:val="auto"/>
        <w:outlineLvl w:val="9"/>
        <w:rPr>
          <w:rFonts w:hint="eastAsia" w:ascii="仿宋" w:hAnsi="仿宋" w:eastAsia="仿宋" w:cs="仿宋"/>
          <w:b w:val="0"/>
          <w:bCs/>
          <w:sz w:val="24"/>
          <w:szCs w:val="24"/>
          <w:lang w:val="en-US" w:eastAsia="zh-CN"/>
        </w:rPr>
      </w:pPr>
      <w:bookmarkStart w:id="0" w:name="_Toc39827091"/>
      <w:bookmarkStart w:id="1" w:name="_Toc527978785"/>
      <w:bookmarkStart w:id="2" w:name="_Toc487214768"/>
      <w:bookmarkStart w:id="3" w:name="_Toc449194178"/>
      <w:bookmarkStart w:id="4" w:name="_Toc527970775"/>
      <w:bookmarkStart w:id="5" w:name="_Toc39827461"/>
      <w:bookmarkStart w:id="6" w:name="_Toc4102801"/>
      <w:bookmarkStart w:id="7" w:name="_Toc39827526"/>
      <w:bookmarkStart w:id="8" w:name="_Toc4148803"/>
      <w:bookmarkStart w:id="9" w:name="_Toc38213876"/>
      <w:bookmarkStart w:id="10" w:name="_Toc487729869"/>
      <w:bookmarkStart w:id="11" w:name="_Toc449193527"/>
      <w:r>
        <w:rPr>
          <w:rFonts w:hint="eastAsia" w:ascii="仿宋" w:hAnsi="仿宋" w:eastAsia="仿宋" w:cs="仿宋"/>
          <w:b w:val="0"/>
          <w:bCs/>
          <w:sz w:val="24"/>
          <w:szCs w:val="24"/>
          <w:lang w:val="en-US" w:eastAsia="zh-CN"/>
        </w:rPr>
        <w:t>本项目</w:t>
      </w:r>
      <w:r>
        <w:rPr>
          <w:rFonts w:hint="eastAsia" w:ascii="仿宋" w:hAnsi="仿宋" w:eastAsia="仿宋" w:cs="仿宋"/>
          <w:b/>
          <w:bCs/>
          <w:kern w:val="0"/>
          <w:sz w:val="24"/>
          <w:szCs w:val="24"/>
          <w:lang w:eastAsia="zh-CN"/>
        </w:rPr>
        <w:t>鄂尔多斯供电公司2023年第三批供电单位应急资金项目（配网）勘察、设计、监理采购</w:t>
      </w:r>
      <w:r>
        <w:rPr>
          <w:rFonts w:hint="eastAsia" w:ascii="仿宋" w:hAnsi="仿宋" w:eastAsia="仿宋" w:cs="仿宋"/>
          <w:b w:val="0"/>
          <w:bCs/>
          <w:sz w:val="24"/>
          <w:szCs w:val="24"/>
          <w:lang w:val="en-US" w:eastAsia="zh-CN"/>
        </w:rPr>
        <w:t>采购人为</w:t>
      </w:r>
      <w:r>
        <w:rPr>
          <w:rFonts w:hint="eastAsia" w:ascii="仿宋" w:hAnsi="仿宋" w:eastAsia="仿宋" w:cs="仿宋"/>
          <w:b/>
          <w:bCs w:val="0"/>
          <w:sz w:val="24"/>
          <w:szCs w:val="24"/>
          <w:lang w:val="en-US" w:eastAsia="zh-CN"/>
        </w:rPr>
        <w:t>内蒙古电力（集团）有限责任公司鄂尔多斯供电分公司物资供应处</w:t>
      </w:r>
      <w:r>
        <w:rPr>
          <w:rFonts w:hint="eastAsia" w:ascii="仿宋" w:hAnsi="仿宋" w:eastAsia="仿宋" w:cs="仿宋"/>
          <w:b w:val="0"/>
          <w:bCs/>
          <w:sz w:val="24"/>
          <w:szCs w:val="24"/>
          <w:lang w:val="en-US" w:eastAsia="zh-CN"/>
        </w:rPr>
        <w:t>，委托</w:t>
      </w:r>
      <w:r>
        <w:rPr>
          <w:rFonts w:hint="eastAsia" w:ascii="仿宋" w:hAnsi="仿宋" w:eastAsia="仿宋" w:cs="仿宋"/>
          <w:b/>
          <w:bCs/>
          <w:sz w:val="24"/>
          <w:szCs w:val="24"/>
          <w:lang w:val="en-US" w:eastAsia="zh-CN"/>
        </w:rPr>
        <w:t>中招国际招标有限公司</w:t>
      </w:r>
      <w:r>
        <w:rPr>
          <w:rFonts w:hint="eastAsia" w:ascii="仿宋" w:hAnsi="仿宋" w:eastAsia="仿宋" w:cs="仿宋"/>
          <w:b w:val="0"/>
          <w:bCs/>
          <w:sz w:val="24"/>
          <w:szCs w:val="24"/>
          <w:lang w:val="en-US" w:eastAsia="zh-CN"/>
        </w:rPr>
        <w:t>为采购代理机构。该项目已具备采购条件，</w:t>
      </w:r>
      <w:r>
        <w:rPr>
          <w:rFonts w:hint="eastAsia" w:ascii="仿宋" w:hAnsi="仿宋" w:eastAsia="仿宋" w:cs="仿宋"/>
          <w:kern w:val="0"/>
          <w:sz w:val="24"/>
          <w:szCs w:val="24"/>
        </w:rPr>
        <w:t>进行</w:t>
      </w:r>
      <w:r>
        <w:rPr>
          <w:rFonts w:hint="eastAsia" w:ascii="仿宋" w:hAnsi="仿宋" w:eastAsia="仿宋" w:cs="仿宋"/>
          <w:kern w:val="0"/>
          <w:sz w:val="24"/>
          <w:szCs w:val="24"/>
          <w:lang w:val="en-US" w:eastAsia="zh-CN"/>
        </w:rPr>
        <w:t>询比采购</w:t>
      </w:r>
      <w:r>
        <w:rPr>
          <w:rFonts w:hint="eastAsia" w:ascii="仿宋" w:hAnsi="仿宋" w:eastAsia="仿宋" w:cs="仿宋"/>
          <w:b w:val="0"/>
          <w:bCs/>
          <w:sz w:val="24"/>
          <w:szCs w:val="24"/>
          <w:lang w:val="en-US" w:eastAsia="zh-CN"/>
        </w:rPr>
        <w:t>。现将有关事宜公告如下：</w:t>
      </w:r>
    </w:p>
    <w:bookmarkEnd w:id="0"/>
    <w:bookmarkEnd w:id="1"/>
    <w:bookmarkEnd w:id="2"/>
    <w:bookmarkEnd w:id="3"/>
    <w:bookmarkEnd w:id="4"/>
    <w:bookmarkEnd w:id="5"/>
    <w:bookmarkEnd w:id="6"/>
    <w:bookmarkEnd w:id="7"/>
    <w:bookmarkEnd w:id="8"/>
    <w:bookmarkEnd w:id="9"/>
    <w:bookmarkEnd w:id="10"/>
    <w:bookmarkEnd w:id="11"/>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一、项目概况与采购内容</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rPr>
      </w:pPr>
      <w:r>
        <w:rPr>
          <w:rFonts w:hint="eastAsia" w:ascii="仿宋" w:hAnsi="仿宋" w:eastAsia="仿宋" w:cs="仿宋"/>
          <w:kern w:val="0"/>
          <w:sz w:val="24"/>
          <w:szCs w:val="24"/>
        </w:rPr>
        <w:t>1.1项目名称：</w:t>
      </w:r>
      <w:r>
        <w:rPr>
          <w:rFonts w:hint="eastAsia" w:ascii="仿宋" w:hAnsi="仿宋" w:eastAsia="仿宋" w:cs="仿宋"/>
          <w:kern w:val="0"/>
          <w:sz w:val="24"/>
          <w:szCs w:val="24"/>
          <w:lang w:eastAsia="zh-CN"/>
        </w:rPr>
        <w:t>鄂尔多斯供电公司2023年第三批供电单位应急资金项目（配网）勘察、设计、监理采购</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kern w:val="0"/>
          <w:sz w:val="24"/>
          <w:szCs w:val="24"/>
        </w:rPr>
        <w:t>1.2资金来源：</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rPr>
        <w:t>1.3</w:t>
      </w:r>
      <w:r>
        <w:rPr>
          <w:rFonts w:hint="eastAsia" w:ascii="仿宋" w:hAnsi="仿宋" w:eastAsia="仿宋" w:cs="仿宋"/>
          <w:kern w:val="0"/>
          <w:sz w:val="24"/>
          <w:szCs w:val="24"/>
          <w:lang w:val="en-US" w:eastAsia="zh-CN"/>
        </w:rPr>
        <w:t>服务期</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rPr>
      </w:pPr>
      <w:r>
        <w:rPr>
          <w:rFonts w:hint="eastAsia" w:ascii="仿宋" w:hAnsi="仿宋" w:eastAsia="仿宋" w:cs="仿宋"/>
          <w:kern w:val="0"/>
          <w:sz w:val="24"/>
          <w:szCs w:val="24"/>
        </w:rPr>
        <w:t>1.4本次</w:t>
      </w:r>
      <w:r>
        <w:rPr>
          <w:rFonts w:hint="eastAsia" w:ascii="仿宋" w:hAnsi="仿宋" w:eastAsia="仿宋" w:cs="仿宋"/>
          <w:kern w:val="0"/>
          <w:sz w:val="24"/>
          <w:szCs w:val="24"/>
          <w:lang w:eastAsia="zh-CN"/>
        </w:rPr>
        <w:t>采购</w:t>
      </w:r>
      <w:r>
        <w:rPr>
          <w:rFonts w:hint="eastAsia" w:ascii="仿宋" w:hAnsi="仿宋" w:eastAsia="仿宋" w:cs="仿宋"/>
          <w:kern w:val="0"/>
          <w:sz w:val="24"/>
          <w:szCs w:val="24"/>
        </w:rPr>
        <w:t>内容：</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标段划分及最高投标限价：</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二、</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资格要求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2.1通用资格要求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供应商</w:t>
      </w:r>
      <w:r>
        <w:rPr>
          <w:rFonts w:hint="eastAsia" w:ascii="仿宋" w:hAnsi="仿宋" w:eastAsia="仿宋" w:cs="仿宋"/>
          <w:sz w:val="24"/>
          <w:szCs w:val="24"/>
        </w:rPr>
        <w:t>须为中华人民共和国境内依法注册的企业法人或其他组织。</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供应商</w:t>
      </w:r>
      <w:r>
        <w:rPr>
          <w:rFonts w:hint="eastAsia" w:ascii="仿宋" w:hAnsi="仿宋" w:eastAsia="仿宋" w:cs="仿宋"/>
          <w:sz w:val="24"/>
          <w:szCs w:val="24"/>
        </w:rPr>
        <w:t>须具有有效的营业执照。</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供应商</w:t>
      </w:r>
      <w:r>
        <w:rPr>
          <w:rFonts w:hint="eastAsia" w:ascii="仿宋" w:hAnsi="仿宋" w:eastAsia="仿宋" w:cs="仿宋"/>
          <w:sz w:val="24"/>
          <w:szCs w:val="24"/>
        </w:rPr>
        <w:t>须为一般纳税人（提供一般纳税人证明材料）。</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（4）财务要求：财务状况良好，没有处于财产被接管，破产或其他关、停、并、转状态。</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（5）信誉要求：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①未被列入《内蒙古电力（集团）有限责任公司不良行为供应商名单》和中国电力企业联合会公布的“中电联关于公布涉电力领域重点关注对象名单”；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②</w:t>
      </w:r>
      <w:r>
        <w:rPr>
          <w:rFonts w:hint="eastAsia" w:ascii="仿宋" w:hAnsi="仿宋" w:eastAsia="仿宋" w:cs="仿宋"/>
          <w:sz w:val="24"/>
          <w:szCs w:val="24"/>
          <w:lang w:eastAsia="zh-CN"/>
        </w:rPr>
        <w:t>供应商</w:t>
      </w:r>
      <w:r>
        <w:rPr>
          <w:rFonts w:hint="eastAsia" w:ascii="仿宋" w:hAnsi="仿宋" w:eastAsia="仿宋" w:cs="仿宋"/>
          <w:sz w:val="24"/>
          <w:szCs w:val="24"/>
        </w:rPr>
        <w:t>未被工商行政管理机关在国家企业信用信息公示系统（http://www.gsxt.gov.cn/index.html）中列入“严重违法失信企业名单”；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③供应商未被最高人民法院在“信用中国”网站（www.creditchina.gov.cn）或各级信用信息共享平台中列入失信被执行人名单；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④中国裁判文书网（https://wenshu.court.gov.cn/）显示投标单位、法定代表人近三年没有行贿犯罪记录；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同一个法定代表人的两个及两个以上企业不得在同一包件中同时投标；母公司和其全资子公司不得在同一包件中同时投标；存在控股、管理关系的不同单位，不得参加同一包件中投标或者未划分包件的同一招标项目中投标，母子公司不得相互借用任何资质、业绩。</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（7）本次招标不接受联合体投标。</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（8）法律、行政法规规定的其他条件。</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（9）本次招标资格审查采用资格后审方式。</w:t>
      </w:r>
    </w:p>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2.2专用资格要求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标段2监理：</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(1)供应商须具有建设行政主管部门核发的电力工程监理乙级及以上资质，且证书在有效期内”</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(2)总监理工程师须具有建设行政主管部门核发的电力工程专业注册监理工程师(本单位注册且在有效期内)。</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(3)近三年内(2020年10月1日至今，以合同签订时间为准)至少承担过1项10kV及以上电压等级的电力工程监理业绩。（同一业绩的证明文件以已签署的合同和配套的发票为准）。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三、采购文件的获取</w:t>
      </w:r>
    </w:p>
    <w:p>
      <w:pPr>
        <w:pStyle w:val="2"/>
        <w:keepNext w:val="0"/>
        <w:keepLines w:val="0"/>
        <w:pageBreakBefore w:val="0"/>
        <w:widowControl w:val="0"/>
        <w:numPr>
          <w:ilvl w:val="0"/>
          <w:numId w:val="0"/>
        </w:numPr>
        <w:kinsoku/>
        <w:overflowPunct/>
        <w:topLinePunct w:val="0"/>
        <w:autoSpaceDE/>
        <w:autoSpaceDN/>
        <w:bidi w:val="0"/>
        <w:spacing w:line="360" w:lineRule="auto"/>
        <w:ind w:firstLine="480" w:firstLineChars="200"/>
        <w:rPr>
          <w:rFonts w:hint="eastAsia" w:ascii="仿宋" w:hAnsi="仿宋" w:eastAsia="仿宋" w:cs="仿宋"/>
          <w:b w:val="0"/>
          <w:bCs/>
          <w:color w:val="auto"/>
          <w:sz w:val="24"/>
          <w:szCs w:val="24"/>
          <w:highlight w:val="none"/>
          <w:lang w:val="en-US" w:eastAsia="zh-CN"/>
        </w:rPr>
      </w:pPr>
      <w:bookmarkStart w:id="12" w:name="_Toc13520"/>
      <w:bookmarkStart w:id="13" w:name="_Toc27302"/>
      <w:r>
        <w:rPr>
          <w:rFonts w:hint="eastAsia" w:ascii="仿宋" w:hAnsi="仿宋" w:eastAsia="仿宋" w:cs="仿宋"/>
          <w:b w:val="0"/>
          <w:bCs/>
          <w:color w:val="auto"/>
          <w:sz w:val="24"/>
          <w:szCs w:val="24"/>
          <w:highlight w:val="none"/>
          <w:lang w:val="en-US" w:eastAsia="zh-CN"/>
        </w:rPr>
        <w:t>1.获取时间及方式：凡有意参加响应者，</w:t>
      </w:r>
      <w:r>
        <w:rPr>
          <w:rFonts w:hint="eastAsia" w:ascii="仿宋" w:hAnsi="仿宋" w:eastAsia="仿宋" w:cs="仿宋"/>
          <w:b w:val="0"/>
          <w:bCs/>
          <w:color w:val="FF0000"/>
          <w:sz w:val="24"/>
          <w:szCs w:val="24"/>
          <w:highlight w:val="none"/>
          <w:lang w:val="en-US" w:eastAsia="zh-CN"/>
        </w:rPr>
        <w:t>请于</w:t>
      </w:r>
      <w:r>
        <w:rPr>
          <w:rFonts w:hint="eastAsia" w:ascii="仿宋" w:hAnsi="仿宋" w:eastAsia="仿宋" w:cs="仿宋"/>
          <w:b w:val="0"/>
          <w:bCs/>
          <w:color w:val="FF0000"/>
          <w:sz w:val="24"/>
          <w:szCs w:val="24"/>
          <w:highlight w:val="none"/>
          <w:u w:val="single"/>
          <w:lang w:val="en-US" w:eastAsia="zh-CN"/>
        </w:rPr>
        <w:t>2023</w:t>
      </w:r>
      <w:r>
        <w:rPr>
          <w:rFonts w:hint="eastAsia" w:ascii="仿宋" w:hAnsi="仿宋" w:eastAsia="仿宋" w:cs="仿宋"/>
          <w:b w:val="0"/>
          <w:bCs/>
          <w:color w:val="FF0000"/>
          <w:sz w:val="24"/>
          <w:szCs w:val="24"/>
          <w:highlight w:val="none"/>
        </w:rPr>
        <w:t>年</w:t>
      </w:r>
      <w:r>
        <w:rPr>
          <w:rFonts w:hint="eastAsia" w:ascii="仿宋" w:hAnsi="仿宋" w:eastAsia="仿宋" w:cs="仿宋"/>
          <w:b w:val="0"/>
          <w:bCs/>
          <w:color w:val="FF0000"/>
          <w:sz w:val="24"/>
          <w:szCs w:val="24"/>
          <w:highlight w:val="none"/>
          <w:u w:val="single"/>
          <w:lang w:val="en-US" w:eastAsia="zh-CN"/>
        </w:rPr>
        <w:t>10月24日</w:t>
      </w:r>
      <w:r>
        <w:rPr>
          <w:rFonts w:hint="eastAsia" w:ascii="仿宋" w:hAnsi="仿宋" w:eastAsia="仿宋" w:cs="仿宋"/>
          <w:b w:val="0"/>
          <w:bCs/>
          <w:color w:val="FF0000"/>
          <w:sz w:val="24"/>
          <w:szCs w:val="24"/>
          <w:highlight w:val="none"/>
        </w:rPr>
        <w:t>起至</w:t>
      </w:r>
      <w:r>
        <w:rPr>
          <w:rFonts w:hint="eastAsia" w:ascii="仿宋" w:hAnsi="仿宋" w:eastAsia="仿宋" w:cs="仿宋"/>
          <w:b w:val="0"/>
          <w:bCs/>
          <w:color w:val="FF0000"/>
          <w:sz w:val="24"/>
          <w:szCs w:val="24"/>
          <w:highlight w:val="none"/>
          <w:u w:val="single"/>
          <w:lang w:val="en-US" w:eastAsia="zh-CN"/>
        </w:rPr>
        <w:t>2023</w:t>
      </w:r>
      <w:r>
        <w:rPr>
          <w:rFonts w:hint="eastAsia" w:ascii="仿宋" w:hAnsi="仿宋" w:eastAsia="仿宋" w:cs="仿宋"/>
          <w:b w:val="0"/>
          <w:bCs/>
          <w:color w:val="FF0000"/>
          <w:sz w:val="24"/>
          <w:szCs w:val="24"/>
          <w:highlight w:val="none"/>
        </w:rPr>
        <w:t>年</w:t>
      </w:r>
      <w:r>
        <w:rPr>
          <w:rFonts w:hint="eastAsia" w:ascii="仿宋" w:hAnsi="仿宋" w:eastAsia="仿宋" w:cs="仿宋"/>
          <w:b w:val="0"/>
          <w:bCs/>
          <w:color w:val="FF0000"/>
          <w:sz w:val="24"/>
          <w:szCs w:val="24"/>
          <w:highlight w:val="none"/>
          <w:u w:val="single"/>
          <w:lang w:val="en-US" w:eastAsia="zh-CN"/>
        </w:rPr>
        <w:t>10</w:t>
      </w:r>
      <w:r>
        <w:rPr>
          <w:rFonts w:hint="eastAsia" w:ascii="仿宋" w:hAnsi="仿宋" w:eastAsia="仿宋" w:cs="仿宋"/>
          <w:b w:val="0"/>
          <w:bCs/>
          <w:color w:val="FF0000"/>
          <w:sz w:val="24"/>
          <w:szCs w:val="24"/>
          <w:highlight w:val="none"/>
          <w:u w:val="none"/>
          <w:lang w:val="en-US" w:eastAsia="zh-CN"/>
        </w:rPr>
        <w:t>月</w:t>
      </w:r>
      <w:r>
        <w:rPr>
          <w:rFonts w:hint="eastAsia" w:ascii="仿宋" w:hAnsi="仿宋" w:eastAsia="仿宋" w:cs="仿宋"/>
          <w:b w:val="0"/>
          <w:bCs/>
          <w:color w:val="FF0000"/>
          <w:sz w:val="24"/>
          <w:szCs w:val="24"/>
          <w:highlight w:val="none"/>
          <w:u w:val="single"/>
          <w:lang w:val="en-US" w:eastAsia="zh-CN"/>
        </w:rPr>
        <w:t>30日</w:t>
      </w:r>
      <w:r>
        <w:rPr>
          <w:rFonts w:hint="eastAsia" w:ascii="仿宋" w:hAnsi="仿宋" w:eastAsia="仿宋" w:cs="仿宋"/>
          <w:b w:val="0"/>
          <w:bCs/>
          <w:color w:val="FF0000"/>
          <w:sz w:val="24"/>
          <w:szCs w:val="24"/>
          <w:highlight w:val="none"/>
        </w:rPr>
        <w:t>17:00</w:t>
      </w:r>
      <w:r>
        <w:rPr>
          <w:rFonts w:hint="eastAsia" w:ascii="仿宋" w:hAnsi="仿宋" w:eastAsia="仿宋" w:cs="仿宋"/>
          <w:b w:val="0"/>
          <w:bCs/>
          <w:color w:val="FF0000"/>
          <w:sz w:val="24"/>
          <w:szCs w:val="24"/>
          <w:highlight w:val="none"/>
          <w:lang w:val="en-US" w:eastAsia="zh-CN"/>
        </w:rPr>
        <w:t>前</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北</w:t>
      </w:r>
      <w:r>
        <w:rPr>
          <w:rFonts w:hint="eastAsia" w:ascii="仿宋" w:hAnsi="仿宋" w:eastAsia="仿宋" w:cs="仿宋"/>
          <w:b w:val="0"/>
          <w:bCs/>
          <w:sz w:val="24"/>
          <w:szCs w:val="24"/>
        </w:rPr>
        <w:t>京时间</w:t>
      </w:r>
      <w:r>
        <w:rPr>
          <w:rFonts w:hint="eastAsia" w:ascii="仿宋" w:hAnsi="仿宋" w:eastAsia="仿宋" w:cs="仿宋"/>
          <w:b w:val="0"/>
          <w:bCs/>
          <w:sz w:val="24"/>
          <w:szCs w:val="24"/>
          <w:lang w:eastAsia="zh-CN"/>
        </w:rPr>
        <w:t>）</w:t>
      </w:r>
      <w:r>
        <w:rPr>
          <w:rFonts w:hint="eastAsia" w:ascii="仿宋" w:hAnsi="仿宋" w:eastAsia="仿宋" w:cs="仿宋"/>
          <w:b w:val="0"/>
          <w:bCs/>
          <w:color w:val="auto"/>
          <w:sz w:val="24"/>
          <w:szCs w:val="24"/>
          <w:highlight w:val="none"/>
          <w:lang w:val="en-US" w:eastAsia="zh-CN"/>
        </w:rPr>
        <w:t>，进入《内蒙古电力集团电子采购系统》（http://guocai-impc.cppchina.cn）在线获取采购文件，逾期不予受理。</w:t>
      </w:r>
    </w:p>
    <w:p>
      <w:pPr>
        <w:pStyle w:val="2"/>
        <w:keepNext w:val="0"/>
        <w:keepLines w:val="0"/>
        <w:pageBreakBefore w:val="0"/>
        <w:widowControl w:val="0"/>
        <w:numPr>
          <w:ilvl w:val="0"/>
          <w:numId w:val="0"/>
        </w:numPr>
        <w:kinsoku/>
        <w:overflowPunct/>
        <w:topLinePunct w:val="0"/>
        <w:autoSpaceDE/>
        <w:autoSpaceDN/>
        <w:bidi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2.采购文件工本费：不收费。</w:t>
      </w:r>
    </w:p>
    <w:p>
      <w:pPr>
        <w:pStyle w:val="2"/>
        <w:keepNext w:val="0"/>
        <w:keepLines w:val="0"/>
        <w:pageBreakBefore w:val="0"/>
        <w:widowControl w:val="0"/>
        <w:numPr>
          <w:ilvl w:val="0"/>
          <w:numId w:val="0"/>
        </w:numPr>
        <w:kinsoku/>
        <w:overflowPunct/>
        <w:topLinePunct w:val="0"/>
        <w:autoSpaceDE/>
        <w:autoSpaceDN/>
        <w:bidi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3.客服电话：供应商下载采购文件失败或遇到其他问题请拨打客服电话：400-9913-966(周一～周五</w:t>
      </w:r>
      <w:r>
        <w:rPr>
          <w:rFonts w:hint="eastAsia" w:ascii="仿宋" w:hAnsi="仿宋" w:eastAsia="仿宋" w:cs="仿宋"/>
          <w:color w:val="auto"/>
          <w:sz w:val="24"/>
          <w:szCs w:val="24"/>
          <w:highlight w:val="none"/>
        </w:rPr>
        <w:t>8：30-20：30</w:t>
      </w:r>
      <w:r>
        <w:rPr>
          <w:rFonts w:hint="eastAsia" w:ascii="仿宋" w:hAnsi="仿宋" w:eastAsia="仿宋" w:cs="仿宋"/>
          <w:b w:val="0"/>
          <w:bCs/>
          <w:color w:val="auto"/>
          <w:sz w:val="24"/>
          <w:szCs w:val="24"/>
          <w:highlight w:val="none"/>
          <w:lang w:val="en-US" w:eastAsia="zh-CN"/>
        </w:rPr>
        <w:t>)联系咨询。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b w:val="0"/>
          <w:bCs/>
          <w:color w:val="auto"/>
          <w:kern w:val="2"/>
          <w:sz w:val="24"/>
          <w:szCs w:val="24"/>
          <w:highlight w:val="none"/>
          <w:lang w:val="en-US" w:eastAsia="zh-CN" w:bidi="ar-SA"/>
        </w:rPr>
      </w:pPr>
      <w:r>
        <w:rPr>
          <w:rFonts w:hint="eastAsia" w:ascii="仿宋" w:hAnsi="仿宋" w:eastAsia="仿宋" w:cs="仿宋"/>
          <w:b w:val="0"/>
          <w:bCs/>
          <w:color w:val="auto"/>
          <w:kern w:val="2"/>
          <w:sz w:val="24"/>
          <w:szCs w:val="24"/>
          <w:highlight w:val="none"/>
          <w:lang w:val="en-US" w:eastAsia="zh-CN" w:bidi="ar-SA"/>
        </w:rPr>
        <w:t>4.获取方式: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shd w:val="clear" w:color="auto" w:fill="auto"/>
          <w:lang w:val="en-US" w:eastAsia="zh-CN"/>
        </w:rPr>
        <w:t>（1）供应商基本信息注册：凡第一次参与内蒙古电力公司的各类采购项目的供应商，在响应前需要在内蒙古电力公司物资管理信息系统--“内蒙古电力（集团）有限责任公司电子商务平台（http://wzglb.impc.com.cn:82）”，</w:t>
      </w:r>
      <w:r>
        <w:rPr>
          <w:rFonts w:hint="eastAsia" w:ascii="仿宋" w:hAnsi="仿宋" w:eastAsia="仿宋" w:cs="仿宋"/>
          <w:color w:val="auto"/>
          <w:sz w:val="24"/>
          <w:szCs w:val="24"/>
          <w:highlight w:val="none"/>
        </w:rPr>
        <w:t>先进行供应商基本信息注册，然后在招标采购项目挂网公告所在的电子采购交易平台（内蒙古电力集团电子采购系统）办理中招互连扫码签章，前述工作完成后方可开始投标。</w:t>
      </w:r>
    </w:p>
    <w:p>
      <w:pPr>
        <w:keepNext w:val="0"/>
        <w:keepLines w:val="0"/>
        <w:pageBreakBefore w:val="0"/>
        <w:widowControl w:val="0"/>
        <w:kinsoku/>
        <w:overflowPunct/>
        <w:topLinePunct w:val="0"/>
        <w:autoSpaceDE/>
        <w:autoSpaceDN/>
        <w:bidi w:val="0"/>
        <w:spacing w:before="240" w:line="360" w:lineRule="auto"/>
        <w:ind w:firstLine="480" w:firstLineChars="200"/>
        <w:contextualSpacing/>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具体流程为：</w:t>
      </w:r>
      <w:r>
        <w:rPr>
          <w:rFonts w:hint="eastAsia" w:ascii="仿宋" w:hAnsi="仿宋" w:eastAsia="仿宋" w:cs="仿宋"/>
          <w:sz w:val="24"/>
          <w:szCs w:val="24"/>
          <w:highlight w:val="none"/>
        </w:rPr>
        <w:t>登录平台→在报名管理界面查看最新招标项目→供应商提交资料，通过“文件下载”界面下载</w:t>
      </w:r>
      <w:r>
        <w:rPr>
          <w:rFonts w:hint="eastAsia" w:ascii="仿宋" w:hAnsi="仿宋" w:eastAsia="仿宋" w:cs="仿宋"/>
          <w:sz w:val="24"/>
          <w:szCs w:val="24"/>
          <w:highlight w:val="none"/>
          <w:lang w:eastAsia="zh-CN"/>
        </w:rPr>
        <w:t>采购</w:t>
      </w:r>
      <w:r>
        <w:rPr>
          <w:rFonts w:hint="eastAsia" w:ascii="仿宋" w:hAnsi="仿宋" w:eastAsia="仿宋" w:cs="仿宋"/>
          <w:sz w:val="24"/>
          <w:szCs w:val="24"/>
          <w:highlight w:val="none"/>
        </w:rPr>
        <w:t>文件。</w:t>
      </w:r>
    </w:p>
    <w:p>
      <w:pPr>
        <w:keepNext w:val="0"/>
        <w:keepLines w:val="0"/>
        <w:pageBreakBefore w:val="0"/>
        <w:widowControl w:val="0"/>
        <w:kinsoku/>
        <w:overflowPunct/>
        <w:topLinePunct w:val="0"/>
        <w:autoSpaceDE/>
        <w:autoSpaceDN/>
        <w:bidi w:val="0"/>
        <w:spacing w:before="240" w:line="360" w:lineRule="auto"/>
        <w:ind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（2）投标单位须凭【中招互连】APP办理项目后续电子响应事宜，之前未进行注册【中招互连】APP的企业</w:t>
      </w:r>
      <w:r>
        <w:rPr>
          <w:rFonts w:hint="eastAsia" w:ascii="仿宋" w:hAnsi="仿宋" w:eastAsia="仿宋" w:cs="仿宋"/>
          <w:color w:val="auto"/>
          <w:sz w:val="24"/>
          <w:szCs w:val="24"/>
        </w:rPr>
        <w:t>需要下载【中招互连】APP，</w:t>
      </w:r>
      <w:r>
        <w:rPr>
          <w:rFonts w:hint="eastAsia" w:ascii="仿宋" w:hAnsi="仿宋" w:eastAsia="仿宋" w:cs="仿宋"/>
          <w:color w:val="auto"/>
          <w:sz w:val="24"/>
          <w:szCs w:val="24"/>
          <w:highlight w:val="none"/>
          <w:lang w:val="en-US" w:eastAsia="zh-CN"/>
        </w:rPr>
        <w:t>根据提示即可在线办理相关事宜，后续所有流程全部扫码登录，扫码签章，扫码加密，扫码解密。</w:t>
      </w:r>
    </w:p>
    <w:p>
      <w:pPr>
        <w:keepNext w:val="0"/>
        <w:keepLines w:val="0"/>
        <w:pageBreakBefore w:val="0"/>
        <w:widowControl w:val="0"/>
        <w:kinsoku/>
        <w:overflowPunct/>
        <w:topLinePunct w:val="0"/>
        <w:autoSpaceDE/>
        <w:autoSpaceDN/>
        <w:bidi w:val="0"/>
        <w:spacing w:after="0"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color w:val="000000"/>
          <w:sz w:val="24"/>
          <w:szCs w:val="24"/>
          <w:highlight w:val="none"/>
          <w:lang w:val="en-US" w:eastAsia="zh-CN"/>
        </w:rPr>
        <w:t>获取文件</w:t>
      </w:r>
      <w:r>
        <w:rPr>
          <w:rFonts w:hint="eastAsia" w:ascii="仿宋" w:hAnsi="仿宋" w:eastAsia="仿宋" w:cs="仿宋"/>
          <w:b/>
          <w:color w:val="000000"/>
          <w:sz w:val="24"/>
          <w:szCs w:val="24"/>
          <w:highlight w:val="none"/>
        </w:rPr>
        <w:t>时</w:t>
      </w:r>
      <w:r>
        <w:rPr>
          <w:rFonts w:hint="eastAsia" w:ascii="仿宋" w:hAnsi="仿宋" w:eastAsia="仿宋" w:cs="仿宋"/>
          <w:b/>
          <w:color w:val="000000"/>
          <w:sz w:val="24"/>
          <w:szCs w:val="24"/>
          <w:highlight w:val="none"/>
          <w:lang w:val="en-US" w:eastAsia="zh-CN"/>
        </w:rPr>
        <w:t>所</w:t>
      </w:r>
      <w:r>
        <w:rPr>
          <w:rFonts w:hint="eastAsia" w:ascii="仿宋" w:hAnsi="仿宋" w:eastAsia="仿宋" w:cs="仿宋"/>
          <w:b/>
          <w:color w:val="000000"/>
          <w:sz w:val="24"/>
          <w:szCs w:val="24"/>
          <w:highlight w:val="none"/>
        </w:rPr>
        <w:t>需</w:t>
      </w:r>
      <w:r>
        <w:rPr>
          <w:rFonts w:hint="eastAsia" w:ascii="仿宋" w:hAnsi="仿宋" w:eastAsia="仿宋" w:cs="仿宋"/>
          <w:b/>
          <w:color w:val="000000"/>
          <w:sz w:val="24"/>
          <w:szCs w:val="24"/>
          <w:highlight w:val="none"/>
          <w:lang w:val="en-US" w:eastAsia="zh-CN"/>
        </w:rPr>
        <w:t>资料</w:t>
      </w:r>
      <w:r>
        <w:rPr>
          <w:rFonts w:hint="eastAsia" w:ascii="仿宋" w:hAnsi="仿宋" w:eastAsia="仿宋" w:cs="仿宋"/>
          <w:b/>
          <w:color w:val="000000"/>
          <w:sz w:val="24"/>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法定代表人授权委托书；</w:t>
      </w:r>
      <w:r>
        <w:rPr>
          <w:rFonts w:hint="eastAsia" w:ascii="仿宋" w:hAnsi="仿宋" w:eastAsia="仿宋" w:cs="仿宋"/>
          <w:color w:val="auto"/>
          <w:sz w:val="24"/>
          <w:szCs w:val="24"/>
          <w:highlight w:val="none"/>
          <w:lang w:val="en-US" w:eastAsia="zh-CN"/>
        </w:rPr>
        <w:t>（格式详见附件）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（2）统一社会信用代码的营业执照扫描件；</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公告附表中的专用资格要求的内容；</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）一般纳税人证明材料扫描件；</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企业名称如有变更，需提供有关行政机关提供的变更证明；</w:t>
      </w:r>
      <w:bookmarkStart w:id="14" w:name="page10"/>
      <w:bookmarkEnd w:id="14"/>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供应商需提供在国家企业信用</w:t>
      </w:r>
      <w:r>
        <w:rPr>
          <w:rFonts w:hint="eastAsia" w:ascii="仿宋" w:hAnsi="仿宋" w:eastAsia="仿宋" w:cs="仿宋"/>
          <w:color w:val="auto"/>
          <w:sz w:val="24"/>
          <w:szCs w:val="24"/>
          <w:highlight w:val="none"/>
          <w:lang w:val="en-US" w:eastAsia="zh-CN"/>
        </w:rPr>
        <w:t>信息</w:t>
      </w:r>
      <w:r>
        <w:rPr>
          <w:rFonts w:hint="eastAsia" w:ascii="仿宋" w:hAnsi="仿宋" w:eastAsia="仿宋" w:cs="仿宋"/>
          <w:color w:val="auto"/>
          <w:sz w:val="24"/>
          <w:szCs w:val="24"/>
          <w:highlight w:val="none"/>
        </w:rPr>
        <w:t>公示系统（www.gsxt.gov.cn）查询的“严重违法失信企业名单”信息的查询结果截图。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供应商及其法定代表人近三年内在中国裁判文书（wenshu.court.gov.cn）无行贿犯罪档案的查询结果截图。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需提供</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在“信用中国”网站（www.creditchina.gov.cn）或各级信用信息共享平台中列入失信被执行人名单信息的查询结果截图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（9）提供《响应真实性承诺书》。（详见附件）</w:t>
      </w:r>
    </w:p>
    <w:p>
      <w:pPr>
        <w:keepNext w:val="0"/>
        <w:keepLines w:val="0"/>
        <w:pageBreakBefore w:val="0"/>
        <w:widowControl w:val="0"/>
        <w:kinsoku/>
        <w:overflowPunct/>
        <w:topLinePunct w:val="0"/>
        <w:autoSpaceDE/>
        <w:autoSpaceDN/>
        <w:bidi w:val="0"/>
        <w:spacing w:before="240" w:line="360" w:lineRule="auto"/>
        <w:ind w:firstLine="482" w:firstLineChars="20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6.说明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zh-CN" w:eastAsia="zh-CN"/>
        </w:rPr>
        <w:t>供应商在中标候选人公示结束前发生不良行为被处理的，取消其中标资格。</w:t>
      </w:r>
    </w:p>
    <w:p>
      <w:pPr>
        <w:keepNext w:val="0"/>
        <w:keepLines w:val="0"/>
        <w:pageBreakBefore w:val="0"/>
        <w:widowControl w:val="0"/>
        <w:numPr>
          <w:ilvl w:val="0"/>
          <w:numId w:val="0"/>
        </w:numPr>
        <w:kinsoku/>
        <w:overflowPunct/>
        <w:topLinePunct w:val="0"/>
        <w:autoSpaceDE/>
        <w:autoSpaceDN/>
        <w:bidi w:val="0"/>
        <w:adjustRightInd w:val="0"/>
        <w:spacing w:beforeLines="50" w:afterLines="50"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四、响应文件递交方式</w:t>
      </w:r>
      <w:bookmarkEnd w:id="12"/>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szCs w:val="24"/>
          <w:highlight w:val="none"/>
          <w:lang w:val="en-US" w:eastAsia="zh-CN"/>
        </w:rPr>
      </w:pPr>
      <w:bookmarkStart w:id="15" w:name="_Toc31468"/>
      <w:r>
        <w:rPr>
          <w:rFonts w:hint="eastAsia" w:ascii="仿宋" w:hAnsi="仿宋" w:eastAsia="仿宋" w:cs="仿宋"/>
          <w:b w:val="0"/>
          <w:bCs/>
          <w:color w:val="auto"/>
          <w:kern w:val="2"/>
          <w:sz w:val="24"/>
          <w:szCs w:val="24"/>
          <w:highlight w:val="none"/>
          <w:lang w:val="en-US" w:eastAsia="zh-CN" w:bidi="ar-SA"/>
        </w:rPr>
        <w:t>1.</w:t>
      </w:r>
      <w:r>
        <w:rPr>
          <w:rFonts w:hint="eastAsia" w:ascii="仿宋" w:hAnsi="仿宋" w:eastAsia="仿宋" w:cs="仿宋"/>
          <w:b w:val="0"/>
          <w:bCs/>
          <w:color w:val="auto"/>
          <w:sz w:val="24"/>
          <w:szCs w:val="24"/>
          <w:highlight w:val="none"/>
          <w:lang w:val="en-US" w:eastAsia="zh-CN"/>
        </w:rPr>
        <w:t>递交方式：电子响应文件请于响应截止时间之前上传到“内蒙古电力集团电子采购系统”，响应截止时间后上传的响应文件恕不接收。本项目采用远程开标方式，不接收纸质响应</w:t>
      </w:r>
      <w:r>
        <w:rPr>
          <w:rFonts w:hint="eastAsia" w:ascii="仿宋" w:hAnsi="仿宋" w:eastAsia="仿宋" w:cs="仿宋"/>
          <w:color w:val="auto"/>
          <w:sz w:val="24"/>
          <w:szCs w:val="24"/>
          <w:highlight w:val="none"/>
          <w:lang w:val="en-US" w:eastAsia="zh-CN"/>
        </w:rPr>
        <w:t>文件，逾期上传的响应文件，将不予接收。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2.响应文件加密：供应商对网上递交的响应文件应加密。登录【中招互连】APP对响应文件进行加密功能（如果供应商使用A手机号码对响应文件进行了扫码加密，必须需要使用A手机号码进行扫码解密，才能读取或导入响应文件）。</w:t>
      </w:r>
    </w:p>
    <w:p>
      <w:pPr>
        <w:keepNext w:val="0"/>
        <w:keepLines w:val="0"/>
        <w:pageBreakBefore w:val="0"/>
        <w:widowControl w:val="0"/>
        <w:numPr>
          <w:ilvl w:val="0"/>
          <w:numId w:val="0"/>
        </w:numPr>
        <w:kinsoku/>
        <w:overflowPunct/>
        <w:topLinePunct w:val="0"/>
        <w:autoSpaceDE/>
        <w:autoSpaceDN/>
        <w:bidi w:val="0"/>
        <w:adjustRightInd w:val="0"/>
        <w:spacing w:beforeLines="50" w:afterLines="50"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五、递交响应文件的截止时间</w:t>
      </w:r>
      <w:bookmarkEnd w:id="13"/>
      <w:r>
        <w:rPr>
          <w:rFonts w:hint="eastAsia" w:ascii="仿宋" w:hAnsi="仿宋" w:eastAsia="仿宋" w:cs="仿宋"/>
          <w:b/>
          <w:color w:val="auto"/>
          <w:sz w:val="24"/>
          <w:szCs w:val="24"/>
          <w:highlight w:val="none"/>
          <w:lang w:val="en-US" w:eastAsia="zh-CN"/>
        </w:rPr>
        <w:t>及解密时间</w:t>
      </w:r>
      <w:bookmarkEnd w:id="15"/>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lang w:val="en-US" w:eastAsia="zh-CN"/>
        </w:rPr>
      </w:pPr>
      <w:r>
        <w:rPr>
          <w:rFonts w:hint="eastAsia" w:ascii="仿宋" w:hAnsi="仿宋" w:eastAsia="仿宋" w:cs="仿宋"/>
          <w:color w:val="FF0000"/>
          <w:sz w:val="24"/>
          <w:szCs w:val="24"/>
          <w:highlight w:val="none"/>
        </w:rPr>
        <w:t>响应文件上传时间：</w:t>
      </w:r>
      <w:r>
        <w:rPr>
          <w:rFonts w:hint="eastAsia" w:ascii="仿宋" w:hAnsi="仿宋" w:eastAsia="仿宋" w:cs="仿宋"/>
          <w:color w:val="FF0000"/>
          <w:sz w:val="24"/>
          <w:szCs w:val="24"/>
          <w:highlight w:val="none"/>
          <w:lang w:val="en-US" w:eastAsia="zh-CN"/>
        </w:rPr>
        <w:t>2023年10月24</w:t>
      </w:r>
      <w:bookmarkStart w:id="30" w:name="_GoBack"/>
      <w:bookmarkEnd w:id="30"/>
      <w:r>
        <w:rPr>
          <w:rFonts w:hint="eastAsia" w:ascii="仿宋" w:hAnsi="仿宋" w:eastAsia="仿宋" w:cs="仿宋"/>
          <w:color w:val="FF0000"/>
          <w:sz w:val="24"/>
          <w:szCs w:val="24"/>
          <w:highlight w:val="none"/>
          <w:lang w:val="en-US" w:eastAsia="zh-CN"/>
        </w:rPr>
        <w:t>日-2023年10月31日上午</w:t>
      </w:r>
      <w:r>
        <w:rPr>
          <w:rFonts w:hint="eastAsia" w:ascii="仿宋" w:hAnsi="仿宋" w:eastAsia="仿宋" w:cs="仿宋"/>
          <w:b w:val="0"/>
          <w:bCs/>
          <w:color w:val="FF0000"/>
          <w:sz w:val="24"/>
          <w:szCs w:val="24"/>
          <w:highlight w:val="none"/>
          <w:lang w:val="en-US" w:eastAsia="zh-CN"/>
        </w:rPr>
        <w:t>09时30分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递交响应文件截止时间：</w:t>
      </w:r>
      <w:r>
        <w:rPr>
          <w:rFonts w:hint="eastAsia" w:ascii="仿宋" w:hAnsi="仿宋" w:eastAsia="仿宋" w:cs="仿宋"/>
          <w:color w:val="FF0000"/>
          <w:sz w:val="24"/>
          <w:szCs w:val="24"/>
          <w:highlight w:val="none"/>
          <w:lang w:val="en-US" w:eastAsia="zh-CN"/>
        </w:rPr>
        <w:t>2023年10月31日上午</w:t>
      </w:r>
      <w:r>
        <w:rPr>
          <w:rFonts w:hint="eastAsia" w:ascii="仿宋" w:hAnsi="仿宋" w:eastAsia="仿宋" w:cs="仿宋"/>
          <w:b w:val="0"/>
          <w:bCs/>
          <w:color w:val="FF0000"/>
          <w:sz w:val="24"/>
          <w:szCs w:val="24"/>
          <w:highlight w:val="none"/>
          <w:lang w:val="en-US" w:eastAsia="zh-CN"/>
        </w:rPr>
        <w:t>09时30分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lang w:val="en-US" w:eastAsia="zh-CN"/>
        </w:rPr>
      </w:pPr>
      <w:r>
        <w:rPr>
          <w:rFonts w:hint="eastAsia" w:ascii="仿宋" w:hAnsi="仿宋" w:eastAsia="仿宋" w:cs="仿宋"/>
          <w:color w:val="FF0000"/>
          <w:sz w:val="24"/>
          <w:szCs w:val="24"/>
          <w:highlight w:val="none"/>
          <w:lang w:val="en-US" w:eastAsia="zh-CN"/>
        </w:rPr>
        <w:t>响应文件解密开始</w:t>
      </w:r>
      <w:r>
        <w:rPr>
          <w:rFonts w:hint="eastAsia" w:ascii="仿宋" w:hAnsi="仿宋" w:eastAsia="仿宋" w:cs="仿宋"/>
          <w:color w:val="FF0000"/>
          <w:sz w:val="24"/>
          <w:szCs w:val="24"/>
          <w:highlight w:val="none"/>
        </w:rPr>
        <w:t>时间：</w:t>
      </w:r>
      <w:r>
        <w:rPr>
          <w:rFonts w:hint="eastAsia" w:ascii="仿宋" w:hAnsi="仿宋" w:eastAsia="仿宋" w:cs="仿宋"/>
          <w:color w:val="FF0000"/>
          <w:sz w:val="24"/>
          <w:szCs w:val="24"/>
          <w:highlight w:val="none"/>
          <w:lang w:val="en-US" w:eastAsia="zh-CN"/>
        </w:rPr>
        <w:t>2023年10月31日上午</w:t>
      </w:r>
      <w:r>
        <w:rPr>
          <w:rFonts w:hint="eastAsia" w:ascii="仿宋" w:hAnsi="仿宋" w:eastAsia="仿宋" w:cs="仿宋"/>
          <w:b w:val="0"/>
          <w:bCs/>
          <w:color w:val="FF0000"/>
          <w:sz w:val="24"/>
          <w:szCs w:val="24"/>
          <w:highlight w:val="none"/>
          <w:lang w:val="en-US" w:eastAsia="zh-CN"/>
        </w:rPr>
        <w:t>09时30分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lang w:val="en-US"/>
        </w:rPr>
      </w:pPr>
      <w:r>
        <w:rPr>
          <w:rFonts w:hint="eastAsia" w:ascii="仿宋" w:hAnsi="仿宋" w:eastAsia="仿宋" w:cs="仿宋"/>
          <w:color w:val="FF0000"/>
          <w:sz w:val="24"/>
          <w:szCs w:val="24"/>
          <w:highlight w:val="none"/>
          <w:lang w:val="en-US" w:eastAsia="zh-CN"/>
        </w:rPr>
        <w:t>响应文件解密截止时间：2023年10月31日上午</w:t>
      </w:r>
      <w:r>
        <w:rPr>
          <w:rFonts w:hint="eastAsia" w:ascii="仿宋" w:hAnsi="仿宋" w:eastAsia="仿宋" w:cs="仿宋"/>
          <w:b w:val="0"/>
          <w:bCs/>
          <w:color w:val="FF0000"/>
          <w:sz w:val="24"/>
          <w:szCs w:val="24"/>
          <w:highlight w:val="none"/>
          <w:lang w:val="en-US" w:eastAsia="zh-CN"/>
        </w:rPr>
        <w:t>09时30分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numPr>
          <w:ilvl w:val="0"/>
          <w:numId w:val="0"/>
        </w:numPr>
        <w:kinsoku/>
        <w:overflowPunct/>
        <w:topLinePunct w:val="0"/>
        <w:autoSpaceDE/>
        <w:autoSpaceDN/>
        <w:bidi w:val="0"/>
        <w:adjustRightInd w:val="0"/>
        <w:spacing w:beforeLines="50" w:afterLines="50"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bookmarkStart w:id="16" w:name="_Toc20956"/>
      <w:bookmarkStart w:id="17" w:name="_Toc15286"/>
      <w:r>
        <w:rPr>
          <w:rFonts w:hint="eastAsia" w:ascii="仿宋" w:hAnsi="仿宋" w:eastAsia="仿宋" w:cs="仿宋"/>
          <w:b/>
          <w:color w:val="auto"/>
          <w:sz w:val="24"/>
          <w:szCs w:val="24"/>
          <w:highlight w:val="none"/>
          <w:lang w:val="en-US" w:eastAsia="zh-CN"/>
        </w:rPr>
        <w:t>六、操作流程</w:t>
      </w:r>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18" w:name="_Toc15535"/>
      <w:r>
        <w:rPr>
          <w:rFonts w:hint="eastAsia" w:ascii="仿宋" w:hAnsi="仿宋" w:eastAsia="仿宋" w:cs="仿宋"/>
          <w:color w:val="auto"/>
          <w:sz w:val="24"/>
          <w:szCs w:val="24"/>
          <w:highlight w:val="none"/>
        </w:rPr>
        <w:t>电脑环境要求：（1）操作系统：Windows7、10；（2）浏览器：360极速、谷歌Chrome、火狐Firefox、微软Edge浏览器；（3）办公软件：MicrosoftOffice2007或WPS2019个人版；（4）PDF软件推荐：AdobeReader。</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非以上环境可能出现错误影响其投标，登录交易平台时如提示更新插件则必须更新，否则影响其电子投标。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开标前签到流程：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进入【网上开标】菜单→进入开标厅→点击“点此签到”按钮→点击右上角“签到”按钮→自动在签到表加盖法人章→最后点击“保存”按钮。</w:t>
      </w:r>
    </w:p>
    <w:p>
      <w:pPr>
        <w:keepNext w:val="0"/>
        <w:keepLines w:val="0"/>
        <w:pageBreakBefore w:val="0"/>
        <w:widowControl w:val="0"/>
        <w:tabs>
          <w:tab w:val="left" w:pos="2625"/>
        </w:tabs>
        <w:kinsoku/>
        <w:overflowPunct/>
        <w:topLinePunct w:val="0"/>
        <w:autoSpaceDE/>
        <w:autoSpaceDN/>
        <w:bidi w:val="0"/>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远程解密流程：</w:t>
      </w:r>
    </w:p>
    <w:p>
      <w:pPr>
        <w:keepNext w:val="0"/>
        <w:keepLines w:val="0"/>
        <w:pageBreakBefore w:val="0"/>
        <w:widowControl w:val="0"/>
        <w:tabs>
          <w:tab w:val="left" w:pos="2625"/>
        </w:tabs>
        <w:kinsoku/>
        <w:overflowPunct/>
        <w:topLinePunct w:val="0"/>
        <w:autoSpaceDE/>
        <w:autoSpaceDN/>
        <w:bidi w:val="0"/>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于递交响应性文件截止时间在原单位使用原上传文件电脑在“网上开标”界面，点击“进开标厅”按钮，在该界面进行响应性文件的远程解密。届时请持上传文件时所使用登录【中招互连】APP提前30分钟等候在电脑前准备参加文件解密（供应商需保持电脑网络通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3.解密后报价确认流程：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进入【网上开标】菜单→进入开标厅→点击“点此签字”按钮→点击右上角“签字“按钮→自动在签到表加盖法人章→最后点击“保存”按钮。</w:t>
      </w:r>
    </w:p>
    <w:p>
      <w:pPr>
        <w:keepNext w:val="0"/>
        <w:keepLines w:val="0"/>
        <w:pageBreakBefore w:val="0"/>
        <w:widowControl w:val="0"/>
        <w:tabs>
          <w:tab w:val="left" w:pos="2625"/>
        </w:tabs>
        <w:kinsoku/>
        <w:overflowPunct/>
        <w:topLinePunct w:val="0"/>
        <w:autoSpaceDE/>
        <w:autoSpaceDN/>
        <w:bidi w:val="0"/>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请供应商按公告时间及时参与相关签到、解密及确认等工作，签到、解密及确认过程中有任何问题请及时联系技术支持解决，因供应商原因未在规定时间内解密、确认响应性文件的，视为供应商撤销其响应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C00000"/>
          <w:sz w:val="24"/>
          <w:szCs w:val="24"/>
          <w:highlight w:val="none"/>
          <w:lang w:val="en-US" w:eastAsia="zh-CN"/>
        </w:rPr>
      </w:pPr>
      <w:r>
        <w:rPr>
          <w:rFonts w:hint="eastAsia" w:ascii="仿宋" w:hAnsi="仿宋" w:eastAsia="仿宋" w:cs="仿宋"/>
          <w:b w:val="0"/>
          <w:bCs w:val="0"/>
          <w:color w:val="C00000"/>
          <w:sz w:val="24"/>
          <w:szCs w:val="24"/>
          <w:highlight w:val="none"/>
        </w:rPr>
        <w:t>开标地点：</w:t>
      </w:r>
      <w:r>
        <w:rPr>
          <w:rFonts w:hint="eastAsia" w:ascii="仿宋" w:hAnsi="仿宋" w:eastAsia="仿宋" w:cs="仿宋"/>
          <w:b w:val="0"/>
          <w:bCs w:val="0"/>
          <w:color w:val="C00000"/>
          <w:sz w:val="24"/>
          <w:szCs w:val="24"/>
          <w:highlight w:val="none"/>
          <w:lang w:val="en-US" w:eastAsia="zh-CN"/>
        </w:rPr>
        <w:t>内蒙古电子招标投标交易平台开标室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C00000"/>
          <w:sz w:val="24"/>
          <w:szCs w:val="24"/>
          <w:highlight w:val="none"/>
        </w:rPr>
      </w:pPr>
      <w:r>
        <w:rPr>
          <w:rFonts w:hint="eastAsia" w:ascii="仿宋" w:hAnsi="仿宋" w:eastAsia="仿宋" w:cs="仿宋"/>
          <w:b w:val="0"/>
          <w:bCs w:val="0"/>
          <w:color w:val="C00000"/>
          <w:sz w:val="24"/>
          <w:szCs w:val="24"/>
          <w:highlight w:val="none"/>
          <w:lang w:val="en-US" w:eastAsia="zh-CN"/>
        </w:rPr>
        <w:t>地址：</w:t>
      </w:r>
      <w:r>
        <w:rPr>
          <w:rFonts w:hint="eastAsia" w:ascii="仿宋" w:hAnsi="仿宋" w:eastAsia="仿宋" w:cs="仿宋"/>
          <w:b w:val="0"/>
          <w:bCs w:val="0"/>
          <w:color w:val="C00000"/>
          <w:sz w:val="24"/>
          <w:szCs w:val="24"/>
          <w:highlight w:val="none"/>
        </w:rPr>
        <w:t>鄂尔多斯市康巴什区日兴大厦7楼</w:t>
      </w:r>
      <w:r>
        <w:rPr>
          <w:rFonts w:hint="eastAsia" w:ascii="仿宋" w:hAnsi="仿宋" w:eastAsia="仿宋" w:cs="仿宋"/>
          <w:b w:val="0"/>
          <w:bCs w:val="0"/>
          <w:color w:val="C00000"/>
          <w:sz w:val="24"/>
          <w:szCs w:val="24"/>
          <w:highlight w:val="none"/>
          <w:lang w:val="en-US" w:eastAsia="zh-CN"/>
        </w:rPr>
        <w:t>开标室</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如果递交响应文件截止时间有改变，采购代理机构将提前通知，逾期提交的响应文件将不予受理。</w:t>
      </w:r>
    </w:p>
    <w:bookmarkEnd w:id="18"/>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lang w:val="en-US" w:eastAsia="zh-CN"/>
        </w:rPr>
        <w:t>七</w:t>
      </w:r>
      <w:r>
        <w:rPr>
          <w:rFonts w:hint="eastAsia" w:ascii="仿宋" w:hAnsi="仿宋" w:eastAsia="仿宋" w:cs="仿宋"/>
          <w:b/>
          <w:kern w:val="0"/>
          <w:sz w:val="24"/>
          <w:szCs w:val="24"/>
        </w:rPr>
        <w:t>、投标保证金及</w:t>
      </w:r>
      <w:r>
        <w:rPr>
          <w:rFonts w:hint="eastAsia" w:ascii="仿宋" w:hAnsi="仿宋" w:eastAsia="仿宋" w:cs="仿宋"/>
          <w:b/>
          <w:kern w:val="0"/>
          <w:sz w:val="24"/>
          <w:szCs w:val="24"/>
          <w:lang w:eastAsia="zh-CN"/>
        </w:rPr>
        <w:t>采购</w:t>
      </w:r>
      <w:r>
        <w:rPr>
          <w:rFonts w:hint="eastAsia" w:ascii="仿宋" w:hAnsi="仿宋" w:eastAsia="仿宋" w:cs="仿宋"/>
          <w:b/>
          <w:kern w:val="0"/>
          <w:sz w:val="24"/>
          <w:szCs w:val="24"/>
        </w:rPr>
        <w:t>费用：</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（1）本项目不收取保证金。</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（2）代理服务费：由成交单位缴纳代理服务费，具体要求详见供应商须知前附表。</w:t>
      </w:r>
    </w:p>
    <w:p>
      <w:pPr>
        <w:keepNext w:val="0"/>
        <w:keepLines w:val="0"/>
        <w:pageBreakBefore w:val="0"/>
        <w:widowControl w:val="0"/>
        <w:kinsoku/>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内蒙古电力集团电子采购系统</w:t>
      </w:r>
      <w:r>
        <w:rPr>
          <w:rFonts w:hint="eastAsia" w:ascii="仿宋" w:hAnsi="仿宋" w:eastAsia="仿宋" w:cs="仿宋"/>
          <w:color w:val="auto"/>
          <w:sz w:val="24"/>
          <w:szCs w:val="24"/>
          <w:highlight w:val="none"/>
        </w:rPr>
        <w:t>使用服务费：本项目采用全流程电子采购，每标段每家供应商需（在</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采购文件后，上传响应文件前）在线向电子交易平台缴纳电子响应服务费</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00元/标段/次</w:t>
      </w:r>
      <w:r>
        <w:rPr>
          <w:rFonts w:hint="eastAsia" w:ascii="仿宋" w:hAnsi="仿宋" w:eastAsia="仿宋" w:cs="仿宋"/>
          <w:color w:val="auto"/>
          <w:sz w:val="24"/>
          <w:szCs w:val="24"/>
          <w:highlight w:val="none"/>
          <w:lang w:eastAsia="zh-CN"/>
        </w:rPr>
        <w:t>。</w:t>
      </w:r>
    </w:p>
    <w:p>
      <w:pPr>
        <w:pStyle w:val="2"/>
        <w:keepNext w:val="0"/>
        <w:keepLines w:val="0"/>
        <w:pageBreakBefore w:val="0"/>
        <w:widowControl w:val="0"/>
        <w:kinsoku/>
        <w:overflowPunct/>
        <w:topLinePunct w:val="0"/>
        <w:autoSpaceDE/>
        <w:autoSpaceDN/>
        <w:bidi w:val="0"/>
        <w:spacing w:line="360" w:lineRule="auto"/>
        <w:rPr>
          <w:rFonts w:hint="eastAsia" w:ascii="仿宋" w:hAnsi="仿宋" w:eastAsia="仿宋" w:cs="仿宋"/>
          <w:color w:val="C00000"/>
          <w:kern w:val="2"/>
          <w:sz w:val="24"/>
          <w:szCs w:val="24"/>
          <w:highlight w:val="none"/>
          <w:lang w:val="en-US" w:eastAsia="zh-CN" w:bidi="ar-SA"/>
        </w:rPr>
      </w:pPr>
      <w:r>
        <w:rPr>
          <w:rFonts w:hint="eastAsia" w:ascii="仿宋" w:hAnsi="仿宋" w:eastAsia="仿宋" w:cs="仿宋"/>
          <w:color w:val="C00000"/>
          <w:sz w:val="24"/>
          <w:szCs w:val="24"/>
          <w:highlight w:val="none"/>
        </w:rPr>
        <w:t>（4）场所服务费</w:t>
      </w:r>
      <w:r>
        <w:rPr>
          <w:rFonts w:hint="eastAsia" w:ascii="仿宋" w:hAnsi="仿宋" w:eastAsia="仿宋" w:cs="仿宋"/>
          <w:color w:val="C00000"/>
          <w:sz w:val="24"/>
          <w:szCs w:val="24"/>
          <w:highlight w:val="none"/>
          <w:lang w:eastAsia="zh-CN"/>
        </w:rPr>
        <w:t>：</w:t>
      </w:r>
      <w:r>
        <w:rPr>
          <w:rFonts w:hint="eastAsia" w:ascii="仿宋" w:hAnsi="仿宋" w:eastAsia="仿宋" w:cs="仿宋"/>
          <w:color w:val="C00000"/>
          <w:kern w:val="2"/>
          <w:sz w:val="24"/>
          <w:szCs w:val="24"/>
          <w:highlight w:val="none"/>
          <w:lang w:val="en-US" w:eastAsia="zh-CN" w:bidi="ar-SA"/>
        </w:rPr>
        <w:t>每包件/标段中标人需向内蒙古电子招标投标交易平台缴纳平台使用服务费，场所服务费由中标人缴纳中标金额的千分之一，四舍五入到元，不足500元按照500元计取；框架、费率等没有实际中标金额的每家中标人收取1000元，中标金额上不封顶。服务费缴纳方式为现金或公对公转账。</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户名:内蒙古润泰工程项目管理有限责任公司鄂尔多斯市分公司</w:t>
      </w:r>
    </w:p>
    <w:p>
      <w:pPr>
        <w:pStyle w:val="2"/>
        <w:spacing w:after="0" w:line="360" w:lineRule="auto"/>
        <w:ind w:left="0" w:leftChars="0" w:firstLine="480"/>
        <w:rPr>
          <w:rFonts w:hint="eastAsia" w:ascii="仿宋" w:hAnsi="仿宋" w:eastAsia="仿宋" w:cs="仿宋"/>
          <w:color w:val="C00000"/>
          <w:sz w:val="24"/>
          <w:highlight w:val="none"/>
          <w:lang w:eastAsia="zh-CN"/>
        </w:rPr>
      </w:pPr>
      <w:r>
        <w:rPr>
          <w:rFonts w:hint="eastAsia" w:ascii="仿宋" w:hAnsi="仿宋" w:eastAsia="仿宋" w:cs="仿宋"/>
          <w:color w:val="C00000"/>
          <w:sz w:val="24"/>
          <w:highlight w:val="none"/>
        </w:rPr>
        <w:t>开户行:工行鄂尔多斯伊金霍洛西街支行营业室</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账号:0612081919200179129</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行号:102205008194</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联系人：刘文利，张阳</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开票联系电话：0477-8185140</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成交供应商须在成交结果公告发布后次日起，三个工作日内完成代理服务费、</w:t>
      </w:r>
      <w:r>
        <w:rPr>
          <w:rFonts w:hint="eastAsia" w:ascii="仿宋" w:hAnsi="仿宋" w:eastAsia="仿宋" w:cs="仿宋"/>
          <w:color w:val="C00000"/>
          <w:sz w:val="24"/>
          <w:szCs w:val="24"/>
          <w:lang w:val="en-US" w:eastAsia="zh-CN"/>
        </w:rPr>
        <w:t>场地服务费</w:t>
      </w:r>
      <w:r>
        <w:rPr>
          <w:rFonts w:hint="eastAsia" w:ascii="仿宋" w:hAnsi="仿宋" w:eastAsia="仿宋" w:cs="仿宋"/>
          <w:sz w:val="24"/>
          <w:szCs w:val="24"/>
          <w:lang w:val="en-US" w:eastAsia="zh-CN"/>
        </w:rPr>
        <w:t>的缴纳，如未按时缴纳费用将按照《不良行为供应商管理办法》进行处罚。</w:t>
      </w:r>
    </w:p>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lang w:val="en-US" w:eastAsia="zh-CN"/>
        </w:rPr>
        <w:t>八</w:t>
      </w:r>
      <w:r>
        <w:rPr>
          <w:rFonts w:hint="eastAsia" w:ascii="仿宋" w:hAnsi="仿宋" w:eastAsia="仿宋" w:cs="仿宋"/>
          <w:b/>
          <w:kern w:val="0"/>
          <w:sz w:val="24"/>
          <w:szCs w:val="24"/>
        </w:rPr>
        <w:t>、公告发布媒介：</w:t>
      </w:r>
    </w:p>
    <w:p>
      <w:pPr>
        <w:keepNext w:val="0"/>
        <w:keepLines w:val="0"/>
        <w:pageBreakBefore w:val="0"/>
        <w:widowControl w:val="0"/>
        <w:kinsoku/>
        <w:overflowPunct/>
        <w:topLinePunct w:val="0"/>
        <w:autoSpaceDE/>
        <w:autoSpaceDN/>
        <w:bidi w:val="0"/>
        <w:spacing w:before="240" w:line="360" w:lineRule="auto"/>
        <w:ind w:firstLine="480" w:firstLineChars="200"/>
        <w:contextualSpacing/>
        <w:textAlignment w:val="auto"/>
        <w:rPr>
          <w:rFonts w:hint="eastAsia" w:ascii="仿宋" w:hAnsi="仿宋" w:eastAsia="仿宋" w:cs="仿宋"/>
          <w:color w:val="auto"/>
          <w:sz w:val="24"/>
          <w:szCs w:val="24"/>
          <w:highlight w:val="none"/>
        </w:rPr>
      </w:pPr>
      <w:bookmarkStart w:id="19" w:name="_Toc39827536"/>
      <w:bookmarkStart w:id="20" w:name="_Toc38213886"/>
      <w:bookmarkStart w:id="21" w:name="_Toc39827471"/>
      <w:bookmarkStart w:id="22" w:name="_Toc39827101"/>
      <w:bookmarkStart w:id="23" w:name="_Toc487214774"/>
      <w:bookmarkStart w:id="24" w:name="_Toc487729876"/>
      <w:bookmarkStart w:id="25" w:name="_Toc449194190"/>
      <w:bookmarkStart w:id="26" w:name="_Toc449193539"/>
      <w:bookmarkStart w:id="27" w:name="_Toc7833"/>
      <w:bookmarkStart w:id="28" w:name="_Toc11936858"/>
      <w:bookmarkStart w:id="29" w:name="_Toc12151"/>
      <w:r>
        <w:rPr>
          <w:rFonts w:hint="eastAsia" w:ascii="仿宋" w:hAnsi="仿宋" w:eastAsia="仿宋" w:cs="仿宋"/>
          <w:color w:val="auto"/>
          <w:sz w:val="24"/>
          <w:szCs w:val="24"/>
          <w:highlight w:val="none"/>
        </w:rPr>
        <w:t>本次公告在《中国招标投标公共服务平台》（www.cebpubservice.com）、</w:t>
      </w:r>
      <w:r>
        <w:rPr>
          <w:rFonts w:hint="eastAsia" w:ascii="仿宋" w:hAnsi="仿宋" w:eastAsia="仿宋" w:cs="仿宋"/>
          <w:sz w:val="24"/>
          <w:szCs w:val="24"/>
          <w:lang w:val="en-US" w:eastAsia="zh-CN"/>
        </w:rPr>
        <w:t>《内蒙古招标投标公共服务平台》（http://zbgg.nmgztb.com.cn/）、</w:t>
      </w:r>
      <w:r>
        <w:rPr>
          <w:rFonts w:hint="eastAsia" w:ascii="仿宋" w:hAnsi="仿宋" w:eastAsia="仿宋" w:cs="仿宋"/>
          <w:color w:val="auto"/>
          <w:sz w:val="24"/>
          <w:szCs w:val="24"/>
          <w:highlight w:val="none"/>
        </w:rPr>
        <w:t>《内蒙古电力集团电子</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系统》</w:t>
      </w:r>
      <w:r>
        <w:rPr>
          <w:rFonts w:hint="eastAsia" w:ascii="仿宋" w:hAnsi="仿宋" w:eastAsia="仿宋" w:cs="仿宋"/>
          <w:b w:val="0"/>
          <w:bCs/>
          <w:color w:val="auto"/>
          <w:sz w:val="24"/>
          <w:szCs w:val="24"/>
          <w:highlight w:val="none"/>
          <w:lang w:val="en-US" w:eastAsia="zh-CN"/>
        </w:rPr>
        <w:t>（http://guocai-impc.cppchina.cn）</w:t>
      </w:r>
      <w:r>
        <w:rPr>
          <w:rFonts w:hint="eastAsia" w:ascii="仿宋" w:hAnsi="仿宋" w:eastAsia="仿宋" w:cs="仿宋"/>
          <w:sz w:val="24"/>
          <w:szCs w:val="24"/>
          <w:highlight w:val="none"/>
          <w:lang w:val="en-US" w:eastAsia="zh-CN"/>
        </w:rPr>
        <w:t>、《内蒙古自治区企业阳光采购服务平台》（http://nmgygcg.ejy365.com/）</w:t>
      </w:r>
      <w:r>
        <w:rPr>
          <w:rFonts w:hint="eastAsia" w:ascii="仿宋" w:hAnsi="仿宋" w:eastAsia="仿宋" w:cs="仿宋"/>
          <w:color w:val="auto"/>
          <w:sz w:val="24"/>
          <w:szCs w:val="24"/>
          <w:highlight w:val="none"/>
        </w:rPr>
        <w:t>同时发布，其它媒介转发无效。</w:t>
      </w:r>
      <w:bookmarkEnd w:id="19"/>
      <w:bookmarkEnd w:id="20"/>
      <w:bookmarkEnd w:id="21"/>
      <w:bookmarkEnd w:id="22"/>
    </w:p>
    <w:bookmarkEnd w:id="23"/>
    <w:bookmarkEnd w:id="24"/>
    <w:bookmarkEnd w:id="25"/>
    <w:bookmarkEnd w:id="26"/>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九</w:t>
      </w:r>
      <w:r>
        <w:rPr>
          <w:rFonts w:hint="eastAsia" w:ascii="仿宋" w:hAnsi="仿宋" w:eastAsia="仿宋" w:cs="仿宋"/>
          <w:b/>
          <w:sz w:val="24"/>
          <w:szCs w:val="24"/>
        </w:rPr>
        <w:t>、联系方式</w:t>
      </w:r>
      <w:bookmarkEnd w:id="27"/>
      <w:bookmarkEnd w:id="28"/>
      <w:bookmarkEnd w:id="29"/>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w:t>
      </w:r>
      <w:r>
        <w:rPr>
          <w:rFonts w:hint="eastAsia" w:ascii="仿宋" w:hAnsi="仿宋" w:eastAsia="仿宋" w:cs="仿宋"/>
          <w:color w:val="auto"/>
          <w:sz w:val="24"/>
          <w:szCs w:val="24"/>
          <w:highlight w:val="none"/>
          <w:lang w:eastAsia="zh-CN"/>
        </w:rPr>
        <w:t>内蒙古电力（集团）有限责任公司鄂尔多斯供电分公司物资供应处</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联系人：赵伟</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采购单位地址：内蒙古鄂尔多斯康巴什区</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联系电话：0477-8598759</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异议受理电话：15044738222</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异议受理邮箱：</w:t>
      </w:r>
      <w:r>
        <w:rPr>
          <w:rFonts w:hint="eastAsia" w:ascii="仿宋" w:hAnsi="仿宋" w:eastAsia="仿宋" w:cs="仿宋"/>
          <w:color w:val="auto"/>
          <w:sz w:val="24"/>
          <w:szCs w:val="24"/>
          <w:highlight w:val="none"/>
          <w:lang w:val="en-US" w:eastAsia="zh-CN"/>
        </w:rPr>
        <w:fldChar w:fldCharType="begin"/>
      </w:r>
      <w:r>
        <w:rPr>
          <w:rFonts w:hint="eastAsia" w:ascii="仿宋" w:hAnsi="仿宋" w:eastAsia="仿宋" w:cs="仿宋"/>
          <w:color w:val="auto"/>
          <w:sz w:val="24"/>
          <w:szCs w:val="24"/>
          <w:highlight w:val="none"/>
          <w:lang w:val="en-US" w:eastAsia="zh-CN"/>
        </w:rPr>
        <w:instrText xml:space="preserve"> HYPERLINK "mailto:gw15149493091@163.com" </w:instrText>
      </w:r>
      <w:r>
        <w:rPr>
          <w:rFonts w:hint="eastAsia" w:ascii="仿宋" w:hAnsi="仿宋" w:eastAsia="仿宋" w:cs="仿宋"/>
          <w:color w:val="auto"/>
          <w:sz w:val="24"/>
          <w:szCs w:val="24"/>
          <w:highlight w:val="none"/>
          <w:lang w:val="en-US" w:eastAsia="zh-CN"/>
        </w:rPr>
        <w:fldChar w:fldCharType="separate"/>
      </w:r>
      <w:r>
        <w:rPr>
          <w:rFonts w:hint="eastAsia" w:ascii="仿宋" w:hAnsi="仿宋" w:eastAsia="仿宋" w:cs="仿宋"/>
          <w:color w:val="auto"/>
          <w:sz w:val="24"/>
          <w:szCs w:val="24"/>
          <w:highlight w:val="none"/>
          <w:lang w:val="en-US" w:eastAsia="zh-CN"/>
        </w:rPr>
        <w:t>gw15149493091@163.com</w:t>
      </w:r>
      <w:r>
        <w:rPr>
          <w:rFonts w:hint="eastAsia" w:ascii="仿宋" w:hAnsi="仿宋" w:eastAsia="仿宋" w:cs="仿宋"/>
          <w:color w:val="auto"/>
          <w:sz w:val="24"/>
          <w:szCs w:val="24"/>
          <w:highlight w:val="none"/>
          <w:lang w:val="en-US" w:eastAsia="zh-CN"/>
        </w:rPr>
        <w:fldChar w:fldCharType="end"/>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eastAsia="zh-CN"/>
        </w:rPr>
      </w:pP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采购</w:t>
      </w:r>
      <w:r>
        <w:rPr>
          <w:rFonts w:hint="eastAsia" w:ascii="仿宋" w:hAnsi="仿宋" w:eastAsia="仿宋" w:cs="仿宋"/>
          <w:sz w:val="24"/>
          <w:szCs w:val="24"/>
        </w:rPr>
        <w:t>代理机构：</w:t>
      </w:r>
      <w:r>
        <w:rPr>
          <w:rFonts w:hint="eastAsia" w:ascii="仿宋" w:hAnsi="仿宋" w:eastAsia="仿宋" w:cs="仿宋"/>
          <w:sz w:val="24"/>
          <w:szCs w:val="24"/>
          <w:lang w:val="en-US" w:eastAsia="zh-CN"/>
        </w:rPr>
        <w:t>中招国际招标有限公司</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联系地址：内蒙古呼和浩特市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联系人：</w:t>
      </w:r>
      <w:r>
        <w:rPr>
          <w:rFonts w:hint="eastAsia" w:ascii="仿宋" w:hAnsi="仿宋" w:eastAsia="仿宋" w:cs="仿宋"/>
          <w:sz w:val="24"/>
          <w:szCs w:val="24"/>
          <w:lang w:val="en-US" w:eastAsia="zh-CN"/>
        </w:rPr>
        <w:t>夏利全、郭阳、刘君磊、刘阳、钱工</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联系电话：0472-4611897</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工作日拨打</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18686114572、18648489245、15174931432</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rPr>
        <w:t>电子邮箱：</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"mailto:xialiquan@cntcitc.com.cn、zzgjnmed@163.com" </w:instrText>
      </w:r>
      <w:r>
        <w:rPr>
          <w:rFonts w:hint="eastAsia" w:ascii="仿宋" w:hAnsi="仿宋" w:eastAsia="仿宋" w:cs="仿宋"/>
          <w:sz w:val="24"/>
          <w:szCs w:val="24"/>
          <w:highlight w:val="none"/>
        </w:rPr>
        <w:fldChar w:fldCharType="separate"/>
      </w:r>
      <w:r>
        <w:rPr>
          <w:rStyle w:val="16"/>
          <w:rFonts w:hint="eastAsia" w:ascii="仿宋" w:hAnsi="仿宋" w:eastAsia="仿宋" w:cs="仿宋"/>
          <w:sz w:val="24"/>
          <w:szCs w:val="24"/>
          <w:highlight w:val="none"/>
        </w:rPr>
        <w:t>xialiquan@cntcitc.com.cn</w:t>
      </w:r>
      <w:r>
        <w:rPr>
          <w:rStyle w:val="16"/>
          <w:rFonts w:hint="eastAsia" w:ascii="仿宋" w:hAnsi="仿宋" w:eastAsia="仿宋" w:cs="仿宋"/>
          <w:sz w:val="24"/>
          <w:szCs w:val="24"/>
          <w:highlight w:val="none"/>
          <w:lang w:eastAsia="zh-CN"/>
        </w:rPr>
        <w:t>、zzgjnmed@163.com</w:t>
      </w:r>
      <w:r>
        <w:rPr>
          <w:rFonts w:hint="eastAsia" w:ascii="仿宋" w:hAnsi="仿宋" w:eastAsia="仿宋" w:cs="仿宋"/>
          <w:sz w:val="24"/>
          <w:szCs w:val="24"/>
          <w:highlight w:val="none"/>
        </w:rPr>
        <w:fldChar w:fldCharType="end"/>
      </w:r>
    </w:p>
    <w:p>
      <w:pPr>
        <w:keepNext w:val="0"/>
        <w:keepLines w:val="0"/>
        <w:pageBreakBefore w:val="0"/>
        <w:widowControl w:val="0"/>
        <w:tabs>
          <w:tab w:val="left" w:pos="9356"/>
        </w:tabs>
        <w:kinsoku/>
        <w:wordWrap w:val="0"/>
        <w:overflowPunct/>
        <w:topLinePunct w:val="0"/>
        <w:autoSpaceDE/>
        <w:autoSpaceDN/>
        <w:bidi w:val="0"/>
        <w:snapToGrid/>
        <w:spacing w:line="360" w:lineRule="auto"/>
        <w:ind w:firstLine="480" w:firstLineChars="200"/>
        <w:jc w:val="right"/>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2023年10月24日</w:t>
      </w:r>
    </w:p>
    <w:p>
      <w:pPr>
        <w:pStyle w:val="2"/>
        <w:keepNext w:val="0"/>
        <w:keepLines w:val="0"/>
        <w:pageBreakBefore w:val="0"/>
        <w:widowControl w:val="0"/>
        <w:kinsoku/>
        <w:overflowPunct/>
        <w:topLinePunct w:val="0"/>
        <w:autoSpaceDE/>
        <w:autoSpaceDN/>
        <w:bidi w:val="0"/>
        <w:snapToGrid/>
        <w:spacing w:line="360" w:lineRule="auto"/>
        <w:ind w:firstLine="0"/>
        <w:textAlignment w:val="auto"/>
        <w:rPr>
          <w:rFonts w:hint="eastAsia" w:ascii="仿宋" w:hAnsi="仿宋" w:eastAsia="仿宋" w:cs="仿宋"/>
          <w:b/>
          <w:sz w:val="24"/>
          <w:szCs w:val="24"/>
          <w:highlight w:val="yellow"/>
        </w:rPr>
        <w:sectPr>
          <w:footerReference r:id="rId5" w:type="default"/>
          <w:pgSz w:w="11906" w:h="16838"/>
          <w:pgMar w:top="1440" w:right="1080" w:bottom="1440" w:left="1080" w:header="851" w:footer="992" w:gutter="0"/>
          <w:cols w:space="720" w:num="1"/>
          <w:docGrid w:type="lines" w:linePitch="312" w:charSpace="0"/>
        </w:sectPr>
      </w:pPr>
    </w:p>
    <w:p>
      <w:pPr>
        <w:pStyle w:val="17"/>
        <w:keepNext w:val="0"/>
        <w:keepLines w:val="0"/>
        <w:pageBreakBefore w:val="0"/>
        <w:widowControl w:val="0"/>
        <w:kinsoku/>
        <w:overflowPunct/>
        <w:topLinePunct w:val="0"/>
        <w:autoSpaceDE/>
        <w:autoSpaceDN/>
        <w:bidi w:val="0"/>
        <w:spacing w:line="360" w:lineRule="auto"/>
        <w:ind w:left="0" w:lef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公告附件-采购计划表</w:t>
      </w:r>
    </w:p>
    <w:tbl>
      <w:tblPr>
        <w:tblStyle w:val="13"/>
        <w:tblW w:w="531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4"/>
        <w:gridCol w:w="3118"/>
        <w:gridCol w:w="472"/>
        <w:gridCol w:w="457"/>
        <w:gridCol w:w="371"/>
        <w:gridCol w:w="1214"/>
        <w:gridCol w:w="1258"/>
        <w:gridCol w:w="428"/>
        <w:gridCol w:w="357"/>
        <w:gridCol w:w="657"/>
        <w:gridCol w:w="458"/>
        <w:gridCol w:w="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标段</w:t>
            </w:r>
          </w:p>
        </w:tc>
        <w:tc>
          <w:tcPr>
            <w:tcW w:w="1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名称</w:t>
            </w:r>
          </w:p>
        </w:tc>
        <w:tc>
          <w:tcPr>
            <w:tcW w:w="23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内容</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单位</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数量</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单价(预算.元)</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合计(预算.元)</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项目单位</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采购方式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服务期\工期</w:t>
            </w: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资金来源</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标段2监理</w:t>
            </w:r>
          </w:p>
        </w:tc>
        <w:tc>
          <w:tcPr>
            <w:tcW w:w="1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鄂尔多斯市绿动煤炭运销有限责任公司八宝沟、宏丰、前进、腾远四座煤矿充换电站项目变电站配套送出工程</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监理</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299206.00</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299206.00</w:t>
            </w:r>
          </w:p>
        </w:tc>
        <w:tc>
          <w:tcPr>
            <w:tcW w:w="21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工程建设部</w:t>
            </w:r>
          </w:p>
        </w:tc>
        <w:tc>
          <w:tcPr>
            <w:tcW w:w="1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询比采购</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合同签订-2024年3月31日</w:t>
            </w:r>
          </w:p>
        </w:tc>
        <w:tc>
          <w:tcPr>
            <w:tcW w:w="2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0"/>
                <w:szCs w:val="20"/>
                <w:u w:val="none"/>
                <w:lang w:val="en-US" w:eastAsia="zh-CN" w:bidi="ar"/>
              </w:rPr>
              <w:t>10kV及以下基建工程</w:t>
            </w:r>
          </w:p>
        </w:tc>
        <w:tc>
          <w:tcPr>
            <w:tcW w:w="2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鄂尔多斯市鄂托克前旗110千伏水洞沟变电站新建两回10千伏线路送出工程</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监理</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26114.00</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26114.00</w:t>
            </w: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内蒙古亿阳物流集团有限公司充换电站项目配套变电站送出等2项工程</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监理</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93985.00</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93985.00</w:t>
            </w: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内蒙古东日房地产开发有限责任公司新装项目配套变电站送出工程</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监理</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137625.00</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137625.00</w:t>
            </w: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鄂尔多斯市棋蒙绿色新能源重卡充换电D7-9项目变电站送出工程</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监理</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w:t>
            </w: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9928.00</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9928.00</w:t>
            </w: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15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鄂尔多斯市棋蒙绿色新能源重卡充换电D10-11项目变电站送出工程</w:t>
            </w:r>
          </w:p>
        </w:tc>
        <w:tc>
          <w:tcPr>
            <w:tcW w:w="2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监理</w:t>
            </w:r>
          </w:p>
        </w:tc>
        <w:tc>
          <w:tcPr>
            <w:tcW w:w="2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1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48445.00</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48445.00</w:t>
            </w:r>
          </w:p>
        </w:tc>
        <w:tc>
          <w:tcPr>
            <w:tcW w:w="21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1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2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14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615303.00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314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615303.00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bl>
    <w:p>
      <w:pPr>
        <w:bidi w:val="0"/>
        <w:rPr>
          <w:rFonts w:hint="eastAsia"/>
        </w:rPr>
      </w:pPr>
    </w:p>
    <w:p>
      <w:pPr>
        <w:pStyle w:val="17"/>
        <w:rPr>
          <w:rFonts w:hint="eastAsia"/>
          <w:sz w:val="24"/>
          <w:szCs w:val="24"/>
        </w:rPr>
      </w:pPr>
    </w:p>
    <w:p>
      <w:pPr>
        <w:pageBreakBefore w:val="0"/>
        <w:kinsoku/>
        <w:overflowPunct/>
        <w:topLinePunct w:val="0"/>
        <w:bidi w:val="0"/>
        <w:snapToGrid w:val="0"/>
        <w:ind w:firstLine="0" w:firstLineChars="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附件1：</w:t>
      </w:r>
    </w:p>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shd w:val="clear" w:color="auto" w:fill="auto"/>
        </w:rPr>
        <w:t>《</w:t>
      </w:r>
      <w:r>
        <w:rPr>
          <w:rFonts w:hint="eastAsia" w:ascii="仿宋" w:hAnsi="仿宋" w:eastAsia="仿宋" w:cs="仿宋"/>
          <w:b/>
          <w:bCs/>
          <w:sz w:val="24"/>
          <w:szCs w:val="24"/>
          <w:highlight w:val="none"/>
          <w:shd w:val="clear" w:color="auto" w:fill="auto"/>
          <w:lang w:val="en-US" w:eastAsia="zh-CN"/>
        </w:rPr>
        <w:t>响应</w:t>
      </w:r>
      <w:r>
        <w:rPr>
          <w:rFonts w:hint="eastAsia" w:ascii="仿宋" w:hAnsi="仿宋" w:eastAsia="仿宋" w:cs="仿宋"/>
          <w:b/>
          <w:bCs/>
          <w:sz w:val="24"/>
          <w:szCs w:val="24"/>
          <w:highlight w:val="none"/>
          <w:shd w:val="clear" w:color="auto" w:fill="auto"/>
        </w:rPr>
        <w:t>真实性承诺</w:t>
      </w:r>
      <w:r>
        <w:rPr>
          <w:rFonts w:hint="eastAsia" w:ascii="仿宋" w:hAnsi="仿宋" w:eastAsia="仿宋" w:cs="仿宋"/>
          <w:b/>
          <w:bCs/>
          <w:sz w:val="24"/>
          <w:szCs w:val="24"/>
          <w:highlight w:val="none"/>
          <w:shd w:val="clear" w:color="auto" w:fill="auto"/>
          <w:lang w:val="en-US" w:eastAsia="zh-CN"/>
        </w:rPr>
        <w:t>书</w:t>
      </w:r>
      <w:r>
        <w:rPr>
          <w:rFonts w:hint="eastAsia" w:ascii="仿宋" w:hAnsi="仿宋" w:eastAsia="仿宋" w:cs="仿宋"/>
          <w:b/>
          <w:bCs/>
          <w:sz w:val="24"/>
          <w:szCs w:val="24"/>
          <w:highlight w:val="none"/>
          <w:shd w:val="clear" w:color="auto" w:fill="auto"/>
        </w:rPr>
        <w:t>》</w:t>
      </w:r>
    </w:p>
    <w:p>
      <w:pPr>
        <w:pStyle w:val="2"/>
        <w:rPr>
          <w:rFonts w:hint="eastAsia" w:ascii="仿宋" w:hAnsi="仿宋" w:eastAsia="仿宋" w:cs="仿宋"/>
          <w:sz w:val="24"/>
          <w:szCs w:val="24"/>
        </w:rPr>
      </w:pPr>
    </w:p>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内蒙古电力（集团）有限责任公司鄂尔多斯供电分公司物资供应处：</w:t>
      </w:r>
    </w:p>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我公司参与贵公司组织采购的（</w:t>
      </w:r>
      <w:r>
        <w:rPr>
          <w:rFonts w:hint="eastAsia" w:ascii="仿宋" w:hAnsi="仿宋" w:eastAsia="仿宋" w:cs="仿宋"/>
          <w:sz w:val="24"/>
          <w:szCs w:val="24"/>
          <w:highlight w:val="none"/>
          <w:u w:val="single"/>
          <w:lang w:val="en-US" w:eastAsia="zh-CN"/>
        </w:rPr>
        <w:t>项目名称</w:t>
      </w:r>
      <w:r>
        <w:rPr>
          <w:rFonts w:hint="eastAsia" w:ascii="仿宋" w:hAnsi="仿宋" w:eastAsia="仿宋" w:cs="仿宋"/>
          <w:sz w:val="24"/>
          <w:szCs w:val="24"/>
          <w:highlight w:val="none"/>
          <w:lang w:val="en-US" w:eastAsia="zh-CN"/>
        </w:rPr>
        <w:t>），我公司承诺所提交的</w:t>
      </w:r>
      <w:r>
        <w:rPr>
          <w:rFonts w:hint="eastAsia" w:ascii="仿宋" w:hAnsi="仿宋" w:eastAsia="仿宋" w:cs="仿宋"/>
          <w:sz w:val="24"/>
          <w:szCs w:val="24"/>
          <w:highlight w:val="none"/>
        </w:rPr>
        <w:t>材料</w:t>
      </w:r>
      <w:r>
        <w:rPr>
          <w:rFonts w:hint="eastAsia" w:ascii="仿宋" w:hAnsi="仿宋" w:eastAsia="仿宋" w:cs="仿宋"/>
          <w:sz w:val="24"/>
          <w:szCs w:val="24"/>
          <w:highlight w:val="none"/>
          <w:lang w:val="en-US" w:eastAsia="zh-CN"/>
        </w:rPr>
        <w:t>、响应文件表述、响应文件内容</w:t>
      </w:r>
      <w:r>
        <w:rPr>
          <w:rFonts w:hint="eastAsia" w:ascii="仿宋" w:hAnsi="仿宋" w:eastAsia="仿宋" w:cs="仿宋"/>
          <w:sz w:val="24"/>
          <w:szCs w:val="24"/>
          <w:lang w:val="en-US" w:eastAsia="zh-CN"/>
        </w:rPr>
        <w:t>是真实有效的。如有不实，则违反“诚实信用”原则，我公司承担由此引发的所有责任。</w:t>
      </w:r>
    </w:p>
    <w:p>
      <w:pPr>
        <w:spacing w:line="360" w:lineRule="auto"/>
        <w:jc w:val="left"/>
        <w:rPr>
          <w:rFonts w:hint="eastAsia" w:ascii="仿宋" w:hAnsi="仿宋" w:eastAsia="仿宋" w:cs="仿宋"/>
          <w:sz w:val="24"/>
          <w:szCs w:val="24"/>
        </w:rPr>
      </w:pPr>
    </w:p>
    <w:p>
      <w:pPr>
        <w:rPr>
          <w:rFonts w:hint="eastAsia" w:ascii="仿宋" w:hAnsi="仿宋" w:eastAsia="仿宋" w:cs="仿宋"/>
          <w:sz w:val="24"/>
          <w:szCs w:val="24"/>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供应商：（盖单位章）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法定代表人或其委托代理人：（签字）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年月日</w:t>
            </w:r>
          </w:p>
        </w:tc>
      </w:tr>
    </w:tbl>
    <w:p>
      <w:pPr>
        <w:keepNext w:val="0"/>
        <w:keepLines w:val="0"/>
        <w:pageBreakBefore w:val="0"/>
        <w:kinsoku/>
        <w:wordWrap/>
        <w:overflowPunct/>
        <w:topLinePunct w:val="0"/>
        <w:bidi w:val="0"/>
        <w:spacing w:line="360" w:lineRule="auto"/>
        <w:ind w:left="0" w:leftChars="0" w:firstLine="0" w:firstLineChars="0"/>
        <w:jc w:val="both"/>
        <w:textAlignment w:val="auto"/>
        <w:rPr>
          <w:rFonts w:hint="eastAsia" w:ascii="仿宋" w:hAnsi="仿宋" w:eastAsia="仿宋" w:cs="仿宋"/>
          <w:sz w:val="24"/>
          <w:szCs w:val="24"/>
        </w:rPr>
        <w:sectPr>
          <w:pgSz w:w="11905" w:h="16838"/>
          <w:pgMar w:top="1701" w:right="1417" w:bottom="1701" w:left="1417" w:header="850" w:footer="992" w:gutter="0"/>
          <w:pgNumType w:fmt="decimal"/>
          <w:cols w:space="0" w:num="1"/>
          <w:rtlGutter w:val="0"/>
          <w:docGrid w:type="lines" w:linePitch="328" w:charSpace="0"/>
        </w:sectPr>
      </w:pPr>
    </w:p>
    <w:p>
      <w:pPr>
        <w:pageBreakBefore w:val="0"/>
        <w:kinsoku/>
        <w:overflowPunct/>
        <w:topLinePunct w:val="0"/>
        <w:bidi w:val="0"/>
        <w:snapToGrid w:val="0"/>
        <w:ind w:firstLine="0" w:firstLineChars="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lang w:val="en-US" w:eastAsia="zh-CN"/>
        </w:rPr>
        <w:t>附件2：</w:t>
      </w:r>
    </w:p>
    <w:p>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法定代表人资格证明</w:t>
      </w:r>
    </w:p>
    <w:p>
      <w:pPr>
        <w:autoSpaceDE w:val="0"/>
        <w:autoSpaceDN w:val="0"/>
        <w:spacing w:line="360" w:lineRule="auto"/>
        <w:jc w:val="center"/>
        <w:rPr>
          <w:rFonts w:hint="eastAsia" w:ascii="仿宋" w:hAnsi="仿宋" w:eastAsia="仿宋" w:cs="仿宋"/>
          <w:sz w:val="24"/>
          <w:szCs w:val="24"/>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适用于无代理人的情况）</w:t>
      </w:r>
    </w:p>
    <w:p>
      <w:pPr>
        <w:autoSpaceDE w:val="0"/>
        <w:autoSpaceDN w:val="0"/>
        <w:spacing w:line="360" w:lineRule="auto"/>
        <w:jc w:val="left"/>
        <w:rPr>
          <w:rFonts w:hint="eastAsia" w:ascii="仿宋" w:hAnsi="仿宋" w:eastAsia="仿宋" w:cs="仿宋"/>
          <w:kern w:val="0"/>
          <w:sz w:val="24"/>
          <w:szCs w:val="24"/>
        </w:rPr>
      </w:pP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spacing w:val="6"/>
          <w:sz w:val="24"/>
          <w:szCs w:val="24"/>
        </w:rPr>
        <w:t>企业（</w:t>
      </w:r>
      <w:r>
        <w:rPr>
          <w:rFonts w:hint="eastAsia" w:ascii="仿宋" w:hAnsi="仿宋" w:eastAsia="仿宋" w:cs="仿宋"/>
          <w:spacing w:val="6"/>
          <w:sz w:val="24"/>
          <w:szCs w:val="24"/>
          <w:lang w:val="en-US" w:eastAsia="zh-CN"/>
        </w:rPr>
        <w:t>供应商</w:t>
      </w:r>
      <w:r>
        <w:rPr>
          <w:rFonts w:hint="eastAsia" w:ascii="仿宋" w:hAnsi="仿宋" w:eastAsia="仿宋" w:cs="仿宋"/>
          <w:spacing w:val="6"/>
          <w:sz w:val="24"/>
          <w:szCs w:val="24"/>
        </w:rPr>
        <w:t>）</w:t>
      </w:r>
      <w:r>
        <w:rPr>
          <w:rFonts w:hint="eastAsia" w:ascii="仿宋" w:hAnsi="仿宋" w:eastAsia="仿宋" w:cs="仿宋"/>
          <w:kern w:val="0"/>
          <w:sz w:val="24"/>
          <w:szCs w:val="24"/>
        </w:rPr>
        <w:t>名称：</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单位性质：</w:t>
      </w:r>
    </w:p>
    <w:p>
      <w:pPr>
        <w:autoSpaceDE w:val="0"/>
        <w:autoSpaceDN w:val="0"/>
        <w:spacing w:line="360" w:lineRule="auto"/>
        <w:jc w:val="left"/>
        <w:rPr>
          <w:rFonts w:hint="eastAsia" w:ascii="仿宋" w:hAnsi="仿宋" w:eastAsia="仿宋" w:cs="仿宋"/>
          <w:spacing w:val="6"/>
          <w:sz w:val="24"/>
          <w:szCs w:val="24"/>
          <w:u w:val="single"/>
        </w:rPr>
      </w:pPr>
      <w:r>
        <w:rPr>
          <w:rFonts w:hint="eastAsia" w:ascii="仿宋" w:hAnsi="仿宋" w:eastAsia="仿宋" w:cs="仿宋"/>
          <w:spacing w:val="6"/>
          <w:sz w:val="24"/>
          <w:szCs w:val="24"/>
        </w:rPr>
        <w:t>地址：</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成立时间：年月日</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经营期限：</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姓名：性别：</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年龄：职务：</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系的法定代表人。</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lang w:val="en-US" w:eastAsia="zh-CN"/>
        </w:rPr>
        <w:t>附：</w:t>
      </w:r>
      <w:r>
        <w:rPr>
          <w:rFonts w:hint="eastAsia" w:ascii="仿宋" w:hAnsi="仿宋" w:eastAsia="仿宋" w:cs="仿宋"/>
          <w:color w:val="auto"/>
          <w:kern w:val="0"/>
          <w:sz w:val="24"/>
          <w:szCs w:val="24"/>
          <w:highlight w:val="none"/>
        </w:rPr>
        <w:t>法定代表人居民身份证</w:t>
      </w:r>
      <w:r>
        <w:rPr>
          <w:rFonts w:hint="eastAsia" w:ascii="仿宋" w:hAnsi="仿宋" w:eastAsia="仿宋" w:cs="仿宋"/>
          <w:color w:val="auto"/>
          <w:kern w:val="0"/>
          <w:sz w:val="24"/>
          <w:szCs w:val="24"/>
          <w:highlight w:val="none"/>
          <w:lang w:val="en-US" w:eastAsia="zh-CN"/>
        </w:rPr>
        <w:t>正反面扫描件</w:t>
      </w:r>
    </w:p>
    <w:tbl>
      <w:tblPr>
        <w:tblStyle w:val="13"/>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noWrap w:val="0"/>
            <w:vAlign w:val="center"/>
          </w:tcPr>
          <w:p>
            <w:pPr>
              <w:autoSpaceDE w:val="0"/>
              <w:autoSpaceDN w:val="0"/>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color w:val="auto"/>
                <w:kern w:val="0"/>
                <w:sz w:val="24"/>
                <w:szCs w:val="24"/>
                <w:highlight w:val="none"/>
              </w:rPr>
              <w:t>法定代表人居民身份证</w:t>
            </w:r>
          </w:p>
        </w:tc>
        <w:tc>
          <w:tcPr>
            <w:tcW w:w="4140" w:type="dxa"/>
            <w:noWrap w:val="0"/>
            <w:vAlign w:val="center"/>
          </w:tcPr>
          <w:p>
            <w:pPr>
              <w:autoSpaceDE w:val="0"/>
              <w:autoSpaceDN w:val="0"/>
              <w:spacing w:line="360" w:lineRule="auto"/>
              <w:jc w:val="center"/>
              <w:rPr>
                <w:rFonts w:hint="eastAsia" w:ascii="仿宋" w:hAnsi="仿宋" w:eastAsia="仿宋" w:cs="仿宋"/>
                <w:kern w:val="0"/>
                <w:sz w:val="24"/>
                <w:szCs w:val="24"/>
                <w:lang w:eastAsia="zh-CN"/>
              </w:rPr>
            </w:pPr>
            <w:r>
              <w:rPr>
                <w:rFonts w:hint="eastAsia" w:ascii="仿宋" w:hAnsi="仿宋" w:eastAsia="仿宋" w:cs="仿宋"/>
                <w:color w:val="auto"/>
                <w:kern w:val="0"/>
                <w:sz w:val="24"/>
                <w:szCs w:val="24"/>
                <w:highlight w:val="none"/>
              </w:rPr>
              <w:t>法定代表人居民身份证</w:t>
            </w:r>
          </w:p>
        </w:tc>
      </w:tr>
    </w:tbl>
    <w:p>
      <w:pPr>
        <w:autoSpaceDE w:val="0"/>
        <w:autoSpaceDN w:val="0"/>
        <w:spacing w:line="360" w:lineRule="auto"/>
        <w:ind w:firstLine="360" w:firstLineChars="150"/>
        <w:jc w:val="left"/>
        <w:rPr>
          <w:rFonts w:hint="eastAsia" w:ascii="仿宋" w:hAnsi="仿宋" w:eastAsia="仿宋" w:cs="仿宋"/>
          <w:kern w:val="0"/>
          <w:sz w:val="24"/>
          <w:szCs w:val="24"/>
        </w:rPr>
      </w:pPr>
    </w:p>
    <w:p>
      <w:pPr>
        <w:autoSpaceDE w:val="0"/>
        <w:autoSpaceDN w:val="0"/>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pPr>
        <w:autoSpaceDE w:val="0"/>
        <w:autoSpaceDN w:val="0"/>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highlight w:val="none"/>
        </w:rPr>
        <w:t>法定代表人：</w:t>
      </w:r>
      <w:r>
        <w:rPr>
          <w:rFonts w:hint="eastAsia" w:ascii="仿宋" w:hAnsi="仿宋" w:eastAsia="仿宋" w:cs="仿宋"/>
          <w:kern w:val="0"/>
          <w:sz w:val="24"/>
          <w:szCs w:val="24"/>
          <w:highlight w:val="none"/>
          <w:u w:val="single"/>
        </w:rPr>
        <w:t>（</w:t>
      </w:r>
      <w:r>
        <w:rPr>
          <w:rFonts w:hint="eastAsia" w:ascii="仿宋" w:hAnsi="仿宋" w:eastAsia="仿宋" w:cs="仿宋"/>
          <w:kern w:val="0"/>
          <w:sz w:val="24"/>
          <w:szCs w:val="24"/>
          <w:highlight w:val="none"/>
        </w:rPr>
        <w:t>签字/签章）</w:t>
      </w:r>
    </w:p>
    <w:p>
      <w:pPr>
        <w:autoSpaceDE w:val="0"/>
        <w:autoSpaceDN w:val="0"/>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：（加盖单位公章）</w:t>
      </w:r>
    </w:p>
    <w:p>
      <w:pPr>
        <w:autoSpaceDE w:val="0"/>
        <w:autoSpaceDN w:val="0"/>
        <w:spacing w:line="360" w:lineRule="auto"/>
        <w:ind w:firstLine="5880" w:firstLineChars="2450"/>
        <w:jc w:val="right"/>
        <w:rPr>
          <w:rFonts w:hint="eastAsia" w:ascii="仿宋" w:hAnsi="仿宋" w:eastAsia="仿宋" w:cs="仿宋"/>
          <w:kern w:val="0"/>
          <w:sz w:val="24"/>
          <w:szCs w:val="24"/>
        </w:rPr>
      </w:pPr>
      <w:r>
        <w:rPr>
          <w:rFonts w:hint="eastAsia" w:ascii="仿宋" w:hAnsi="仿宋" w:eastAsia="仿宋" w:cs="仿宋"/>
          <w:kern w:val="0"/>
          <w:sz w:val="24"/>
          <w:szCs w:val="24"/>
        </w:rPr>
        <w:t>年</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日</w:t>
      </w:r>
    </w:p>
    <w:p>
      <w:pPr>
        <w:jc w:val="center"/>
        <w:rPr>
          <w:rFonts w:hint="eastAsia" w:ascii="仿宋" w:hAnsi="仿宋" w:eastAsia="仿宋" w:cs="仿宋"/>
          <w:b/>
          <w:bCs/>
          <w:sz w:val="24"/>
          <w:szCs w:val="24"/>
        </w:rPr>
      </w:pPr>
      <w:r>
        <w:rPr>
          <w:rFonts w:hint="eastAsia" w:ascii="仿宋" w:hAnsi="仿宋" w:eastAsia="仿宋" w:cs="仿宋"/>
          <w:sz w:val="24"/>
          <w:szCs w:val="24"/>
        </w:rPr>
        <w:br w:type="page"/>
      </w:r>
      <w:r>
        <w:rPr>
          <w:rFonts w:hint="eastAsia" w:ascii="仿宋" w:hAnsi="仿宋" w:eastAsia="仿宋" w:cs="仿宋"/>
          <w:b/>
          <w:bCs/>
          <w:sz w:val="24"/>
          <w:szCs w:val="24"/>
        </w:rPr>
        <w:t>法人代表授权委托书</w:t>
      </w:r>
    </w:p>
    <w:p>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（适用于有委托代理人的情况）</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white"/>
        </w:rPr>
      </w:pPr>
      <w:r>
        <w:rPr>
          <w:rFonts w:hint="eastAsia" w:ascii="仿宋" w:hAnsi="仿宋" w:eastAsia="仿宋" w:cs="仿宋"/>
          <w:sz w:val="24"/>
          <w:szCs w:val="24"/>
          <w:highlight w:val="white"/>
        </w:rPr>
        <w:t>本人（姓名）系（供应商名称）的法定代表人</w:t>
      </w:r>
      <w:r>
        <w:rPr>
          <w:rFonts w:hint="eastAsia" w:ascii="仿宋" w:hAnsi="仿宋" w:eastAsia="仿宋" w:cs="仿宋"/>
          <w:sz w:val="24"/>
          <w:szCs w:val="24"/>
        </w:rPr>
        <w:t>（单位负责人）</w:t>
      </w:r>
      <w:r>
        <w:rPr>
          <w:rFonts w:hint="eastAsia" w:ascii="仿宋" w:hAnsi="仿宋" w:eastAsia="仿宋" w:cs="仿宋"/>
          <w:sz w:val="24"/>
          <w:szCs w:val="24"/>
          <w:highlight w:val="white"/>
        </w:rPr>
        <w:t>，现委托（姓名）为我方代理人。代理人根据授权，以我方名义签署、澄清、说明、补正、递交、撤回、修改（项目名称）(项目编号)</w:t>
      </w:r>
      <w:r>
        <w:rPr>
          <w:rFonts w:hint="eastAsia" w:ascii="仿宋" w:hAnsi="仿宋" w:eastAsia="仿宋" w:cs="仿宋"/>
          <w:color w:val="auto"/>
          <w:sz w:val="24"/>
          <w:szCs w:val="24"/>
          <w:highlight w:val="white"/>
        </w:rPr>
        <w:t>(</w:t>
      </w:r>
      <w:r>
        <w:rPr>
          <w:rFonts w:hint="eastAsia" w:ascii="仿宋" w:hAnsi="仿宋" w:eastAsia="仿宋" w:cs="仿宋"/>
          <w:color w:val="auto"/>
          <w:sz w:val="24"/>
          <w:szCs w:val="24"/>
          <w:highlight w:val="white"/>
          <w:lang w:val="en-US" w:eastAsia="zh-CN"/>
        </w:rPr>
        <w:t>XXX</w:t>
      </w:r>
      <w:r>
        <w:rPr>
          <w:rFonts w:hint="eastAsia" w:ascii="仿宋" w:hAnsi="仿宋" w:eastAsia="仿宋" w:cs="仿宋"/>
          <w:color w:val="auto"/>
          <w:sz w:val="24"/>
          <w:szCs w:val="24"/>
          <w:highlight w:val="white"/>
        </w:rPr>
        <w:t>标段)响应文件、签订合同和处理有关事宜，其法律后果由我方承担。</w:t>
      </w:r>
    </w:p>
    <w:p>
      <w:pPr>
        <w:keepNext w:val="0"/>
        <w:keepLines w:val="0"/>
        <w:pageBreakBefore w:val="0"/>
        <w:kinsoku/>
        <w:wordWrap/>
        <w:overflowPunct/>
        <w:topLinePunct w:val="0"/>
        <w:bidi w:val="0"/>
        <w:spacing w:before="120"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highlight w:val="white"/>
        </w:rPr>
        <w:t>委托期限：。（可参考：</w:t>
      </w:r>
      <w:r>
        <w:rPr>
          <w:rFonts w:hint="eastAsia" w:ascii="仿宋" w:hAnsi="仿宋" w:eastAsia="仿宋" w:cs="仿宋"/>
          <w:sz w:val="24"/>
          <w:szCs w:val="24"/>
        </w:rPr>
        <w:t>自本委托书签署之日起至响应文件有效期满）</w:t>
      </w:r>
    </w:p>
    <w:p>
      <w:pPr>
        <w:keepNext w:val="0"/>
        <w:keepLines w:val="0"/>
        <w:pageBreakBefore w:val="0"/>
        <w:kinsoku/>
        <w:wordWrap/>
        <w:overflowPunct/>
        <w:topLinePunct w:val="0"/>
        <w:bidi w:val="0"/>
        <w:spacing w:before="240" w:after="240" w:line="240" w:lineRule="auto"/>
        <w:ind w:firstLine="480" w:firstLineChars="200"/>
        <w:textAlignment w:val="auto"/>
        <w:rPr>
          <w:rFonts w:hint="eastAsia" w:ascii="仿宋" w:hAnsi="仿宋" w:eastAsia="仿宋" w:cs="仿宋"/>
          <w:sz w:val="24"/>
          <w:szCs w:val="24"/>
          <w:highlight w:val="white"/>
          <w:lang w:eastAsia="zh-CN"/>
        </w:rPr>
      </w:pPr>
      <w:r>
        <w:rPr>
          <w:rFonts w:hint="eastAsia" w:ascii="仿宋" w:hAnsi="仿宋" w:eastAsia="仿宋" w:cs="仿宋"/>
          <w:sz w:val="24"/>
          <w:szCs w:val="24"/>
          <w:highlight w:val="white"/>
        </w:rPr>
        <w:t>代理人无转委托权。</w:t>
      </w:r>
    </w:p>
    <w:p>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附：法定代表人（单位负责人）身份证</w:t>
      </w:r>
      <w:r>
        <w:rPr>
          <w:rFonts w:hint="eastAsia" w:ascii="仿宋" w:hAnsi="仿宋" w:eastAsia="仿宋" w:cs="仿宋"/>
          <w:color w:val="auto"/>
          <w:sz w:val="24"/>
          <w:szCs w:val="24"/>
          <w:highlight w:val="none"/>
          <w:lang w:val="en-US" w:eastAsia="zh-CN"/>
        </w:rPr>
        <w:t>正反面扫描件</w:t>
      </w:r>
      <w:r>
        <w:rPr>
          <w:rFonts w:hint="eastAsia" w:ascii="仿宋" w:hAnsi="仿宋" w:eastAsia="仿宋" w:cs="仿宋"/>
          <w:color w:val="auto"/>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2691130</wp:posOffset>
                </wp:positionH>
                <wp:positionV relativeFrom="paragraph">
                  <wp:posOffset>108585</wp:posOffset>
                </wp:positionV>
                <wp:extent cx="2371725" cy="1135380"/>
                <wp:effectExtent l="4445" t="4445" r="5080" b="22225"/>
                <wp:wrapNone/>
                <wp:docPr id="1" name="圆角矩形 1"/>
                <wp:cNvGraphicFramePr/>
                <a:graphic xmlns:a="http://schemas.openxmlformats.org/drawingml/2006/main">
                  <a:graphicData uri="http://schemas.microsoft.com/office/word/2010/wordprocessingShape">
                    <wps:wsp>
                      <wps:cNvSpPr/>
                      <wps:spPr>
                        <a:xfrm>
                          <a:off x="0" y="0"/>
                          <a:ext cx="2371725" cy="11353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txbxContent>
                      </wps:txbx>
                      <wps:bodyPr vert="horz" anchor="t" upright="1"/>
                    </wps:wsp>
                  </a:graphicData>
                </a:graphic>
              </wp:anchor>
            </w:drawing>
          </mc:Choice>
          <mc:Fallback>
            <w:pict>
              <v:roundrect id="_x0000_s1026" o:spid="_x0000_s1026" o:spt="2" style="position:absolute;left:0pt;margin-left:211.9pt;margin-top:8.55pt;height:89.4pt;width:186.75pt;z-index:251662336;mso-width-relative:page;mso-height-relative:page;" fillcolor="#FFFFFF" filled="t" stroked="t" coordsize="21600,21600" arcsize="0" o:gfxdata="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T1OWdoAAAAKAQAADwAAAAAAAAABACAAAAAiAAAAZHJzL2Rvd25y&#10;ZXYueG1sUEsBAhQAFAAAAAgAh07iQHjh81w1AgAAdwQAAA4AAAAAAAAAAQAgAAAAKQEAAGRycy9l&#10;Mm9Eb2MueG1sUEsFBgAAAAAGAAYAWQEAANAFAAAAAA==&#10;">
                <v:fill on="t" focussize="0,0"/>
                <v:stroke color="#000000" joinstyle="round" dashstyle="dash"/>
                <v:imagedata o:title=""/>
                <o:lock v:ext="edit" aspectratio="f"/>
                <v:textbox>
                  <w:txbxContent>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208280</wp:posOffset>
                </wp:positionH>
                <wp:positionV relativeFrom="paragraph">
                  <wp:posOffset>100965</wp:posOffset>
                </wp:positionV>
                <wp:extent cx="2371725" cy="1144905"/>
                <wp:effectExtent l="4445" t="4445" r="5080" b="12700"/>
                <wp:wrapNone/>
                <wp:docPr id="8" name="圆角矩形 8"/>
                <wp:cNvGraphicFramePr/>
                <a:graphic xmlns:a="http://schemas.openxmlformats.org/drawingml/2006/main">
                  <a:graphicData uri="http://schemas.microsoft.com/office/word/2010/wordprocessingShape">
                    <wps:wsp>
                      <wps:cNvSpPr/>
                      <wps:spPr>
                        <a:xfrm>
                          <a:off x="0" y="0"/>
                          <a:ext cx="2371725" cy="114490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jc w:val="center"/>
                            </w:pPr>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p>
                            <w:pPr>
                              <w:jc w:val="center"/>
                            </w:pPr>
                          </w:p>
                        </w:txbxContent>
                      </wps:txbx>
                      <wps:bodyPr vert="horz" anchor="t" upright="1"/>
                    </wps:wsp>
                  </a:graphicData>
                </a:graphic>
              </wp:anchor>
            </w:drawing>
          </mc:Choice>
          <mc:Fallback>
            <w:pict>
              <v:roundrect id="_x0000_s1026" o:spid="_x0000_s1026" o:spt="2" style="position:absolute;left:0pt;margin-left:16.4pt;margin-top:7.95pt;height:90.15pt;width:186.75pt;z-index:251663360;mso-width-relative:page;mso-height-relative:page;" fillcolor="#FFFFFF" filled="t" stroked="t" coordsize="21600,21600" arcsize="0" o:gfxdata="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mzMzHYAAAACQEAAA8AAAAAAAAAAQAgAAAAIgAAAGRycy9kb3du&#10;cmV2LnhtbFBLAQIUABQAAAAIAIdO4kA7j7PtOAIAAHcEAAAOAAAAAAAAAAEAIAAAACcBAABkcnMv&#10;ZTJvRG9jLnhtbFBLBQYAAAAABgAGAFkBAADRBQAAAAA=&#10;">
                <v:fill on="t" focussize="0,0"/>
                <v:stroke color="#0D0D0D" joinstyle="round" dashstyle="dash"/>
                <v:imagedata o:title=""/>
                <o:lock v:ext="edit" aspectratio="f"/>
                <v:textbox>
                  <w:txbxContent>
                    <w:p>
                      <w:pPr>
                        <w:jc w:val="center"/>
                      </w:pPr>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p>
                      <w:pPr>
                        <w:jc w:val="center"/>
                      </w:pPr>
                    </w:p>
                  </w:txbxContent>
                </v:textbox>
              </v:roundrect>
            </w:pict>
          </mc:Fallback>
        </mc:AlternateConten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附：委托代理人身份证</w:t>
      </w:r>
      <w:r>
        <w:rPr>
          <w:rFonts w:hint="eastAsia" w:ascii="仿宋" w:hAnsi="仿宋" w:eastAsia="仿宋" w:cs="仿宋"/>
          <w:color w:val="auto"/>
          <w:sz w:val="24"/>
          <w:szCs w:val="24"/>
          <w:highlight w:val="none"/>
          <w:lang w:val="en-US" w:eastAsia="zh-CN"/>
        </w:rPr>
        <w:t>正反面扫描件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2720340</wp:posOffset>
                </wp:positionH>
                <wp:positionV relativeFrom="paragraph">
                  <wp:posOffset>236855</wp:posOffset>
                </wp:positionV>
                <wp:extent cx="2371725" cy="982980"/>
                <wp:effectExtent l="4445" t="4445" r="5080" b="22225"/>
                <wp:wrapNone/>
                <wp:docPr id="20" name="圆角矩形 20"/>
                <wp:cNvGraphicFramePr/>
                <a:graphic xmlns:a="http://schemas.openxmlformats.org/drawingml/2006/main">
                  <a:graphicData uri="http://schemas.microsoft.com/office/word/2010/wordprocessingShape">
                    <wps:wsp>
                      <wps:cNvSpPr/>
                      <wps:spPr>
                        <a:xfrm>
                          <a:off x="0" y="0"/>
                          <a:ext cx="2371725" cy="9829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txbxContent>
                      </wps:txbx>
                      <wps:bodyPr vert="horz" anchor="t" upright="1"/>
                    </wps:wsp>
                  </a:graphicData>
                </a:graphic>
              </wp:anchor>
            </w:drawing>
          </mc:Choice>
          <mc:Fallback>
            <w:pict>
              <v:roundrect id="_x0000_s1026" o:spid="_x0000_s1026" o:spt="2" style="position:absolute;left:0pt;margin-left:214.2pt;margin-top:18.65pt;height:77.4pt;width:186.75pt;z-index:251664384;mso-width-relative:page;mso-height-relative:page;" fillcolor="#FFFFFF" filled="t" stroked="t" coordsize="21600,21600" arcsize="0" o:gfxdata="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NzKBdoAAAAKAQAADwAAAAAAAAABACAAAAAiAAAAZHJzL2Rvd25y&#10;ZXYueG1sUEsBAhQAFAAAAAgAh07iQCEXpq41AgAAeAQAAA4AAAAAAAAAAQAgAAAAKQEAAGRycy9l&#10;Mm9Eb2MueG1sUEsFBgAAAAAGAAYAWQEAANAFAAAAAA==&#10;">
                <v:fill on="t" focussize="0,0"/>
                <v:stroke color="#000000" joinstyle="round" dashstyle="dash"/>
                <v:imagedata o:title=""/>
                <o:lock v:ext="edit" aspectratio="f"/>
                <v:textbox>
                  <w:txbxContent>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234315</wp:posOffset>
                </wp:positionH>
                <wp:positionV relativeFrom="paragraph">
                  <wp:posOffset>236855</wp:posOffset>
                </wp:positionV>
                <wp:extent cx="2371725" cy="1016635"/>
                <wp:effectExtent l="4445" t="4445" r="5080" b="7620"/>
                <wp:wrapNone/>
                <wp:docPr id="9" name="圆角矩形 9"/>
                <wp:cNvGraphicFramePr/>
                <a:graphic xmlns:a="http://schemas.openxmlformats.org/drawingml/2006/main">
                  <a:graphicData uri="http://schemas.microsoft.com/office/word/2010/wordprocessingShape">
                    <wps:wsp>
                      <wps:cNvSpPr/>
                      <wps:spPr>
                        <a:xfrm>
                          <a:off x="0" y="0"/>
                          <a:ext cx="2371725" cy="101663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jc w:val="center"/>
                            </w:pPr>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p>
                            <w:pPr>
                              <w:jc w:val="center"/>
                            </w:pPr>
                          </w:p>
                        </w:txbxContent>
                      </wps:txbx>
                      <wps:bodyPr vert="horz" anchor="t" upright="1"/>
                    </wps:wsp>
                  </a:graphicData>
                </a:graphic>
              </wp:anchor>
            </w:drawing>
          </mc:Choice>
          <mc:Fallback>
            <w:pict>
              <v:roundrect id="_x0000_s1026" o:spid="_x0000_s1026" o:spt="2" style="position:absolute;left:0pt;margin-left:18.45pt;margin-top:18.65pt;height:80.05pt;width:186.75pt;z-index:251665408;mso-width-relative:page;mso-height-relative:page;" fillcolor="#FFFFFF" filled="t" stroked="t" coordsize="21600,21600" arcsize="0" o:gfxdata="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wEvNgAAAAJAQAADwAAAAAAAAABACAAAAAiAAAAZHJzL2Rvd25y&#10;ZXYueG1sUEsBAhQAFAAAAAgAh07iQDDqVmA3AgAAdwQAAA4AAAAAAAAAAQAgAAAAJwEAAGRycy9l&#10;Mm9Eb2MueG1sUEsFBgAAAAAGAAYAWQEAANAFAAAAAA==&#10;">
                <v:fill on="t" focussize="0,0"/>
                <v:stroke color="#0D0D0D" joinstyle="round" dashstyle="dash"/>
                <v:imagedata o:title=""/>
                <o:lock v:ext="edit" aspectratio="f"/>
                <v:textbox>
                  <w:txbxContent>
                    <w:p>
                      <w:pPr>
                        <w:jc w:val="center"/>
                      </w:pPr>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p>
                      <w:pPr>
                        <w:jc w:val="center"/>
                      </w:pPr>
                    </w:p>
                  </w:txbxContent>
                </v:textbox>
              </v:roundrect>
            </w:pict>
          </mc:Fallback>
        </mc:AlternateConten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sz w:val="24"/>
          <w:szCs w:val="24"/>
          <w:highlight w:val="white"/>
        </w:rPr>
        <w:t>供应商：</w:t>
      </w:r>
      <w:r>
        <w:rPr>
          <w:rFonts w:hint="eastAsia" w:ascii="仿宋" w:hAnsi="仿宋" w:eastAsia="仿宋" w:cs="仿宋"/>
          <w:b/>
          <w:bCs/>
          <w:sz w:val="24"/>
          <w:szCs w:val="24"/>
          <w:highlight w:val="white"/>
        </w:rPr>
        <w:t>（盖章）</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white"/>
        </w:rPr>
        <w:t>法定代表人</w:t>
      </w:r>
      <w:r>
        <w:rPr>
          <w:rFonts w:hint="eastAsia" w:ascii="仿宋" w:hAnsi="仿宋" w:eastAsia="仿宋" w:cs="仿宋"/>
          <w:b w:val="0"/>
          <w:bCs w:val="0"/>
          <w:sz w:val="24"/>
          <w:szCs w:val="24"/>
        </w:rPr>
        <w:t>（单位负责人）</w:t>
      </w:r>
      <w:r>
        <w:rPr>
          <w:rFonts w:hint="eastAsia" w:ascii="仿宋" w:hAnsi="仿宋" w:eastAsia="仿宋" w:cs="仿宋"/>
          <w:b w:val="0"/>
          <w:bCs w:val="0"/>
          <w:sz w:val="24"/>
          <w:szCs w:val="24"/>
          <w:highlight w:val="white"/>
        </w:rPr>
        <w:t>：</w:t>
      </w:r>
      <w:r>
        <w:rPr>
          <w:rFonts w:hint="eastAsia" w:ascii="仿宋" w:hAnsi="仿宋" w:eastAsia="仿宋" w:cs="仿宋"/>
          <w:b/>
          <w:bCs/>
          <w:sz w:val="24"/>
          <w:szCs w:val="24"/>
          <w:highlight w:val="none"/>
        </w:rPr>
        <w:t>（签字或</w:t>
      </w:r>
      <w:r>
        <w:rPr>
          <w:rFonts w:hint="eastAsia" w:ascii="仿宋" w:hAnsi="仿宋" w:eastAsia="仿宋" w:cs="仿宋"/>
          <w:b/>
          <w:bCs/>
          <w:sz w:val="24"/>
          <w:szCs w:val="24"/>
          <w:highlight w:val="none"/>
          <w:lang w:val="en-US" w:eastAsia="zh-CN"/>
        </w:rPr>
        <w:t>签章</w:t>
      </w:r>
      <w:r>
        <w:rPr>
          <w:rFonts w:hint="eastAsia" w:ascii="仿宋" w:hAnsi="仿宋" w:eastAsia="仿宋" w:cs="仿宋"/>
          <w:b/>
          <w:bCs/>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u w:val="single"/>
          <w:lang w:eastAsia="zh-CN"/>
        </w:rPr>
      </w:pPr>
      <w:r>
        <w:rPr>
          <w:rFonts w:hint="eastAsia" w:ascii="仿宋" w:hAnsi="仿宋" w:eastAsia="仿宋" w:cs="仿宋"/>
          <w:b w:val="0"/>
          <w:bCs w:val="0"/>
          <w:sz w:val="24"/>
          <w:szCs w:val="24"/>
          <w:highlight w:val="white"/>
        </w:rPr>
        <w:t>身份证号码：</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highlight w:val="white"/>
        </w:rPr>
        <w:t>委托代理人：</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签字</w:t>
      </w:r>
      <w:r>
        <w:rPr>
          <w:rFonts w:hint="eastAsia" w:ascii="仿宋" w:hAnsi="仿宋" w:eastAsia="仿宋" w:cs="仿宋"/>
          <w:b/>
          <w:bCs/>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sz w:val="24"/>
          <w:szCs w:val="24"/>
          <w:highlight w:val="white"/>
          <w:u w:val="single"/>
          <w:lang w:eastAsia="zh-CN"/>
        </w:rPr>
      </w:pPr>
      <w:r>
        <w:rPr>
          <w:rFonts w:hint="eastAsia" w:ascii="仿宋" w:hAnsi="仿宋" w:eastAsia="仿宋" w:cs="仿宋"/>
          <w:sz w:val="24"/>
          <w:szCs w:val="24"/>
          <w:highlight w:val="white"/>
        </w:rPr>
        <w:t>身份证号码：</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sz w:val="24"/>
          <w:szCs w:val="24"/>
          <w:highlight w:val="white"/>
          <w:lang w:eastAsia="zh-CN"/>
        </w:rPr>
      </w:pPr>
      <w:r>
        <w:rPr>
          <w:rFonts w:hint="eastAsia" w:ascii="仿宋" w:hAnsi="仿宋" w:eastAsia="仿宋" w:cs="仿宋"/>
          <w:sz w:val="24"/>
          <w:szCs w:val="24"/>
          <w:highlight w:val="white"/>
        </w:rPr>
        <w:t>联系方式：</w:t>
      </w:r>
    </w:p>
    <w:p>
      <w:pPr>
        <w:autoSpaceDE w:val="0"/>
        <w:autoSpaceDN w:val="0"/>
        <w:adjustRightInd w:val="0"/>
        <w:snapToGrid w:val="0"/>
        <w:jc w:val="right"/>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pPr>
        <w:pStyle w:val="2"/>
        <w:spacing w:line="360" w:lineRule="auto"/>
        <w:ind w:left="0" w:leftChars="0" w:firstLine="0" w:firstLineChars="0"/>
        <w:rPr>
          <w:rFonts w:hint="eastAsia" w:ascii="仿宋" w:hAnsi="仿宋" w:eastAsia="仿宋" w:cs="仿宋"/>
          <w:sz w:val="24"/>
          <w:szCs w:val="24"/>
        </w:rPr>
        <w:sectPr>
          <w:footerReference r:id="rId7" w:type="first"/>
          <w:footerReference r:id="rId6" w:type="default"/>
          <w:pgSz w:w="11905" w:h="16838"/>
          <w:pgMar w:top="1701" w:right="1417" w:bottom="1701" w:left="1417" w:header="850" w:footer="992" w:gutter="0"/>
          <w:pgNumType w:fmt="decimal"/>
          <w:cols w:space="0" w:num="1"/>
          <w:rtlGutter w:val="0"/>
          <w:docGrid w:type="lines" w:linePitch="328" w:charSpace="0"/>
        </w:sectPr>
      </w:pPr>
    </w:p>
    <w:p>
      <w:pPr>
        <w:pageBreakBefore w:val="0"/>
        <w:kinsoku/>
        <w:overflowPunct/>
        <w:topLinePunct w:val="0"/>
        <w:bidi w:val="0"/>
        <w:snapToGrid w:val="0"/>
        <w:ind w:firstLine="0" w:firstLineChars="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附件3：</w:t>
      </w:r>
    </w:p>
    <w:p>
      <w:pPr>
        <w:pageBreakBefore w:val="0"/>
        <w:kinsoku/>
        <w:overflowPunct/>
        <w:topLinePunct w:val="0"/>
        <w:bidi w:val="0"/>
        <w:snapToGrid w:val="0"/>
        <w:ind w:firstLine="0" w:firstLineChars="0"/>
        <w:textAlignment w:val="auto"/>
        <w:rPr>
          <w:sz w:val="24"/>
          <w:szCs w:val="24"/>
        </w:rPr>
      </w:pPr>
      <w:r>
        <w:drawing>
          <wp:inline distT="0" distB="0" distL="114300" distR="114300">
            <wp:extent cx="6788150" cy="8406765"/>
            <wp:effectExtent l="0" t="0" r="8890" b="571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9"/>
                    <a:stretch>
                      <a:fillRect/>
                    </a:stretch>
                  </pic:blipFill>
                  <pic:spPr>
                    <a:xfrm>
                      <a:off x="0" y="0"/>
                      <a:ext cx="6788150" cy="8406765"/>
                    </a:xfrm>
                    <a:prstGeom prst="rect">
                      <a:avLst/>
                    </a:prstGeom>
                    <a:noFill/>
                    <a:ln>
                      <a:noFill/>
                    </a:ln>
                  </pic:spPr>
                </pic:pic>
              </a:graphicData>
            </a:graphic>
          </wp:inline>
        </w:drawing>
      </w:r>
      <w:r>
        <w:drawing>
          <wp:inline distT="0" distB="0" distL="114300" distR="114300">
            <wp:extent cx="6370320" cy="8481695"/>
            <wp:effectExtent l="0" t="0" r="0" b="698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6370320" cy="8481695"/>
                    </a:xfrm>
                    <a:prstGeom prst="rect">
                      <a:avLst/>
                    </a:prstGeom>
                    <a:noFill/>
                    <a:ln>
                      <a:noFill/>
                    </a:ln>
                  </pic:spPr>
                </pic:pic>
              </a:graphicData>
            </a:graphic>
          </wp:inline>
        </w:drawing>
      </w:r>
      <w:r>
        <w:drawing>
          <wp:inline distT="0" distB="0" distL="114300" distR="114300">
            <wp:extent cx="6766560" cy="8575040"/>
            <wp:effectExtent l="0" t="0" r="0" b="508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1"/>
                    <a:stretch>
                      <a:fillRect/>
                    </a:stretch>
                  </pic:blipFill>
                  <pic:spPr>
                    <a:xfrm>
                      <a:off x="0" y="0"/>
                      <a:ext cx="6766560" cy="8575040"/>
                    </a:xfrm>
                    <a:prstGeom prst="rect">
                      <a:avLst/>
                    </a:prstGeom>
                    <a:noFill/>
                    <a:ln>
                      <a:noFill/>
                    </a:ln>
                  </pic:spPr>
                </pic:pic>
              </a:graphicData>
            </a:graphic>
          </wp:inline>
        </w:drawing>
      </w:r>
      <w:r>
        <w:drawing>
          <wp:inline distT="0" distB="0" distL="114300" distR="114300">
            <wp:extent cx="6781800" cy="8495665"/>
            <wp:effectExtent l="0" t="0" r="0" b="825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2"/>
                    <a:stretch>
                      <a:fillRect/>
                    </a:stretch>
                  </pic:blipFill>
                  <pic:spPr>
                    <a:xfrm>
                      <a:off x="0" y="0"/>
                      <a:ext cx="6781800" cy="8495665"/>
                    </a:xfrm>
                    <a:prstGeom prst="rect">
                      <a:avLst/>
                    </a:prstGeom>
                    <a:noFill/>
                    <a:ln>
                      <a:noFill/>
                    </a:ln>
                  </pic:spPr>
                </pic:pic>
              </a:graphicData>
            </a:graphic>
          </wp:inline>
        </w:drawing>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PGG605AgAAc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zrGijQNPUyk1JUerdDu&#10;2p7nzhQn0HSmmxRv+aZGKVvmwz1zGA2Uj8cT7rCU0iCl6S1KKuO+/us8xqNj8FLSYNRyqvGyKJEf&#10;NDoJwDAYbjB2g6EP6tZgdtEc1JJMXHBBDmbpjPqCF7WKOeBimiNTTsNg3oZu3PEiuVitUtDBunpf&#10;dRcwh5aFrX6wPKaJUnm7OgRImxSPAnWqoFNxg0lMPetfTRz1P/cp6ulPs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PGG605AgAAcQQAAA4AAAAAAAAAAQAgAAAAHwEAAGRycy9lMm9Eb2Mu&#10;eG1sUEsFBgAAAAAGAAYAWQEAAMoFA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M2JkZTJhZjk5OGI3N2M0ZTdiZjNhODAwMDlmMGQifQ=="/>
  </w:docVars>
  <w:rsids>
    <w:rsidRoot w:val="620C3D29"/>
    <w:rsid w:val="04B27482"/>
    <w:rsid w:val="09C4148A"/>
    <w:rsid w:val="0AF2220F"/>
    <w:rsid w:val="0B652085"/>
    <w:rsid w:val="0E434256"/>
    <w:rsid w:val="102C5704"/>
    <w:rsid w:val="104B091B"/>
    <w:rsid w:val="135D6DE5"/>
    <w:rsid w:val="16A42B33"/>
    <w:rsid w:val="1B381F80"/>
    <w:rsid w:val="20385A20"/>
    <w:rsid w:val="24357C30"/>
    <w:rsid w:val="27254D65"/>
    <w:rsid w:val="2A6743F5"/>
    <w:rsid w:val="2BE0112D"/>
    <w:rsid w:val="305378EB"/>
    <w:rsid w:val="37602EB8"/>
    <w:rsid w:val="392A5E0A"/>
    <w:rsid w:val="3C577B7C"/>
    <w:rsid w:val="3EFF3DAA"/>
    <w:rsid w:val="403626E7"/>
    <w:rsid w:val="41CF661A"/>
    <w:rsid w:val="449744C6"/>
    <w:rsid w:val="46900F47"/>
    <w:rsid w:val="472C392F"/>
    <w:rsid w:val="47ED093C"/>
    <w:rsid w:val="4A212323"/>
    <w:rsid w:val="4B771380"/>
    <w:rsid w:val="4B984B58"/>
    <w:rsid w:val="4C5669B0"/>
    <w:rsid w:val="50955E7B"/>
    <w:rsid w:val="535F4E08"/>
    <w:rsid w:val="53921746"/>
    <w:rsid w:val="53E312A5"/>
    <w:rsid w:val="54AB7ACC"/>
    <w:rsid w:val="5602763F"/>
    <w:rsid w:val="56F77B0D"/>
    <w:rsid w:val="5D710BBE"/>
    <w:rsid w:val="5F546E30"/>
    <w:rsid w:val="620C3D29"/>
    <w:rsid w:val="68246BFD"/>
    <w:rsid w:val="6E7F693B"/>
    <w:rsid w:val="6F11254F"/>
    <w:rsid w:val="711511CE"/>
    <w:rsid w:val="72BA49F9"/>
    <w:rsid w:val="77DA2E34"/>
    <w:rsid w:val="78586F8E"/>
    <w:rsid w:val="7B4F6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qFormat/>
    <w:uiPriority w:val="0"/>
    <w:pPr>
      <w:ind w:firstLine="360" w:firstLineChars="200"/>
    </w:pPr>
    <w:rPr>
      <w:sz w:val="18"/>
    </w:rPr>
  </w:style>
  <w:style w:type="paragraph" w:customStyle="1" w:styleId="4">
    <w:name w:val="p16"/>
    <w:next w:val="5"/>
    <w:qFormat/>
    <w:uiPriority w:val="0"/>
    <w:pPr>
      <w:ind w:firstLine="420"/>
      <w:jc w:val="both"/>
    </w:pPr>
    <w:rPr>
      <w:rFonts w:ascii="宋体" w:hAnsi="Times New Roman" w:eastAsia="宋体" w:cs="宋体"/>
      <w:sz w:val="21"/>
      <w:szCs w:val="21"/>
      <w:lang w:val="en-US" w:eastAsia="zh-CN" w:bidi="ar-SA"/>
    </w:rPr>
  </w:style>
  <w:style w:type="paragraph" w:styleId="5">
    <w:name w:val="toc 2"/>
    <w:basedOn w:val="1"/>
    <w:next w:val="1"/>
    <w:qFormat/>
    <w:uiPriority w:val="39"/>
    <w:pPr>
      <w:ind w:left="210"/>
      <w:jc w:val="left"/>
    </w:pPr>
    <w:rPr>
      <w:rFonts w:ascii="Times New Roman" w:hAnsi="Times New Roman" w:eastAsia="宋体" w:cs="Times New Roman"/>
      <w:smallCaps/>
      <w:sz w:val="20"/>
      <w:szCs w:val="20"/>
    </w:rPr>
  </w:style>
  <w:style w:type="paragraph" w:styleId="6">
    <w:name w:val="Body Text"/>
    <w:basedOn w:val="1"/>
    <w:next w:val="7"/>
    <w:qFormat/>
    <w:uiPriority w:val="0"/>
    <w:rPr>
      <w:rFonts w:ascii="宋体" w:hAnsi="宋体" w:eastAsia="宋体" w:cs="Times New Roman"/>
      <w:kern w:val="0"/>
      <w:sz w:val="28"/>
    </w:rPr>
  </w:style>
  <w:style w:type="paragraph" w:customStyle="1" w:styleId="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8">
    <w:name w:val="footer"/>
    <w:basedOn w:val="1"/>
    <w:next w:val="6"/>
    <w:qFormat/>
    <w:uiPriority w:val="0"/>
    <w:pPr>
      <w:tabs>
        <w:tab w:val="center" w:pos="4153"/>
        <w:tab w:val="right" w:pos="8306"/>
      </w:tabs>
      <w:snapToGrid w:val="0"/>
      <w:jc w:val="left"/>
    </w:pPr>
    <w:rPr>
      <w:sz w:val="18"/>
    </w:rPr>
  </w:style>
  <w:style w:type="paragraph" w:styleId="9">
    <w:name w:val="footnote text"/>
    <w:basedOn w:val="1"/>
    <w:qFormat/>
    <w:uiPriority w:val="0"/>
    <w:pPr>
      <w:snapToGrid w:val="0"/>
      <w:ind w:firstLine="200"/>
      <w:jc w:val="left"/>
    </w:pPr>
    <w:rPr>
      <w:rFonts w:ascii="Times New Roman" w:hAnsi="Times New Roman" w:eastAsia="华文仿宋" w:cs="Times New Roman"/>
      <w:kern w:val="0"/>
      <w:sz w:val="18"/>
      <w:szCs w:val="20"/>
    </w:rPr>
  </w:style>
  <w:style w:type="paragraph" w:styleId="10">
    <w:name w:val="Body Text 2"/>
    <w:basedOn w:val="1"/>
    <w:qFormat/>
    <w:uiPriority w:val="0"/>
    <w:pPr>
      <w:spacing w:after="120" w:line="480" w:lineRule="auto"/>
    </w:pPr>
    <w:rPr>
      <w:rFonts w:ascii="Times New Roman" w:hAnsi="Times New Roman" w:eastAsia="宋体" w:cs="Times New Roman"/>
      <w:kern w:val="0"/>
      <w:sz w:val="20"/>
      <w:szCs w:val="24"/>
    </w:rPr>
  </w:style>
  <w:style w:type="paragraph" w:styleId="11">
    <w:name w:val="Title"/>
    <w:basedOn w:val="1"/>
    <w:next w:val="1"/>
    <w:qFormat/>
    <w:uiPriority w:val="0"/>
    <w:pPr>
      <w:spacing w:before="240" w:after="60" w:line="460" w:lineRule="exact"/>
      <w:jc w:val="center"/>
      <w:outlineLvl w:val="0"/>
    </w:pPr>
    <w:rPr>
      <w:rFonts w:ascii="Arial" w:hAnsi="Arial" w:eastAsia="宋体" w:cs="Times New Roman"/>
      <w:b/>
      <w:spacing w:val="14"/>
      <w:kern w:val="24"/>
      <w:sz w:val="32"/>
      <w:szCs w:val="20"/>
    </w:rPr>
  </w:style>
  <w:style w:type="paragraph" w:styleId="12">
    <w:name w:val="Body Text First Indent"/>
    <w:basedOn w:val="6"/>
    <w:next w:val="1"/>
    <w:qFormat/>
    <w:uiPriority w:val="0"/>
    <w:pPr>
      <w:spacing w:line="312" w:lineRule="auto"/>
      <w:ind w:firstLine="420"/>
    </w:pPr>
    <w:rPr>
      <w:rFonts w:ascii="Calibri" w:hAnsi="Calibri" w:cs="Times New Roma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paragraph" w:customStyle="1" w:styleId="17">
    <w:name w:val="BodyText1I2"/>
    <w:basedOn w:val="18"/>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18">
    <w:name w:val="BodyTextIndent"/>
    <w:basedOn w:val="1"/>
    <w:qFormat/>
    <w:uiPriority w:val="0"/>
    <w:pPr>
      <w:spacing w:after="120" w:line="360" w:lineRule="auto"/>
      <w:ind w:left="420" w:leftChars="200" w:firstLine="1041" w:firstLineChars="200"/>
      <w:textAlignment w:val="baseline"/>
    </w:pPr>
  </w:style>
  <w:style w:type="paragraph" w:customStyle="1" w:styleId="19">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_Style 6"/>
    <w:basedOn w:val="1"/>
    <w:next w:val="21"/>
    <w:qFormat/>
    <w:uiPriority w:val="34"/>
    <w:pPr>
      <w:ind w:firstLine="420"/>
      <w:jc w:val="left"/>
    </w:pPr>
    <w:rPr>
      <w:rFonts w:ascii="宋体" w:hAnsi="宋体" w:cs="宋体"/>
      <w:kern w:val="0"/>
      <w:szCs w:val="21"/>
      <w:lang w:eastAsia="en-US"/>
    </w:rPr>
  </w:style>
  <w:style w:type="paragraph" w:styleId="21">
    <w:name w:val="List Paragraph"/>
    <w:basedOn w:val="1"/>
    <w:qFormat/>
    <w:uiPriority w:val="34"/>
    <w:pPr>
      <w:ind w:firstLine="420"/>
    </w:p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8186</Words>
  <Characters>9748</Characters>
  <Lines>1</Lines>
  <Paragraphs>1</Paragraphs>
  <TotalTime>0</TotalTime>
  <ScaleCrop>false</ScaleCrop>
  <LinksUpToDate>false</LinksUpToDate>
  <CharactersWithSpaces>10433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2023-06-27T02:44:00Z</dcterms:created>
  <dc:creator>小雅</dc:creator>
  <cp:lastModifiedBy>小雅</cp:lastModifiedBy>
  <dcterms:modified xsi:type="dcterms:W3CDTF">2023-10-24T02:52:08Z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F20BAD2B4BBC4C8A8B914460E4C60B5B_13</vt:lpwstr>
  </property>
</Properties>
</file>