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overflowPunct/>
        <w:bidi w:val="0"/>
        <w:spacing w:beforeAutospacing="0" w:afterAutospacing="0" w:line="520" w:lineRule="exact"/>
        <w:ind w:right="-306" w:rightChars="-90" w:firstLine="420"/>
        <w:rPr>
          <w:rFonts w:hint="eastAsia" w:ascii="宋体" w:hAnsi="宋体" w:eastAsia="宋体" w:cs="宋体"/>
          <w:lang w:val="en-US" w:eastAsia="zh-CN"/>
        </w:rPr>
      </w:pPr>
      <w:r>
        <w:rPr>
          <w:rFonts w:hint="eastAsia" w:ascii="宋体" w:hAnsi="宋体" w:eastAsia="宋体" w:cs="宋体"/>
          <w:kern w:val="2"/>
          <w:sz w:val="24"/>
          <w:szCs w:val="24"/>
          <w:highlight w:val="none"/>
        </w:rPr>
        <w:t>附件</w:t>
      </w:r>
      <w:r>
        <w:rPr>
          <w:rFonts w:hint="eastAsia" w:ascii="宋体" w:hAnsi="宋体" w:eastAsia="宋体" w:cs="宋体"/>
          <w:kern w:val="2"/>
          <w:sz w:val="24"/>
          <w:szCs w:val="24"/>
          <w:highlight w:val="none"/>
          <w:lang w:val="en-US" w:eastAsia="zh-CN"/>
        </w:rPr>
        <w:t>1：</w:t>
      </w:r>
      <w:r>
        <w:rPr>
          <w:rFonts w:hint="eastAsia" w:ascii="宋体" w:hAnsi="宋体" w:eastAsia="宋体" w:cs="宋体"/>
          <w:sz w:val="24"/>
          <w:szCs w:val="24"/>
          <w:highlight w:val="none"/>
          <w:lang w:val="en-US" w:eastAsia="zh-CN"/>
        </w:rPr>
        <w:t>需求</w:t>
      </w:r>
      <w:r>
        <w:rPr>
          <w:rFonts w:hint="eastAsia" w:ascii="宋体" w:hAnsi="宋体" w:eastAsia="宋体" w:cs="宋体"/>
          <w:sz w:val="24"/>
          <w:szCs w:val="24"/>
          <w:highlight w:val="none"/>
        </w:rPr>
        <w:t>明细表。</w:t>
      </w:r>
    </w:p>
    <w:p>
      <w:pPr>
        <w:pStyle w:val="6"/>
        <w:pageBreakBefore w:val="0"/>
        <w:overflowPunct/>
        <w:bidi w:val="0"/>
        <w:spacing w:before="0" w:beforeAutospacing="0" w:after="0" w:afterAutospacing="0"/>
        <w:jc w:val="both"/>
        <w:rPr>
          <w:rFonts w:hint="eastAsia" w:ascii="宋体" w:hAnsi="宋体" w:eastAsia="宋体" w:cs="宋体"/>
          <w:kern w:val="2"/>
          <w:sz w:val="24"/>
          <w:szCs w:val="24"/>
        </w:rPr>
      </w:pPr>
    </w:p>
    <w:tbl>
      <w:tblPr>
        <w:tblStyle w:val="8"/>
        <w:tblW w:w="140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3"/>
        <w:gridCol w:w="1116"/>
        <w:gridCol w:w="906"/>
        <w:gridCol w:w="2018"/>
        <w:gridCol w:w="1233"/>
        <w:gridCol w:w="1234"/>
        <w:gridCol w:w="909"/>
        <w:gridCol w:w="4724"/>
        <w:gridCol w:w="1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14055"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1"/>
                <w:szCs w:val="21"/>
                <w:u w:val="none"/>
              </w:rPr>
              <w:t>薛家湾供电公司2024年营销技改工程计量装置轮换项目可研、初设一体化项目框架招标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标段号</w:t>
            </w:r>
          </w:p>
        </w:tc>
        <w:tc>
          <w:tcPr>
            <w:tcW w:w="111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标段名称</w:t>
            </w:r>
          </w:p>
        </w:tc>
        <w:tc>
          <w:tcPr>
            <w:tcW w:w="90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bidi="ar"/>
              </w:rPr>
              <w:t>项目单位</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计费依据</w:t>
            </w:r>
          </w:p>
        </w:tc>
        <w:tc>
          <w:tcPr>
            <w:tcW w:w="12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最高</w:t>
            </w:r>
            <w:bookmarkStart w:id="0" w:name="_GoBack"/>
            <w:bookmarkEnd w:id="0"/>
            <w:r>
              <w:rPr>
                <w:rFonts w:hint="eastAsia" w:ascii="宋体" w:hAnsi="宋体" w:eastAsia="宋体" w:cs="宋体"/>
                <w:b/>
                <w:bCs/>
                <w:i w:val="0"/>
                <w:iCs w:val="0"/>
                <w:color w:val="000000"/>
                <w:kern w:val="0"/>
                <w:sz w:val="20"/>
                <w:szCs w:val="20"/>
                <w:u w:val="none"/>
                <w:lang w:val="en-US" w:eastAsia="zh-CN" w:bidi="ar"/>
              </w:rPr>
              <w:t>限价(折扣率)</w:t>
            </w:r>
          </w:p>
        </w:tc>
        <w:tc>
          <w:tcPr>
            <w:tcW w:w="1234"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框架服务期</w:t>
            </w:r>
          </w:p>
        </w:tc>
        <w:tc>
          <w:tcPr>
            <w:tcW w:w="909"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服务地点</w:t>
            </w:r>
          </w:p>
        </w:tc>
        <w:tc>
          <w:tcPr>
            <w:tcW w:w="47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专用资格要求</w:t>
            </w:r>
          </w:p>
        </w:tc>
        <w:tc>
          <w:tcPr>
            <w:tcW w:w="11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2"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1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2024年营销技改工程计量装置轮换项目可研、初设一体化项目</w:t>
            </w:r>
          </w:p>
        </w:tc>
        <w:tc>
          <w:tcPr>
            <w:tcW w:w="90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薛家湾供电公司</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按照《20KV以下配电网工程建设预算编制与计算规定（2022）版》规定计取勘察设计费（不再单独支付可研编制费），最终以公司审定金额为准。</w:t>
            </w:r>
          </w:p>
        </w:tc>
        <w:tc>
          <w:tcPr>
            <w:tcW w:w="12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34"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合同签订之日起至本项目竣工投用。</w:t>
            </w:r>
          </w:p>
        </w:tc>
        <w:tc>
          <w:tcPr>
            <w:tcW w:w="909"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满足招标人要求</w:t>
            </w:r>
          </w:p>
        </w:tc>
        <w:tc>
          <w:tcPr>
            <w:tcW w:w="47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1.投标人须具有建设行政主管部门颁发的有效期内的工程设计电力行业(送电工程、变电工程)专业丙级及以上资质证书或工程设计电力行业乙级及以上资质证书或工程设计综合甲级资质证书。</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投标人近三年(2020年1月至今)具有电力工程初步设计项目的服务业绩:(提供合同扫描件及对应的发票扫描件，合同包括合同的首页、体现关键内容页、合同签署页。配套发票（全国统一发票监制章）须清晰完整，并附国家税务总局全国增值税发票查验平台的查询截图，业绩证明文件重要信息不得遮盖打码，否则视为无效。)</w:t>
            </w:r>
          </w:p>
        </w:tc>
        <w:tc>
          <w:tcPr>
            <w:tcW w:w="11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本项目框1家单位</w:t>
            </w:r>
            <w:r>
              <w:rPr>
                <w:rFonts w:hint="eastAsia" w:ascii="宋体" w:hAnsi="宋体" w:cs="宋体"/>
                <w:i w:val="0"/>
                <w:iCs w:val="0"/>
                <w:color w:val="000000"/>
                <w:kern w:val="0"/>
                <w:sz w:val="20"/>
                <w:szCs w:val="20"/>
                <w:u w:val="none"/>
                <w:lang w:val="en-US" w:eastAsia="zh-CN" w:bidi="ar"/>
              </w:rPr>
              <w:t>。</w:t>
            </w: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4"/>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iZjkzMWFiNzVjZjRmMjhmMTNmMTVkNGU2NzBmZGYifQ=="/>
  </w:docVars>
  <w:rsids>
    <w:rsidRoot w:val="00000000"/>
    <w:rsid w:val="1B2D4565"/>
    <w:rsid w:val="29B22045"/>
    <w:rsid w:val="2B887FC9"/>
    <w:rsid w:val="41F61DFA"/>
    <w:rsid w:val="51094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szCs w:val="20"/>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styleId="4">
    <w:name w:val="footnote text"/>
    <w:basedOn w:val="1"/>
    <w:semiHidden/>
    <w:qFormat/>
    <w:uiPriority w:val="0"/>
    <w:pPr>
      <w:numPr>
        <w:ilvl w:val="0"/>
        <w:numId w:val="1"/>
      </w:numPr>
      <w:snapToGrid w:val="0"/>
      <w:ind w:left="400" w:leftChars="200" w:hanging="200" w:hangingChars="200"/>
      <w:jc w:val="left"/>
    </w:pPr>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itle"/>
    <w:basedOn w:val="1"/>
    <w:next w:val="1"/>
    <w:qFormat/>
    <w:uiPriority w:val="0"/>
    <w:pPr>
      <w:spacing w:before="240" w:after="60"/>
      <w:ind w:firstLine="0" w:firstLineChars="0"/>
      <w:jc w:val="center"/>
      <w:outlineLvl w:val="0"/>
    </w:pPr>
    <w:rPr>
      <w:rFonts w:ascii="Cambria" w:hAnsi="Cambria" w:eastAsia="方正小标宋简体" w:cs="Times New Roman"/>
      <w:b/>
      <w:bCs/>
      <w:sz w:val="44"/>
      <w:szCs w:val="32"/>
    </w:rPr>
  </w:style>
  <w:style w:type="paragraph" w:styleId="7">
    <w:name w:val="Body Text First Indent 2"/>
    <w:basedOn w:val="3"/>
    <w:semiHidden/>
    <w:qFormat/>
    <w:uiPriority w:val="0"/>
    <w:pPr>
      <w:spacing w:after="120"/>
      <w:ind w:left="420" w:firstLine="420" w:firstLineChars="0"/>
    </w:pPr>
    <w:rPr>
      <w:rFonts w:ascii="Calibri" w:hAnsi="Calibri" w:eastAsia="宋体"/>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Administrator</cp:lastModifiedBy>
  <dcterms:modified xsi:type="dcterms:W3CDTF">2023-10-24T03:32:24Z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9A42EA38F23A41F5BFC967E16912AC6F_12</vt:lpwstr>
  </property>
</Properties>
</file>