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  <w:lang w:val="en-US" w:eastAsia="zh-CN"/>
        </w:rPr>
        <w:t>任务分配原则：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 xml:space="preserve">结合库存金额及供电公司地域分布情况，具体划分为7项检查任务，检查任务如下表所示。最终将按供应商成交排名先后顺序，依据内蒙古电力公司2023年9月15日ERP系统数据，按任务金额由多到少依次分配。特殊情况下（包括但不限于成交供应商发生需解除合同的违约行为），采购人将依据各成交供应商实际履约情况、工作开展情况对任务分配进行动态调整。 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4"/>
        <w:tblW w:w="4466" w:type="pct"/>
        <w:jc w:val="center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7"/>
        <w:gridCol w:w="3765"/>
        <w:gridCol w:w="228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  <w:jc w:val="center"/>
        </w:trPr>
        <w:tc>
          <w:tcPr>
            <w:tcW w:w="938" w:type="pc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F1F1F1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8" w:type="pc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F1F1F1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F1F1F1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任务参考金额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93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18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呼和浩特供电公司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约3.5亿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93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18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包头供电公司</w:t>
            </w:r>
          </w:p>
        </w:tc>
        <w:tc>
          <w:tcPr>
            <w:tcW w:w="153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约1.6亿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3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18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薛家湾供电公司</w:t>
            </w:r>
          </w:p>
        </w:tc>
        <w:tc>
          <w:tcPr>
            <w:tcW w:w="153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18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乌兰察布供电公司</w:t>
            </w:r>
          </w:p>
        </w:tc>
        <w:tc>
          <w:tcPr>
            <w:tcW w:w="1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约1.6亿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18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巴彦淖尔供电公司</w:t>
            </w:r>
          </w:p>
        </w:tc>
        <w:tc>
          <w:tcPr>
            <w:tcW w:w="1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约1.2亿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93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锡林郭勒供电公司</w:t>
            </w:r>
          </w:p>
        </w:tc>
        <w:tc>
          <w:tcPr>
            <w:tcW w:w="153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约0.9亿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93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锡林郭勒超高压供电公司</w:t>
            </w:r>
          </w:p>
        </w:tc>
        <w:tc>
          <w:tcPr>
            <w:tcW w:w="153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93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18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乌海供电公司</w:t>
            </w:r>
          </w:p>
        </w:tc>
        <w:tc>
          <w:tcPr>
            <w:tcW w:w="153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约0.6亿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93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18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乌海超高压供电公司</w:t>
            </w:r>
          </w:p>
        </w:tc>
        <w:tc>
          <w:tcPr>
            <w:tcW w:w="153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3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18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阿拉善供电公司</w:t>
            </w:r>
          </w:p>
        </w:tc>
        <w:tc>
          <w:tcPr>
            <w:tcW w:w="153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3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18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鄂尔多斯供电公司</w:t>
            </w:r>
          </w:p>
        </w:tc>
        <w:tc>
          <w:tcPr>
            <w:tcW w:w="153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约0.6亿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3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18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内蒙古超高压供电公司</w:t>
            </w:r>
          </w:p>
        </w:tc>
        <w:tc>
          <w:tcPr>
            <w:tcW w:w="153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lang w:val="en-US" w:eastAsia="zh-CN"/>
              </w:rPr>
              <w:t>注：</w:t>
            </w:r>
            <w:r>
              <w:rPr>
                <w:rFonts w:hint="eastAsia"/>
                <w:lang w:val="en-US" w:eastAsia="zh-CN"/>
              </w:rPr>
              <w:t>本表任务金额依据当前ERP系统数据大致测算，用于供应商大致了解任务基本情况，仅为本次响应报价做参考。采购人不保证成交后的实际任务金额较本表参考数值的浮动范围，最终任务金额以2023年9月15日系统数据为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47173"/>
    <w:rsid w:val="3A947173"/>
    <w:rsid w:val="4BE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/>
      <w:kern w:val="0"/>
      <w:sz w:val="24"/>
      <w:szCs w:val="20"/>
    </w:rPr>
  </w:style>
  <w:style w:type="paragraph" w:styleId="3">
    <w:name w:val="Title"/>
    <w:basedOn w:val="1"/>
    <w:next w:val="1"/>
    <w:qFormat/>
    <w:uiPriority w:val="0"/>
    <w:pPr>
      <w:keepNext/>
      <w:suppressAutoHyphens/>
      <w:spacing w:before="240" w:after="120"/>
    </w:pPr>
    <w:rPr>
      <w:rFonts w:ascii="Arial" w:hAnsi="Arial" w:eastAsia="微软雅黑" w:cs="Mangal"/>
      <w:kern w:val="1"/>
      <w:sz w:val="28"/>
      <w:szCs w:val="28"/>
      <w:lang w:eastAsia="ar-SA"/>
    </w:rPr>
  </w:style>
  <w:style w:type="paragraph" w:customStyle="1" w:styleId="6">
    <w:name w:val="表格"/>
    <w:basedOn w:val="1"/>
    <w:qFormat/>
    <w:uiPriority w:val="0"/>
    <w:pPr>
      <w:suppressAutoHyphens/>
      <w:jc w:val="center"/>
    </w:pPr>
    <w:rPr>
      <w:rFonts w:hint="eastAsia" w:ascii="宋体" w:hAnsi="宋体" w:eastAsia="宋体" w:cs="Calibri"/>
      <w:bCs/>
      <w:kern w:val="0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2023-08-31T03:53:00Z</dcterms:created>
  <dc:creator>工程咨询</dc:creator>
  <cp:lastModifiedBy>工程咨询</cp:lastModifiedBy>
  <dcterms:modified xsi:type="dcterms:W3CDTF">2023-08-31T04:02:49Z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