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hint="eastAsia" w:ascii="Times New Roman" w:hAnsi="Times New Roman"/>
          <w:b/>
          <w:sz w:val="30"/>
          <w:szCs w:val="30"/>
          <w:lang w:eastAsia="zh-CN"/>
        </w:rPr>
      </w:pPr>
      <w:r>
        <w:rPr>
          <w:rFonts w:hint="eastAsia" w:ascii="Times New Roman" w:hAnsi="Times New Roman"/>
          <w:b/>
          <w:sz w:val="30"/>
          <w:szCs w:val="30"/>
          <w:lang w:eastAsia="zh-CN"/>
        </w:rPr>
        <w:t>呼和浩特供电公司2023年8月第二批设备材料采购3</w:t>
      </w:r>
    </w:p>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招标公告</w:t>
      </w:r>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HG20230701-771-772</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2023年8月第二批设备材料采购3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s="仿宋_GB2312" w:asciiTheme="minorEastAsia" w:hAnsiTheme="minorEastAsia" w:eastAsiaTheme="minorEastAsia"/>
          <w:b w:val="0"/>
          <w:bCs w:val="0"/>
          <w:color w:val="000000" w:themeColor="text1"/>
          <w:sz w:val="21"/>
          <w:szCs w:val="21"/>
          <w:lang w:val="en-US" w:eastAsia="zh-CN"/>
          <w14:textFill>
            <w14:solidFill>
              <w14:schemeClr w14:val="tx1"/>
            </w14:solidFill>
          </w14:textFill>
        </w:rPr>
      </w:pPr>
      <w:bookmarkStart w:id="0" w:name="_Toc449194181"/>
      <w:bookmarkStart w:id="1" w:name="_Toc449193530"/>
      <w:r>
        <w:rPr>
          <w:rFonts w:hint="eastAsia" w:cs="仿宋_GB2312" w:asciiTheme="minorEastAsia" w:hAnsiTheme="minorEastAsia" w:eastAsiaTheme="minorEastAsia"/>
          <w:b w:val="0"/>
          <w:bCs w:val="0"/>
          <w:color w:val="000000" w:themeColor="text1"/>
          <w:sz w:val="21"/>
          <w:szCs w:val="21"/>
          <w:lang w:val="en-US" w:eastAsia="zh-CN"/>
          <w14:textFill>
            <w14:solidFill>
              <w14:schemeClr w14:val="tx1"/>
            </w14:solidFill>
          </w14:textFill>
        </w:rPr>
        <w:t>1.项目名称：</w:t>
      </w:r>
      <w:r>
        <w:rPr>
          <w:rFonts w:hint="eastAsia"/>
          <w:sz w:val="21"/>
          <w:szCs w:val="21"/>
          <w:lang w:eastAsia="zh-CN"/>
        </w:rPr>
        <w:t>呼和浩特供电公司2023年8月第二批设备材料采购3</w:t>
      </w:r>
    </w:p>
    <w:p>
      <w:pPr>
        <w:spacing w:line="360" w:lineRule="auto"/>
        <w:ind w:firstLine="420" w:firstLineChars="200"/>
        <w:rPr>
          <w:rFonts w:hint="eastAsia" w:cs="仿宋_GB2312" w:asciiTheme="minorEastAsia" w:hAnsiTheme="minorEastAsia" w:eastAsiaTheme="minorEastAsia"/>
          <w:b w:val="0"/>
          <w:bCs w:val="0"/>
          <w:color w:val="000000" w:themeColor="text1"/>
          <w:sz w:val="21"/>
          <w:szCs w:val="21"/>
          <w:lang w:val="en-US" w:eastAsia="zh-CN"/>
          <w14:textFill>
            <w14:solidFill>
              <w14:schemeClr w14:val="tx1"/>
            </w14:solidFill>
          </w14:textFill>
        </w:rPr>
      </w:pPr>
      <w:r>
        <w:rPr>
          <w:rFonts w:hint="eastAsia" w:cs="仿宋_GB2312" w:asciiTheme="minorEastAsia" w:hAnsiTheme="minorEastAsia" w:eastAsiaTheme="minorEastAsia"/>
          <w:b w:val="0"/>
          <w:bCs w:val="0"/>
          <w:color w:val="000000" w:themeColor="text1"/>
          <w:sz w:val="21"/>
          <w:szCs w:val="21"/>
          <w:lang w:val="en-US" w:eastAsia="zh-CN"/>
          <w14:textFill>
            <w14:solidFill>
              <w14:schemeClr w14:val="tx1"/>
            </w14:solidFill>
          </w14:textFill>
        </w:rPr>
        <w:t>2.资金来源：已落实</w:t>
      </w:r>
    </w:p>
    <w:p>
      <w:pPr>
        <w:spacing w:line="360" w:lineRule="auto"/>
        <w:ind w:firstLine="420" w:firstLineChars="200"/>
        <w:rPr>
          <w:rFonts w:hint="eastAsia" w:cs="仿宋_GB2312" w:asciiTheme="minorEastAsia" w:hAnsiTheme="minorEastAsia" w:eastAsiaTheme="minorEastAsia"/>
          <w:b w:val="0"/>
          <w:bCs w:val="0"/>
          <w:color w:val="000000" w:themeColor="text1"/>
          <w:sz w:val="21"/>
          <w:szCs w:val="21"/>
          <w:lang w:val="en-US" w:eastAsia="zh-CN"/>
          <w14:textFill>
            <w14:solidFill>
              <w14:schemeClr w14:val="tx1"/>
            </w14:solidFill>
          </w14:textFill>
        </w:rPr>
      </w:pPr>
      <w:r>
        <w:rPr>
          <w:rFonts w:hint="eastAsia" w:cs="仿宋_GB2312" w:asciiTheme="minorEastAsia" w:hAnsiTheme="minorEastAsia" w:eastAsiaTheme="minorEastAsia"/>
          <w:b w:val="0"/>
          <w:bCs w:val="0"/>
          <w:color w:val="000000" w:themeColor="text1"/>
          <w:sz w:val="21"/>
          <w:szCs w:val="21"/>
          <w:lang w:val="en-US" w:eastAsia="zh-CN"/>
          <w14:textFill>
            <w14:solidFill>
              <w14:schemeClr w14:val="tx1"/>
            </w14:solidFill>
          </w14:textFill>
        </w:rPr>
        <w:t>3.本次采购内容：详见公告附表</w:t>
      </w:r>
      <w:bookmarkEnd w:id="0"/>
      <w:bookmarkEnd w:id="1"/>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本项目共划分2个标段，投标人可投多个标段，但限中一个标段（具体限中原则详见招标文件）标段划分情况、采购内容</w:t>
      </w:r>
      <w:r>
        <w:rPr>
          <w:rFonts w:hint="eastAsia"/>
          <w:sz w:val="21"/>
          <w:szCs w:val="21"/>
          <w:lang w:val="en-US" w:eastAsia="zh-CN"/>
        </w:rPr>
        <w:t>详见公告附表一：标段划分表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lang w:eastAsia="zh-CN"/>
        </w:rPr>
      </w:pPr>
      <w:r>
        <w:rPr>
          <w:rFonts w:hint="eastAsia"/>
          <w:b/>
          <w:bCs/>
          <w:color w:val="000000" w:themeColor="text1"/>
          <w:sz w:val="21"/>
          <w:szCs w:val="21"/>
          <w:lang w:eastAsia="zh-CN"/>
          <w14:textFill>
            <w14:solidFill>
              <w14:schemeClr w14:val="tx1"/>
            </w14:solidFill>
          </w14:textFill>
        </w:rPr>
        <w:t>专用资格要求</w:t>
      </w:r>
    </w:p>
    <w:p>
      <w:pPr>
        <w:spacing w:line="360" w:lineRule="auto"/>
        <w:ind w:firstLine="420" w:firstLineChars="200"/>
        <w:rPr>
          <w:rFonts w:hint="eastAsia"/>
          <w:color w:val="auto"/>
          <w:sz w:val="21"/>
          <w:szCs w:val="21"/>
          <w:lang w:eastAsia="zh-CN"/>
        </w:rPr>
      </w:pPr>
      <w:r>
        <w:rPr>
          <w:rFonts w:hint="eastAsia" w:ascii="宋体" w:hAnsi="宋体" w:eastAsia="宋体"/>
          <w:color w:val="auto"/>
          <w:sz w:val="21"/>
          <w:highlight w:val="none"/>
          <w:lang w:val="en-US" w:eastAsia="zh-CN"/>
        </w:rPr>
        <w:t>详见附件</w:t>
      </w:r>
      <w:r>
        <w:rPr>
          <w:rFonts w:hint="eastAsia" w:ascii="宋体" w:hAnsi="宋体" w:eastAsia="宋体"/>
          <w:color w:val="auto"/>
          <w:sz w:val="21"/>
          <w:lang w:val="en-US" w:eastAsia="zh-CN"/>
        </w:rPr>
        <w:t>一：标段划分表</w:t>
      </w:r>
      <w:r>
        <w:rPr>
          <w:rFonts w:hint="eastAsia"/>
          <w:color w:val="auto"/>
          <w:sz w:val="21"/>
          <w:szCs w:val="21"/>
          <w:lang w:val="en-US" w:eastAsia="zh-CN"/>
        </w:rPr>
        <w:t>。</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sz w:val="21"/>
          <w:szCs w:val="21"/>
        </w:rPr>
      </w:pPr>
      <w:r>
        <w:rPr>
          <w:rFonts w:hint="eastAsia"/>
          <w:sz w:val="21"/>
          <w:szCs w:val="21"/>
        </w:rPr>
        <w:t>1.凡第一次参与内蒙古电力采购项目者</w:t>
      </w:r>
      <w:r>
        <w:rPr>
          <w:rFonts w:hint="eastAsia"/>
          <w:sz w:val="21"/>
          <w:szCs w:val="21"/>
          <w:lang w:eastAsia="zh-CN"/>
        </w:rPr>
        <w:t>，必须在“内蒙古电力物资管理系统（http://wzglb.impc.com.cn:82）”进行注册，未注册的申请人需在报名时办理注册</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2.凡有意参加应答者，请于2023年0</w:t>
      </w:r>
      <w:r>
        <w:rPr>
          <w:rFonts w:hint="eastAsia"/>
          <w:sz w:val="21"/>
          <w:szCs w:val="21"/>
          <w:lang w:val="en-US" w:eastAsia="zh-CN"/>
        </w:rPr>
        <w:t>9</w:t>
      </w:r>
      <w:r>
        <w:rPr>
          <w:rFonts w:hint="eastAsia"/>
          <w:sz w:val="21"/>
          <w:szCs w:val="21"/>
          <w:lang w:eastAsia="zh-CN"/>
        </w:rPr>
        <w:t>月</w:t>
      </w:r>
      <w:r>
        <w:rPr>
          <w:rFonts w:hint="eastAsia"/>
          <w:sz w:val="21"/>
          <w:szCs w:val="21"/>
          <w:lang w:val="en-US" w:eastAsia="zh-CN"/>
        </w:rPr>
        <w:t>06</w:t>
      </w:r>
      <w:r>
        <w:rPr>
          <w:rFonts w:hint="eastAsia"/>
          <w:sz w:val="21"/>
          <w:szCs w:val="21"/>
          <w:lang w:eastAsia="zh-CN"/>
        </w:rPr>
        <w:t>日至2023年0</w:t>
      </w:r>
      <w:r>
        <w:rPr>
          <w:rFonts w:hint="eastAsia"/>
          <w:sz w:val="21"/>
          <w:szCs w:val="21"/>
          <w:lang w:val="en-US" w:eastAsia="zh-CN"/>
        </w:rPr>
        <w:t>9</w:t>
      </w:r>
      <w:r>
        <w:rPr>
          <w:rFonts w:hint="eastAsia"/>
          <w:sz w:val="21"/>
          <w:szCs w:val="21"/>
          <w:lang w:eastAsia="zh-CN"/>
        </w:rPr>
        <w:t>月</w:t>
      </w:r>
      <w:r>
        <w:rPr>
          <w:rFonts w:hint="eastAsia"/>
          <w:sz w:val="21"/>
          <w:szCs w:val="21"/>
          <w:lang w:val="en-US" w:eastAsia="zh-CN"/>
        </w:rPr>
        <w:t>11</w:t>
      </w:r>
      <w:r>
        <w:rPr>
          <w:rFonts w:hint="eastAsia"/>
          <w:sz w:val="21"/>
          <w:szCs w:val="21"/>
          <w:lang w:eastAsia="zh-CN"/>
        </w:rPr>
        <w:t>日下午17:00，</w:t>
      </w:r>
      <w:r>
        <w:rPr>
          <w:rFonts w:hint="eastAsia"/>
          <w:sz w:val="21"/>
          <w:lang w:eastAsia="zh-CN"/>
        </w:rPr>
        <w:t>进入《内蒙古电力集团电子采购系统》（http://guocai-impc.cppchina.cn）在线报名和下载文件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2" w:firstLineChars="200"/>
        <w:rPr>
          <w:b/>
          <w:bCs/>
          <w:sz w:val="21"/>
          <w:szCs w:val="21"/>
          <w:lang w:eastAsia="zh-CN"/>
        </w:rPr>
      </w:pPr>
      <w:r>
        <w:rPr>
          <w:rFonts w:hint="eastAsia"/>
          <w:b/>
          <w:bCs/>
          <w:sz w:val="21"/>
          <w:szCs w:val="21"/>
          <w:lang w:eastAsia="zh-CN"/>
        </w:rPr>
        <w:t>（3）公告</w:t>
      </w:r>
      <w:r>
        <w:rPr>
          <w:rFonts w:hint="eastAsia"/>
          <w:b/>
          <w:bCs/>
          <w:sz w:val="21"/>
          <w:szCs w:val="21"/>
          <w:lang w:val="en-US" w:eastAsia="zh-CN"/>
        </w:rPr>
        <w:t>附表</w:t>
      </w:r>
      <w:r>
        <w:rPr>
          <w:rFonts w:hint="eastAsia"/>
          <w:b/>
          <w:bCs/>
          <w:sz w:val="21"/>
          <w:szCs w:val="21"/>
          <w:lang w:eastAsia="zh-CN"/>
        </w:rPr>
        <w:t>中专用资格要求的内容；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二</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二</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二</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投标文件上传时间：2023年0</w:t>
      </w:r>
      <w:r>
        <w:rPr>
          <w:rFonts w:hint="eastAsia" w:cs="仿宋_GB2312"/>
          <w:color w:val="000000" w:themeColor="text1"/>
          <w:sz w:val="21"/>
          <w:szCs w:val="21"/>
          <w:lang w:val="en-US" w:eastAsia="zh-CN"/>
          <w14:textFill>
            <w14:solidFill>
              <w14:schemeClr w14:val="tx1"/>
            </w14:solidFill>
          </w14:textFill>
        </w:rPr>
        <w:t>9</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日～2023年0</w:t>
      </w:r>
      <w:r>
        <w:rPr>
          <w:rFonts w:hint="eastAsia" w:cs="仿宋_GB2312"/>
          <w:color w:val="000000" w:themeColor="text1"/>
          <w:sz w:val="21"/>
          <w:szCs w:val="21"/>
          <w:lang w:val="en-US" w:eastAsia="zh-CN"/>
          <w14:textFill>
            <w14:solidFill>
              <w14:schemeClr w14:val="tx1"/>
            </w14:solidFill>
          </w14:textFill>
        </w:rPr>
        <w:t>9</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27</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投标截止时间及开标时间：2023年0</w:t>
      </w:r>
      <w:r>
        <w:rPr>
          <w:rFonts w:hint="eastAsia" w:cs="仿宋_GB2312"/>
          <w:color w:val="000000" w:themeColor="text1"/>
          <w:sz w:val="21"/>
          <w:szCs w:val="21"/>
          <w:lang w:val="en-US" w:eastAsia="zh-CN"/>
          <w14:textFill>
            <w14:solidFill>
              <w14:schemeClr w14:val="tx1"/>
            </w14:solidFill>
          </w14:textFill>
        </w:rPr>
        <w:t>9</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27</w:t>
      </w:r>
      <w:r>
        <w:rPr>
          <w:rFonts w:hint="eastAsia" w:cs="仿宋_GB2312"/>
          <w:color w:val="000000" w:themeColor="text1"/>
          <w:sz w:val="21"/>
          <w:szCs w:val="21"/>
          <w:lang w:eastAsia="zh-CN"/>
          <w14:textFill>
            <w14:solidFill>
              <w14:schemeClr w14:val="tx1"/>
            </w14:solidFill>
          </w14:textFill>
        </w:rPr>
        <w:t>日上午09: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解密时间：2023年0</w:t>
      </w:r>
      <w:r>
        <w:rPr>
          <w:rFonts w:hint="eastAsia" w:cs="仿宋_GB2312"/>
          <w:color w:val="000000" w:themeColor="text1"/>
          <w:sz w:val="21"/>
          <w:szCs w:val="21"/>
          <w:lang w:val="en-US" w:eastAsia="zh-CN"/>
          <w14:textFill>
            <w14:solidFill>
              <w14:schemeClr w14:val="tx1"/>
            </w14:solidFill>
          </w14:textFill>
        </w:rPr>
        <w:t>9</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27</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0～10:</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lang w:eastAsia="zh-CN"/>
        </w:rPr>
        <w:t>开标</w:t>
      </w:r>
      <w:r>
        <w:rPr>
          <w:sz w:val="21"/>
          <w:lang w:eastAsia="zh-CN"/>
        </w:rPr>
        <w:t>现</w:t>
      </w:r>
      <w:r>
        <w:rPr>
          <w:sz w:val="21"/>
          <w:highlight w:val="none"/>
          <w:lang w:eastAsia="zh-CN"/>
        </w:rPr>
        <w:t>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val="en-US" w:eastAsia="zh-CN"/>
        </w:rPr>
        <w:t>呼和浩特市</w:t>
      </w:r>
      <w:r>
        <w:rPr>
          <w:rFonts w:hint="eastAsia"/>
          <w:sz w:val="21"/>
          <w:highlight w:val="none"/>
          <w:u w:val="single"/>
          <w:lang w:eastAsia="zh-CN"/>
        </w:rPr>
        <w:t>呼伦贝尔北路铁路党校南楼南侧</w:t>
      </w:r>
    </w:p>
    <w:p>
      <w:pPr>
        <w:widowControl/>
        <w:spacing w:line="360" w:lineRule="auto"/>
        <w:ind w:firstLine="420" w:firstLineChars="200"/>
        <w:rPr>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spacing w:line="360" w:lineRule="auto"/>
        <w:ind w:firstLine="420" w:firstLineChars="200"/>
        <w:jc w:val="both"/>
        <w:rPr>
          <w:rFonts w:hint="eastAsia"/>
          <w:sz w:val="21"/>
          <w:szCs w:val="21"/>
          <w:lang w:eastAsia="zh-CN"/>
        </w:rPr>
      </w:pPr>
      <w:r>
        <w:rPr>
          <w:rFonts w:hint="eastAsia"/>
          <w:sz w:val="21"/>
          <w:szCs w:val="21"/>
          <w:lang w:eastAsia="zh-CN"/>
        </w:rPr>
        <w:t>2.代理服务费：由</w:t>
      </w:r>
      <w:r>
        <w:rPr>
          <w:rFonts w:hint="eastAsia"/>
          <w:sz w:val="21"/>
          <w:szCs w:val="21"/>
          <w:lang w:val="en-US" w:eastAsia="zh-CN"/>
        </w:rPr>
        <w:t>中标</w:t>
      </w:r>
      <w:r>
        <w:rPr>
          <w:rFonts w:hint="eastAsia"/>
          <w:sz w:val="21"/>
          <w:szCs w:val="21"/>
          <w:lang w:eastAsia="zh-CN"/>
        </w:rPr>
        <w:t>单位缴纳代理服务费，代理</w:t>
      </w:r>
      <w:r>
        <w:rPr>
          <w:rFonts w:hint="eastAsia"/>
          <w:sz w:val="21"/>
          <w:szCs w:val="21"/>
          <w:lang w:val="en-US" w:eastAsia="zh-CN"/>
        </w:rPr>
        <w:t>服务</w:t>
      </w:r>
      <w:r>
        <w:rPr>
          <w:rFonts w:hint="eastAsia"/>
          <w:sz w:val="21"/>
          <w:szCs w:val="21"/>
          <w:lang w:eastAsia="zh-CN"/>
        </w:rPr>
        <w:t>费</w:t>
      </w:r>
      <w:r>
        <w:rPr>
          <w:rFonts w:hint="eastAsia"/>
          <w:sz w:val="21"/>
          <w:szCs w:val="21"/>
          <w:lang w:val="en-US" w:eastAsia="zh-CN"/>
        </w:rPr>
        <w:t>参照《关于印发〈内蒙古自治区建设工程招标代理服务收费指导意见〉的通知》(内工建协［2022］34号)</w:t>
      </w:r>
      <w:r>
        <w:rPr>
          <w:rFonts w:hint="eastAsia"/>
          <w:sz w:val="21"/>
          <w:szCs w:val="21"/>
          <w:lang w:eastAsia="zh-CN"/>
        </w:rPr>
        <w:t>，代理服务费=收费标准</w:t>
      </w:r>
      <w:r>
        <w:rPr>
          <w:rFonts w:hint="eastAsia"/>
          <w:sz w:val="21"/>
          <w:szCs w:val="21"/>
          <w:lang w:val="en-US" w:eastAsia="zh-CN"/>
        </w:rPr>
        <w:t>计算金额×</w:t>
      </w:r>
      <w:r>
        <w:rPr>
          <w:rFonts w:hint="eastAsia"/>
          <w:sz w:val="21"/>
          <w:szCs w:val="21"/>
          <w:lang w:eastAsia="zh-CN"/>
        </w:rPr>
        <w:t>9</w:t>
      </w:r>
      <w:r>
        <w:rPr>
          <w:rFonts w:hint="eastAsia"/>
          <w:sz w:val="21"/>
          <w:szCs w:val="21"/>
          <w:lang w:val="en-US" w:eastAsia="zh-CN"/>
        </w:rPr>
        <w:t>0</w:t>
      </w:r>
      <w:r>
        <w:rPr>
          <w:rFonts w:hint="eastAsia"/>
          <w:sz w:val="21"/>
          <w:szCs w:val="21"/>
          <w:lang w:eastAsia="zh-CN"/>
        </w:rPr>
        <w:t>%（预算30万元以下含30万元</w:t>
      </w:r>
      <w:r>
        <w:rPr>
          <w:rFonts w:hint="eastAsia"/>
          <w:sz w:val="21"/>
          <w:szCs w:val="21"/>
          <w:lang w:val="en-US" w:eastAsia="zh-CN"/>
        </w:rPr>
        <w:t>的</w:t>
      </w:r>
      <w:r>
        <w:rPr>
          <w:rFonts w:hint="eastAsia"/>
          <w:sz w:val="21"/>
          <w:szCs w:val="21"/>
          <w:lang w:eastAsia="zh-CN"/>
        </w:rPr>
        <w:t>项目不打折，代理服务费=</w:t>
      </w:r>
      <w:r>
        <w:rPr>
          <w:rFonts w:hint="eastAsia"/>
          <w:sz w:val="21"/>
          <w:szCs w:val="21"/>
          <w:lang w:val="en-US" w:eastAsia="zh-CN"/>
        </w:rPr>
        <w:t>中标金额×对应费率</w:t>
      </w:r>
      <w:r>
        <w:rPr>
          <w:rFonts w:hint="eastAsia"/>
          <w:sz w:val="21"/>
          <w:szCs w:val="21"/>
          <w:lang w:eastAsia="zh-CN"/>
        </w:rPr>
        <w:t>）。</w:t>
      </w:r>
    </w:p>
    <w:p>
      <w:pPr>
        <w:widowControl/>
        <w:tabs>
          <w:tab w:val="left" w:pos="2625"/>
        </w:tabs>
        <w:spacing w:line="360" w:lineRule="auto"/>
        <w:ind w:left="-2" w:leftChars="-1" w:firstLine="420" w:firstLineChars="200"/>
        <w:jc w:val="left"/>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4.场地交易服务费：由</w:t>
      </w:r>
      <w:r>
        <w:rPr>
          <w:rFonts w:hint="eastAsia"/>
          <w:color w:val="000000"/>
          <w:sz w:val="21"/>
          <w:szCs w:val="21"/>
          <w:lang w:val="en-US" w:eastAsia="zh-CN"/>
        </w:rPr>
        <w:t>中标投标人</w:t>
      </w:r>
      <w:r>
        <w:rPr>
          <w:rFonts w:hint="eastAsia"/>
          <w:color w:val="000000"/>
          <w:sz w:val="21"/>
          <w:szCs w:val="21"/>
          <w:lang w:eastAsia="zh-CN"/>
        </w:rPr>
        <w:t>缴纳</w:t>
      </w:r>
      <w:r>
        <w:rPr>
          <w:rFonts w:hint="eastAsia"/>
          <w:color w:val="000000"/>
          <w:sz w:val="21"/>
          <w:szCs w:val="21"/>
          <w:lang w:val="en-US" w:eastAsia="zh-CN"/>
        </w:rPr>
        <w:t>成交</w:t>
      </w:r>
      <w:r>
        <w:rPr>
          <w:rFonts w:hint="eastAsia"/>
          <w:color w:val="000000"/>
          <w:sz w:val="21"/>
          <w:szCs w:val="21"/>
          <w:lang w:eastAsia="zh-CN"/>
        </w:rPr>
        <w:t>金额的千分之一，四舍五入到元，不足500元按照500元计取，框架、费率等没有实际</w:t>
      </w:r>
      <w:r>
        <w:rPr>
          <w:rFonts w:hint="eastAsia"/>
          <w:color w:val="000000"/>
          <w:sz w:val="21"/>
          <w:szCs w:val="21"/>
          <w:lang w:val="en-US" w:eastAsia="zh-CN"/>
        </w:rPr>
        <w:t>中标</w:t>
      </w:r>
      <w:r>
        <w:rPr>
          <w:rFonts w:hint="eastAsia"/>
          <w:color w:val="000000"/>
          <w:sz w:val="21"/>
          <w:szCs w:val="21"/>
          <w:lang w:eastAsia="zh-CN"/>
        </w:rPr>
        <w:t>金额的</w:t>
      </w:r>
      <w:r>
        <w:rPr>
          <w:rFonts w:hint="eastAsia"/>
          <w:color w:val="000000"/>
          <w:sz w:val="21"/>
          <w:szCs w:val="21"/>
          <w:lang w:val="en-US" w:eastAsia="zh-CN"/>
        </w:rPr>
        <w:t>项目</w:t>
      </w:r>
      <w:r>
        <w:rPr>
          <w:rFonts w:hint="eastAsia"/>
          <w:color w:val="000000"/>
          <w:sz w:val="21"/>
          <w:szCs w:val="21"/>
          <w:lang w:eastAsia="zh-CN"/>
        </w:rPr>
        <w:t>每家</w:t>
      </w:r>
      <w:r>
        <w:rPr>
          <w:rFonts w:hint="eastAsia"/>
          <w:color w:val="000000"/>
          <w:sz w:val="21"/>
          <w:szCs w:val="21"/>
          <w:lang w:val="en-US" w:eastAsia="zh-CN"/>
        </w:rPr>
        <w:t>中标投标人</w:t>
      </w:r>
      <w:r>
        <w:rPr>
          <w:rFonts w:hint="eastAsia"/>
          <w:color w:val="000000"/>
          <w:sz w:val="21"/>
          <w:szCs w:val="21"/>
          <w:lang w:eastAsia="zh-CN"/>
        </w:rPr>
        <w:t>收取1000元</w:t>
      </w:r>
      <w:r>
        <w:rPr>
          <w:rFonts w:hint="eastAsia"/>
          <w:color w:val="000000"/>
          <w:sz w:val="21"/>
          <w:szCs w:val="21"/>
          <w:lang w:val="en-US" w:eastAsia="zh-CN"/>
        </w:rPr>
        <w:t>/标段</w:t>
      </w:r>
      <w:r>
        <w:rPr>
          <w:rFonts w:hint="eastAsia"/>
          <w:color w:val="000000"/>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账户名称：内蒙古网佳招标公共服务平台运营有限公司</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开户行账号：0602 0041 0920 0022 157</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开户银行：中国工商银行股份有限公司呼和浩特市军区支行（汇款时请务必公对公转账并备注：代理机构名称及开标日期）</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开票联系电话：0471-3261228</w:t>
      </w:r>
    </w:p>
    <w:p>
      <w:pPr>
        <w:widowControl/>
        <w:tabs>
          <w:tab w:val="left" w:pos="2625"/>
        </w:tabs>
        <w:spacing w:line="360" w:lineRule="auto"/>
        <w:ind w:firstLine="411" w:firstLineChars="196"/>
        <w:rPr>
          <w:rFonts w:hint="eastAsia"/>
          <w:color w:val="000000"/>
          <w:sz w:val="21"/>
          <w:szCs w:val="21"/>
          <w:lang w:val="en-US" w:eastAsia="zh-CN"/>
        </w:rPr>
      </w:pPr>
      <w:r>
        <w:rPr>
          <w:rFonts w:hint="eastAsia"/>
          <w:color w:val="000000"/>
          <w:sz w:val="21"/>
          <w:szCs w:val="21"/>
          <w:lang w:eastAsia="zh-CN"/>
        </w:rPr>
        <w:t>邮箱地址：wjzbcw@126.com</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rFonts w:cs="仿宋_GB2312"/>
          <w:color w:val="000000" w:themeColor="text1"/>
          <w:sz w:val="21"/>
          <w:szCs w:val="21"/>
          <w:lang w:eastAsia="zh-CN"/>
          <w14:textFill>
            <w14:solidFill>
              <w14:schemeClr w14:val="tx1"/>
            </w14:solidFill>
          </w14:textFill>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cs="Arial"/>
          <w:sz w:val="21"/>
          <w:szCs w:val="21"/>
          <w:lang w:eastAsia="zh-CN"/>
        </w:rPr>
        <w:t>http://guocai-impc.cppchina.cn</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spacing w:line="360" w:lineRule="auto"/>
        <w:ind w:left="11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widowControl/>
        <w:tabs>
          <w:tab w:val="left" w:pos="2625"/>
        </w:tabs>
        <w:spacing w:line="360" w:lineRule="auto"/>
        <w:ind w:left="0" w:leftChars="0" w:firstLine="420" w:firstLineChars="200"/>
        <w:rPr>
          <w:rFonts w:hint="default" w:ascii="宋体" w:hAnsi="宋体"/>
          <w:color w:val="auto"/>
          <w:sz w:val="21"/>
          <w:highlight w:val="none"/>
          <w:lang w:val="en-US" w:eastAsia="zh-CN"/>
        </w:rPr>
      </w:pPr>
      <w:r>
        <w:rPr>
          <w:rFonts w:hint="eastAsia"/>
          <w:color w:val="000000"/>
          <w:sz w:val="21"/>
          <w:szCs w:val="21"/>
        </w:rPr>
        <w:t>联系电话：0471-6947824</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5"/>
        <w:rPr>
          <w:rFonts w:hint="default"/>
          <w:lang w:val="en-US" w:eastAsia="zh-CN"/>
        </w:rPr>
      </w:pPr>
      <w:r>
        <w:rPr>
          <w:rFonts w:hint="eastAsia" w:ascii="宋体" w:hAnsi="宋体"/>
          <w:color w:val="auto"/>
          <w:sz w:val="21"/>
          <w:highlight w:val="none"/>
          <w:lang w:val="en-US" w:eastAsia="zh-CN"/>
        </w:rPr>
        <w:t>监督电话：0471-6943385</w:t>
      </w:r>
    </w:p>
    <w:p>
      <w:pPr>
        <w:widowControl/>
        <w:tabs>
          <w:tab w:val="left" w:pos="2625"/>
        </w:tabs>
        <w:spacing w:line="360" w:lineRule="auto"/>
        <w:ind w:firstLine="420" w:firstLineChars="200"/>
        <w:rPr>
          <w:color w:val="000000"/>
          <w:sz w:val="21"/>
          <w:szCs w:val="21"/>
          <w:lang w:eastAsia="zh-CN"/>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sz w:val="21"/>
          <w:szCs w:val="21"/>
        </w:rPr>
      </w:pPr>
      <w:r>
        <w:rPr>
          <w:rFonts w:hint="eastAsia"/>
          <w:color w:val="000000"/>
          <w:sz w:val="21"/>
          <w:szCs w:val="21"/>
        </w:rPr>
        <w:t>电子邮箱：zszbyb@126.com</w:t>
      </w:r>
    </w:p>
    <w:p>
      <w:pPr>
        <w:snapToGrid w:val="0"/>
        <w:spacing w:line="360" w:lineRule="auto"/>
        <w:ind w:firstLine="420" w:firstLineChars="200"/>
        <w:rPr>
          <w:color w:val="000000" w:themeColor="text1"/>
          <w:sz w:val="21"/>
          <w:szCs w:val="21"/>
          <w:lang w:eastAsia="zh-CN"/>
          <w14:textFill>
            <w14:solidFill>
              <w14:schemeClr w14:val="tx1"/>
            </w14:solidFill>
          </w14:textFill>
        </w:rPr>
      </w:pPr>
    </w:p>
    <w:p>
      <w:pPr>
        <w:spacing w:line="360" w:lineRule="auto"/>
      </w:pPr>
      <w:r>
        <w:rPr>
          <w:color w:val="000000"/>
          <w:sz w:val="21"/>
          <w:szCs w:val="21"/>
          <w:lang w:eastAsia="zh-CN"/>
        </w:rPr>
        <w:t xml:space="preserve">                                                       </w:t>
      </w:r>
      <w:r>
        <w:rPr>
          <w:rFonts w:hint="eastAsia"/>
          <w:color w:val="000000"/>
          <w:sz w:val="21"/>
          <w:szCs w:val="21"/>
          <w:lang w:eastAsia="zh-CN"/>
        </w:rPr>
        <w:t>2023年0</w:t>
      </w:r>
      <w:r>
        <w:rPr>
          <w:rFonts w:hint="eastAsia"/>
          <w:color w:val="000000"/>
          <w:sz w:val="21"/>
          <w:szCs w:val="21"/>
          <w:lang w:val="en-US" w:eastAsia="zh-CN"/>
        </w:rPr>
        <w:t>9</w:t>
      </w:r>
      <w:r>
        <w:rPr>
          <w:rFonts w:hint="eastAsia"/>
          <w:color w:val="000000"/>
          <w:sz w:val="21"/>
          <w:szCs w:val="21"/>
          <w:lang w:eastAsia="zh-CN"/>
        </w:rPr>
        <w:t>月</w:t>
      </w:r>
      <w:r>
        <w:rPr>
          <w:rFonts w:hint="eastAsia"/>
          <w:color w:val="000000"/>
          <w:sz w:val="21"/>
          <w:szCs w:val="21"/>
          <w:lang w:val="en-US" w:eastAsia="zh-CN"/>
        </w:rPr>
        <w:t>06</w:t>
      </w:r>
      <w:r>
        <w:rPr>
          <w:rFonts w:hint="eastAsia"/>
          <w:color w:val="000000"/>
          <w:sz w:val="21"/>
          <w:szCs w:val="21"/>
          <w:lang w:eastAsia="zh-CN"/>
        </w:rPr>
        <w:t>日</w:t>
      </w:r>
      <w:bookmarkStart w:id="2" w:name="_GoBack"/>
      <w:bookmarkEnd w:id="2"/>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v6nH7LAQAAnQMAAA4AAAAAAAAAAQAgAAAAHgEAAGRycy9lMm9E&#10;b2MueG1sUEsFBgAAAAAGAAYAWQEAAFsFA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8</w:t>
                    </w:r>
                    <w:r>
                      <w:fldChar w:fldCharType="end"/>
                    </w:r>
                  </w:p>
                </w:txbxContent>
              </v:textbox>
            </v:shape>
          </w:pict>
        </mc:Fallback>
      </mc:AlternateContent>
    </w:r>
  </w:p>
  <w:p>
    <w:pPr>
      <w:pStyle w:val="6"/>
      <w:spacing w:line="14" w:lineRule="auto"/>
      <w:rPr>
        <w:sz w:val="1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19E55187"/>
    <w:rsid w:val="19E55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sz w:val="22"/>
      <w:szCs w:val="22"/>
      <w:lang w:val="en-US" w:eastAsia="en-US"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line="360" w:lineRule="auto"/>
      <w:ind w:firstLine="420" w:firstLineChars="200"/>
      <w:jc w:val="both"/>
    </w:pPr>
    <w:rPr>
      <w:rFonts w:asciiTheme="minorHAnsi" w:hAnsiTheme="minorHAnsi" w:cstheme="minorBidi"/>
      <w:kern w:val="2"/>
      <w:sz w:val="24"/>
      <w:szCs w:val="24"/>
      <w:lang w:eastAsia="zh-CN"/>
    </w:rPr>
  </w:style>
  <w:style w:type="paragraph" w:styleId="3">
    <w:name w:val="Body Text Indent"/>
    <w:basedOn w:val="1"/>
    <w:next w:val="4"/>
    <w:semiHidden/>
    <w:unhideWhenUsed/>
    <w:qFormat/>
    <w:uiPriority w:val="99"/>
    <w:pPr>
      <w:spacing w:after="120"/>
      <w:ind w:left="420" w:leftChars="200"/>
    </w:pPr>
  </w:style>
  <w:style w:type="paragraph" w:styleId="4">
    <w:name w:val="footnote text"/>
    <w:basedOn w:val="1"/>
    <w:qFormat/>
    <w:uiPriority w:val="0"/>
    <w:pPr>
      <w:snapToGrid w:val="0"/>
      <w:ind w:firstLine="200" w:firstLineChars="200"/>
    </w:pPr>
    <w:rPr>
      <w:rFonts w:eastAsia="华文仿宋" w:cs="Times New Roman"/>
      <w:sz w:val="18"/>
      <w:szCs w:val="20"/>
    </w:rPr>
  </w:style>
  <w:style w:type="paragraph" w:styleId="5">
    <w:name w:val="Normal Indent"/>
    <w:basedOn w:val="1"/>
    <w:qFormat/>
    <w:uiPriority w:val="0"/>
    <w:pPr>
      <w:widowControl/>
      <w:ind w:firstLine="420"/>
      <w:jc w:val="left"/>
    </w:pPr>
    <w:rPr>
      <w:rFonts w:ascii="Calibri" w:hAnsi="Calibri" w:cs="Times New Roman"/>
      <w:kern w:val="0"/>
      <w:sz w:val="20"/>
      <w:szCs w:val="20"/>
    </w:rPr>
  </w:style>
  <w:style w:type="paragraph" w:styleId="6">
    <w:name w:val="Body Text"/>
    <w:basedOn w:val="1"/>
    <w:next w:val="7"/>
    <w:qFormat/>
    <w:uiPriority w:val="0"/>
    <w:rPr>
      <w:sz w:val="21"/>
      <w:szCs w:val="21"/>
    </w:rPr>
  </w:style>
  <w:style w:type="paragraph" w:styleId="7">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8">
    <w:name w:val="footer"/>
    <w:basedOn w:val="1"/>
    <w:qFormat/>
    <w:uiPriority w:val="0"/>
    <w:pPr>
      <w:widowControl/>
      <w:tabs>
        <w:tab w:val="center" w:pos="4153"/>
        <w:tab w:val="right" w:pos="8306"/>
      </w:tabs>
      <w:snapToGrid w:val="0"/>
    </w:pPr>
    <w:rPr>
      <w:rFonts w:asciiTheme="minorHAnsi" w:hAnsiTheme="minorHAnsi" w:cstheme="minorBidi"/>
      <w:sz w:val="18"/>
      <w:szCs w:val="18"/>
      <w:lang w:eastAsia="zh-CN"/>
    </w:rPr>
  </w:style>
  <w:style w:type="paragraph" w:styleId="9">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eastAsia="仿宋" w:cs="Times New Roman"/>
      <w:kern w:val="2"/>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2023-09-06T00:50:00Z</dcterms:created>
  <dc:creator>赵灵燕</dc:creator>
  <cp:lastModifiedBy>赵灵燕</cp:lastModifiedBy>
  <dcterms:modified xsi:type="dcterms:W3CDTF">2023-09-06T00:50:26Z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BA609C492A2947198AEA06F7B748F391_11</vt:lpwstr>
  </property>
</Properties>
</file>