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overflowPunct/>
        <w:topLinePunct w:val="0"/>
        <w:autoSpaceDE/>
        <w:autoSpaceDN/>
        <w:bidi w:val="0"/>
        <w:adjustRightInd/>
        <w:snapToGrid/>
        <w:spacing w:before="0" w:after="0"/>
        <w:ind w:firstLine="723" w:firstLineChars="300"/>
        <w:jc w:val="both"/>
        <w:textAlignment w:val="auto"/>
        <w:rPr>
          <w:rFonts w:hint="eastAsia" w:ascii="宋体" w:hAnsi="宋体" w:eastAsia="宋体" w:cs="宋体"/>
          <w:kern w:val="2"/>
          <w:sz w:val="24"/>
          <w:szCs w:val="24"/>
        </w:rPr>
      </w:pPr>
      <w:bookmarkStart w:id="0" w:name="_Toc16122"/>
      <w:r>
        <w:rPr>
          <w:rFonts w:hint="eastAsia" w:ascii="宋体" w:hAnsi="宋体" w:eastAsia="宋体" w:cs="宋体"/>
          <w:kern w:val="2"/>
          <w:sz w:val="24"/>
          <w:szCs w:val="24"/>
        </w:rPr>
        <w:t>附件</w:t>
      </w:r>
      <w:r>
        <w:rPr>
          <w:rFonts w:hint="eastAsia" w:ascii="宋体" w:hAnsi="宋体" w:eastAsia="宋体" w:cs="宋体"/>
          <w:kern w:val="2"/>
          <w:sz w:val="24"/>
          <w:szCs w:val="24"/>
          <w:lang w:val="en-US" w:eastAsia="zh-CN"/>
        </w:rPr>
        <w:t>1</w:t>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需求</w:t>
      </w:r>
      <w:r>
        <w:rPr>
          <w:rFonts w:hint="eastAsia" w:ascii="宋体" w:hAnsi="宋体" w:eastAsia="宋体" w:cs="宋体"/>
          <w:kern w:val="2"/>
          <w:sz w:val="24"/>
          <w:szCs w:val="24"/>
        </w:rPr>
        <w:t>明细表</w:t>
      </w:r>
      <w:bookmarkEnd w:id="0"/>
    </w:p>
    <w:p>
      <w:pPr>
        <w:rPr>
          <w:rFonts w:hint="eastAsia" w:ascii="仿宋" w:hAnsi="仿宋" w:eastAsia="仿宋" w:cs="仿宋_GB2312"/>
          <w:kern w:val="2"/>
          <w:sz w:val="24"/>
          <w:szCs w:val="24"/>
        </w:rPr>
      </w:pPr>
    </w:p>
    <w:tbl>
      <w:tblPr>
        <w:tblStyle w:val="10"/>
        <w:tblW w:w="15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107"/>
        <w:gridCol w:w="2160"/>
        <w:gridCol w:w="840"/>
        <w:gridCol w:w="1240"/>
        <w:gridCol w:w="1226"/>
        <w:gridCol w:w="6914"/>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jc w:val="center"/>
        </w:trPr>
        <w:tc>
          <w:tcPr>
            <w:tcW w:w="631"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sz w:val="21"/>
                <w:szCs w:val="21"/>
                <w:u w:val="none"/>
                <w:lang w:val="en-US" w:eastAsia="zh-CN" w:bidi="ar-SA"/>
              </w:rPr>
              <w:t>标段号</w:t>
            </w:r>
          </w:p>
        </w:tc>
        <w:tc>
          <w:tcPr>
            <w:tcW w:w="1107"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标段名称</w:t>
            </w:r>
          </w:p>
        </w:tc>
        <w:tc>
          <w:tcPr>
            <w:tcW w:w="2160"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子项目名称</w:t>
            </w:r>
          </w:p>
        </w:tc>
        <w:tc>
          <w:tcPr>
            <w:tcW w:w="840"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数量</w:t>
            </w:r>
          </w:p>
        </w:tc>
        <w:tc>
          <w:tcPr>
            <w:tcW w:w="1240"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分项控制价(万元）</w:t>
            </w:r>
          </w:p>
        </w:tc>
        <w:tc>
          <w:tcPr>
            <w:tcW w:w="1226"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标段控制价(万元）</w:t>
            </w:r>
          </w:p>
        </w:tc>
        <w:tc>
          <w:tcPr>
            <w:tcW w:w="6914"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lang w:val="en-US" w:eastAsia="zh-CN" w:bidi="ar-SA"/>
              </w:rPr>
            </w:pPr>
            <w:r>
              <w:rPr>
                <w:rFonts w:hint="eastAsia" w:ascii="宋体" w:hAnsi="宋体" w:eastAsia="宋体" w:cs="宋体"/>
                <w:b/>
                <w:bCs/>
                <w:i w:val="0"/>
                <w:iCs w:val="0"/>
                <w:color w:val="000000"/>
                <w:sz w:val="21"/>
                <w:szCs w:val="21"/>
                <w:u w:val="none"/>
                <w:lang w:val="en-US" w:eastAsia="zh-CN" w:bidi="ar-SA"/>
              </w:rPr>
              <w:t>专用资格要求</w:t>
            </w:r>
          </w:p>
        </w:tc>
        <w:tc>
          <w:tcPr>
            <w:tcW w:w="1144" w:type="dxa"/>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计划完工日期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631" w:type="dxa"/>
            <w:vMerge w:val="restart"/>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w:t>
            </w:r>
          </w:p>
        </w:tc>
        <w:tc>
          <w:tcPr>
            <w:tcW w:w="110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永胜110千伏变电站10千伏线路送出工程、鄂尔多斯市准格尔旗“党建+屋顶分布式光伏”配套电网工程（第二批）施工</w:t>
            </w:r>
          </w:p>
        </w:tc>
        <w:tc>
          <w:tcPr>
            <w:tcW w:w="216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永胜110千伏变电站10千伏线路送出工程</w:t>
            </w:r>
          </w:p>
        </w:tc>
        <w:tc>
          <w:tcPr>
            <w:tcW w:w="8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sz w:val="21"/>
                <w:szCs w:val="21"/>
                <w:u w:val="none"/>
                <w:lang w:val="en-US" w:eastAsia="zh-CN" w:bidi="ar-SA"/>
              </w:rPr>
              <w:t>1项</w:t>
            </w:r>
          </w:p>
        </w:tc>
        <w:tc>
          <w:tcPr>
            <w:tcW w:w="124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0"/>
                <w:szCs w:val="20"/>
                <w:u w:val="none"/>
                <w:lang w:val="en-US" w:eastAsia="zh-CN" w:bidi="ar"/>
              </w:rPr>
              <w:t>35.2907</w:t>
            </w:r>
          </w:p>
        </w:tc>
        <w:tc>
          <w:tcPr>
            <w:tcW w:w="1226" w:type="dxa"/>
            <w:vMerge w:val="restart"/>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 xml:space="preserve">366.4485 </w:t>
            </w:r>
          </w:p>
        </w:tc>
        <w:tc>
          <w:tcPr>
            <w:tcW w:w="6914"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1、供应商具有建设行政主管部门颁发的施工综合资质或电力工程施工总承包乙级及以上资质或输变电工程专业承包乙级及以上资质,证书在有效期内；（以上资质为住建部最新资质要求（2020 年11月30日建市〔2020〕94号《住房和城乡建设部关于印发建设工程企业资质管理制度改革方案的通知》）。如供应商还未申办以上资质，“供应商须具有建设行政主管部门颁发的施工总承包企业特级资质或电力工程施工总承包三级及以上资质或输变电工程专业承包三级及以上资质,证书在有效期内”；</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2、具有建设行政主管部门颁发的有效期内的安全生产许可证；</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3、具有国家能源局（国家电力监管委员会）颁发的承装（修、试）设施许可证承装、承修、</w:t>
            </w:r>
            <w:bookmarkStart w:id="1" w:name="_GoBack"/>
            <w:bookmarkEnd w:id="1"/>
            <w:r>
              <w:rPr>
                <w:rFonts w:hint="eastAsia" w:ascii="宋体" w:hAnsi="宋体" w:eastAsia="宋体" w:cs="宋体"/>
                <w:i w:val="0"/>
                <w:iCs w:val="0"/>
                <w:color w:val="auto"/>
                <w:kern w:val="0"/>
                <w:sz w:val="21"/>
                <w:szCs w:val="21"/>
                <w:u w:val="none"/>
                <w:lang w:val="en-US" w:eastAsia="zh-CN" w:bidi="ar"/>
              </w:rPr>
              <w:t>承试类五级及以上资质证书，证书在有效期内；</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4、拟派项目经理具有机电工程专业二级建造师及以上注册证书及有效的安全考核证（B证）且注册在本单位，且未担任其它在建项目建设工程的项目负责人(出具未在其他在建工程担任项目负责人的承诺函，格式自拟）；</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bCs/>
                <w:i w:val="0"/>
                <w:iCs w:val="0"/>
                <w:color w:val="auto"/>
                <w:sz w:val="21"/>
                <w:szCs w:val="21"/>
                <w:u w:val="none"/>
                <w:lang w:val="en-US" w:eastAsia="zh-CN" w:bidi="ar-SA"/>
              </w:rPr>
            </w:pPr>
            <w:r>
              <w:rPr>
                <w:rFonts w:hint="eastAsia" w:ascii="宋体" w:hAnsi="宋体" w:eastAsia="宋体" w:cs="宋体"/>
                <w:i w:val="0"/>
                <w:iCs w:val="0"/>
                <w:color w:val="auto"/>
                <w:kern w:val="0"/>
                <w:sz w:val="21"/>
                <w:szCs w:val="21"/>
                <w:u w:val="none"/>
                <w:lang w:val="en-US" w:eastAsia="zh-CN" w:bidi="ar"/>
              </w:rPr>
              <w:t>5、供应商近三年（2020年1月1日至今）具有输变电工程或配电网工程业绩1份。（提供业绩合同、配套中标通知书及发票的扫描件，时间以签订合同时间为准。合同内容至少应包括首页、工程内容、双方盖章等关键内容页。配套发票（全国统一发票监制章）须清晰完整，并附国家税务总局全国增值税发票查验平台的查询截图，业绩证明文件重要信息不得遮盖打码，否则视为无效。)；</w:t>
            </w:r>
          </w:p>
        </w:tc>
        <w:tc>
          <w:tcPr>
            <w:tcW w:w="1144"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2024年6月30日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631"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sz w:val="21"/>
                <w:szCs w:val="21"/>
                <w:lang w:val="en-US" w:eastAsia="zh-CN" w:bidi="ar-SA"/>
              </w:rPr>
            </w:pPr>
          </w:p>
        </w:tc>
        <w:tc>
          <w:tcPr>
            <w:tcW w:w="110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sz w:val="21"/>
                <w:szCs w:val="21"/>
                <w:lang w:val="en-US" w:eastAsia="zh-CN" w:bidi="ar-SA"/>
              </w:rPr>
            </w:pPr>
          </w:p>
        </w:tc>
        <w:tc>
          <w:tcPr>
            <w:tcW w:w="216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鄂尔多斯市准格尔旗“党建+屋顶分布式光伏”配套电网工程（第二批） -准格尔供电分公司</w:t>
            </w:r>
          </w:p>
        </w:tc>
        <w:tc>
          <w:tcPr>
            <w:tcW w:w="8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sz w:val="21"/>
                <w:szCs w:val="21"/>
                <w:u w:val="none"/>
                <w:lang w:val="en-US" w:eastAsia="zh-CN" w:bidi="ar-SA"/>
              </w:rPr>
              <w:t>1项</w:t>
            </w:r>
          </w:p>
        </w:tc>
        <w:tc>
          <w:tcPr>
            <w:tcW w:w="124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0"/>
                <w:szCs w:val="20"/>
                <w:u w:val="none"/>
                <w:lang w:val="en-US" w:eastAsia="zh-CN" w:bidi="ar"/>
              </w:rPr>
              <w:t>207.6031</w:t>
            </w:r>
          </w:p>
        </w:tc>
        <w:tc>
          <w:tcPr>
            <w:tcW w:w="122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c>
          <w:tcPr>
            <w:tcW w:w="6914"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c>
          <w:tcPr>
            <w:tcW w:w="1144"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631"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c>
          <w:tcPr>
            <w:tcW w:w="110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c>
          <w:tcPr>
            <w:tcW w:w="216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鄂尔多斯市准格尔旗“党建+屋顶分布式光伏”配套电网工程（第二批） -大路供电分公司</w:t>
            </w:r>
          </w:p>
        </w:tc>
        <w:tc>
          <w:tcPr>
            <w:tcW w:w="8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sz w:val="21"/>
                <w:szCs w:val="21"/>
                <w:u w:val="none"/>
                <w:lang w:val="en-US" w:eastAsia="zh-CN" w:bidi="ar-SA"/>
              </w:rPr>
              <w:t>1项</w:t>
            </w:r>
          </w:p>
        </w:tc>
        <w:tc>
          <w:tcPr>
            <w:tcW w:w="124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0"/>
                <w:szCs w:val="20"/>
                <w:u w:val="none"/>
                <w:lang w:val="en-US" w:eastAsia="zh-CN" w:bidi="ar"/>
              </w:rPr>
              <w:t>62.6374</w:t>
            </w:r>
          </w:p>
        </w:tc>
        <w:tc>
          <w:tcPr>
            <w:tcW w:w="122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c>
          <w:tcPr>
            <w:tcW w:w="6914"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c>
          <w:tcPr>
            <w:tcW w:w="1144"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1" w:hRule="atLeast"/>
          <w:jc w:val="center"/>
        </w:trPr>
        <w:tc>
          <w:tcPr>
            <w:tcW w:w="631"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c>
          <w:tcPr>
            <w:tcW w:w="110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c>
          <w:tcPr>
            <w:tcW w:w="216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鄂尔多斯市准格尔旗“党建+屋顶分布式光伏”配套电网工程（第二批） -市区供电分公司</w:t>
            </w:r>
          </w:p>
        </w:tc>
        <w:tc>
          <w:tcPr>
            <w:tcW w:w="8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sz w:val="21"/>
                <w:szCs w:val="21"/>
                <w:u w:val="none"/>
                <w:lang w:val="en-US" w:eastAsia="zh-CN" w:bidi="ar-SA"/>
              </w:rPr>
              <w:t>1项</w:t>
            </w:r>
          </w:p>
        </w:tc>
        <w:tc>
          <w:tcPr>
            <w:tcW w:w="124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ar-SA"/>
              </w:rPr>
            </w:pPr>
            <w:r>
              <w:rPr>
                <w:rFonts w:hint="eastAsia" w:ascii="宋体" w:hAnsi="宋体" w:eastAsia="宋体" w:cs="宋体"/>
                <w:i w:val="0"/>
                <w:iCs w:val="0"/>
                <w:color w:val="000000"/>
                <w:kern w:val="0"/>
                <w:sz w:val="20"/>
                <w:szCs w:val="20"/>
                <w:u w:val="none"/>
                <w:lang w:val="en-US" w:eastAsia="zh-CN" w:bidi="ar"/>
              </w:rPr>
              <w:t>60.9173</w:t>
            </w:r>
          </w:p>
        </w:tc>
        <w:tc>
          <w:tcPr>
            <w:tcW w:w="1226"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c>
          <w:tcPr>
            <w:tcW w:w="6914"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c>
          <w:tcPr>
            <w:tcW w:w="1144"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000000"/>
                <w:sz w:val="21"/>
                <w:szCs w:val="21"/>
                <w:u w:val="none"/>
                <w:lang w:val="en-US" w:eastAsia="zh-CN" w:bidi="ar-SA"/>
              </w:rPr>
            </w:pPr>
          </w:p>
        </w:tc>
      </w:tr>
    </w:tbl>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E02EF4"/>
    <w:multiLevelType w:val="multilevel"/>
    <w:tmpl w:val="55E02EF4"/>
    <w:lvl w:ilvl="0" w:tentative="0">
      <w:start w:val="1"/>
      <w:numFmt w:val="decimal"/>
      <w:pStyle w:val="6"/>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zZTE2Y2ZiMjc2MDA3NGY3ZGY2MDFlOTE5MDYwODgifQ=="/>
  </w:docVars>
  <w:rsids>
    <w:rsidRoot w:val="00000000"/>
    <w:rsid w:val="12D431D4"/>
    <w:rsid w:val="1B2D4565"/>
    <w:rsid w:val="29AC1CF7"/>
    <w:rsid w:val="29B22045"/>
    <w:rsid w:val="2BDC7994"/>
    <w:rsid w:val="3EC82F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szCs w:val="20"/>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customStyle="1" w:styleId="2">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styleId="3">
    <w:name w:val="Normal Indent"/>
    <w:basedOn w:val="1"/>
    <w:qFormat/>
    <w:uiPriority w:val="99"/>
    <w:pPr>
      <w:ind w:firstLine="420"/>
    </w:pPr>
    <w:rPr>
      <w:szCs w:val="20"/>
    </w:rPr>
  </w:style>
  <w:style w:type="paragraph" w:styleId="4">
    <w:name w:val="Body Text"/>
    <w:basedOn w:val="1"/>
    <w:qFormat/>
    <w:uiPriority w:val="0"/>
    <w:pPr>
      <w:spacing w:after="120"/>
    </w:pPr>
  </w:style>
  <w:style w:type="paragraph" w:styleId="5">
    <w:name w:val="Body Text Indent"/>
    <w:basedOn w:val="1"/>
    <w:next w:val="6"/>
    <w:qFormat/>
    <w:uiPriority w:val="0"/>
    <w:pPr>
      <w:ind w:firstLine="830" w:firstLineChars="352"/>
    </w:pPr>
    <w:rPr>
      <w:rFonts w:ascii="仿宋_GB2312" w:eastAsia="仿宋_GB2312"/>
      <w:sz w:val="32"/>
      <w:szCs w:val="20"/>
    </w:rPr>
  </w:style>
  <w:style w:type="paragraph" w:styleId="6">
    <w:name w:val="footnote text"/>
    <w:basedOn w:val="1"/>
    <w:semiHidden/>
    <w:qFormat/>
    <w:uiPriority w:val="0"/>
    <w:pPr>
      <w:numPr>
        <w:ilvl w:val="0"/>
        <w:numId w:val="1"/>
      </w:numPr>
      <w:snapToGrid w:val="0"/>
      <w:ind w:left="400" w:leftChars="200" w:hanging="200" w:hangingChars="200"/>
      <w:jc w:val="left"/>
    </w:pPr>
    <w:rPr>
      <w:sz w:val="18"/>
      <w:szCs w:val="18"/>
    </w:rPr>
  </w:style>
  <w:style w:type="paragraph" w:styleId="7">
    <w:name w:val="footer"/>
    <w:basedOn w:val="1"/>
    <w:next w:val="4"/>
    <w:qFormat/>
    <w:uiPriority w:val="99"/>
    <w:pPr>
      <w:tabs>
        <w:tab w:val="center" w:pos="4153"/>
        <w:tab w:val="right" w:pos="8306"/>
      </w:tabs>
      <w:snapToGrid w:val="0"/>
      <w:jc w:val="left"/>
    </w:pPr>
    <w:rPr>
      <w:sz w:val="18"/>
      <w:szCs w:val="18"/>
    </w:rPr>
  </w:style>
  <w:style w:type="paragraph" w:styleId="8">
    <w:name w:val="Title"/>
    <w:basedOn w:val="1"/>
    <w:next w:val="1"/>
    <w:qFormat/>
    <w:uiPriority w:val="0"/>
    <w:pPr>
      <w:spacing w:before="240" w:after="60"/>
      <w:ind w:firstLine="0" w:firstLineChars="0"/>
      <w:jc w:val="center"/>
      <w:outlineLvl w:val="0"/>
    </w:pPr>
    <w:rPr>
      <w:rFonts w:ascii="Cambria" w:hAnsi="Cambria" w:eastAsia="方正小标宋简体" w:cs="Times New Roman"/>
      <w:b/>
      <w:bCs/>
      <w:sz w:val="44"/>
      <w:szCs w:val="32"/>
    </w:rPr>
  </w:style>
  <w:style w:type="paragraph" w:styleId="9">
    <w:name w:val="Body Text First Indent 2"/>
    <w:basedOn w:val="5"/>
    <w:semiHidden/>
    <w:uiPriority w:val="0"/>
    <w:pPr>
      <w:spacing w:after="120"/>
      <w:ind w:left="420" w:firstLine="420" w:firstLineChars="0"/>
    </w:pPr>
    <w:rPr>
      <w:rFonts w:ascii="Calibri" w:hAnsi="Calibri" w:eastAsia="宋体"/>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854</Words>
  <Characters>911</Characters>
  <Lines>0</Lines>
  <Paragraphs>0</Paragraphs>
  <TotalTime>2</TotalTime>
  <ScaleCrop>false</ScaleCrop>
  <LinksUpToDate>false</LinksUpToDate>
  <CharactersWithSpaces>916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2023-08-09T02:36:00Z</dcterms:created>
  <dc:creator>Administrator</dc:creator>
  <cp:lastModifiedBy>huawei</cp:lastModifiedBy>
  <cp:lastPrinted>2023-09-28T05:40:35Z</cp:lastPrinted>
  <dcterms:modified xsi:type="dcterms:W3CDTF">2023-09-28T05:42:09Z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9A42EA38F23A41F5BFC967E16912AC6F_12</vt:lpwstr>
  </property>
</Properties>
</file>