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before="0" w:after="0"/>
        <w:ind w:firstLine="723" w:firstLineChars="300"/>
        <w:jc w:val="both"/>
        <w:textAlignment w:val="auto"/>
        <w:rPr>
          <w:rFonts w:hint="eastAsia" w:ascii="宋体" w:hAnsi="宋体" w:eastAsia="宋体" w:cs="宋体"/>
          <w:kern w:val="2"/>
          <w:sz w:val="24"/>
          <w:szCs w:val="24"/>
        </w:rPr>
      </w:pPr>
      <w:bookmarkStart w:id="1" w:name="_GoBack"/>
      <w:bookmarkEnd w:id="1"/>
      <w:bookmarkStart w:id="0" w:name="_Toc16122"/>
      <w:r>
        <w:rPr>
          <w:rFonts w:hint="eastAsia" w:ascii="宋体" w:hAnsi="宋体" w:eastAsia="宋体" w:cs="宋体"/>
          <w:kern w:val="2"/>
          <w:sz w:val="24"/>
          <w:szCs w:val="24"/>
        </w:rPr>
        <w:t>附件</w:t>
      </w:r>
      <w:r>
        <w:rPr>
          <w:rFonts w:hint="eastAsia" w:ascii="宋体" w:hAnsi="宋体" w:eastAsia="宋体" w:cs="宋体"/>
          <w:kern w:val="2"/>
          <w:sz w:val="24"/>
          <w:szCs w:val="24"/>
          <w:lang w:val="en-US" w:eastAsia="zh-CN"/>
        </w:rPr>
        <w:t>1</w:t>
      </w:r>
      <w:r>
        <w:rPr>
          <w:rFonts w:hint="eastAsia" w:ascii="宋体" w:hAnsi="宋体" w:eastAsia="宋体" w:cs="宋体"/>
          <w:kern w:val="2"/>
          <w:sz w:val="24"/>
          <w:szCs w:val="24"/>
        </w:rPr>
        <w:t>：</w:t>
      </w:r>
      <w:r>
        <w:rPr>
          <w:rFonts w:hint="eastAsia" w:ascii="宋体" w:hAnsi="宋体" w:eastAsia="宋体" w:cs="宋体"/>
          <w:kern w:val="2"/>
          <w:sz w:val="24"/>
          <w:szCs w:val="24"/>
          <w:lang w:val="en-US" w:eastAsia="zh-CN"/>
        </w:rPr>
        <w:t>需求</w:t>
      </w:r>
      <w:r>
        <w:rPr>
          <w:rFonts w:hint="eastAsia" w:ascii="宋体" w:hAnsi="宋体" w:eastAsia="宋体" w:cs="宋体"/>
          <w:kern w:val="2"/>
          <w:sz w:val="24"/>
          <w:szCs w:val="24"/>
        </w:rPr>
        <w:t>明细表</w:t>
      </w:r>
      <w:bookmarkEnd w:id="0"/>
    </w:p>
    <w:p>
      <w:pPr>
        <w:rPr>
          <w:rFonts w:hint="eastAsia" w:ascii="仿宋" w:hAnsi="仿宋" w:eastAsia="仿宋" w:cs="仿宋_GB2312"/>
          <w:kern w:val="2"/>
          <w:sz w:val="24"/>
          <w:szCs w:val="24"/>
        </w:rPr>
      </w:pPr>
    </w:p>
    <w:tbl>
      <w:tblPr>
        <w:tblStyle w:val="9"/>
        <w:tblW w:w="14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918"/>
        <w:gridCol w:w="936"/>
        <w:gridCol w:w="672"/>
        <w:gridCol w:w="564"/>
        <w:gridCol w:w="1188"/>
        <w:gridCol w:w="7596"/>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jc w:val="center"/>
        </w:trPr>
        <w:tc>
          <w:tcPr>
            <w:tcW w:w="988" w:type="dxa"/>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标段号</w:t>
            </w:r>
          </w:p>
        </w:tc>
        <w:tc>
          <w:tcPr>
            <w:tcW w:w="918" w:type="dxa"/>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标段名称</w:t>
            </w:r>
          </w:p>
        </w:tc>
        <w:tc>
          <w:tcPr>
            <w:tcW w:w="936"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子项目名称</w:t>
            </w:r>
          </w:p>
        </w:tc>
        <w:tc>
          <w:tcPr>
            <w:tcW w:w="672"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564"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188"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招标控制价(元）</w:t>
            </w:r>
          </w:p>
        </w:tc>
        <w:tc>
          <w:tcPr>
            <w:tcW w:w="7596"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sz w:val="24"/>
                <w:szCs w:val="24"/>
                <w:u w:val="none"/>
              </w:rPr>
              <w:t>专用资格要求</w:t>
            </w:r>
          </w:p>
        </w:tc>
        <w:tc>
          <w:tcPr>
            <w:tcW w:w="1185"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计划完工日期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2" w:hRule="atLeast"/>
          <w:jc w:val="center"/>
        </w:trPr>
        <w:tc>
          <w:tcPr>
            <w:tcW w:w="98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91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唐公塔110千伏变电站10千伏线路送出工程</w:t>
            </w:r>
          </w:p>
        </w:tc>
        <w:tc>
          <w:tcPr>
            <w:tcW w:w="936"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唐公塔110千伏变电站10千伏线路送出工程</w:t>
            </w:r>
          </w:p>
        </w:tc>
        <w:tc>
          <w:tcPr>
            <w:tcW w:w="67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c>
          <w:tcPr>
            <w:tcW w:w="118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385057</w:t>
            </w:r>
          </w:p>
        </w:tc>
        <w:tc>
          <w:tcPr>
            <w:tcW w:w="7596"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1、供应商具有建设行政主管部门颁发的施工综合资质或电力工程施工总承包乙级及以上资质或输变电工程专业承包乙级及以上资质,证书在有效期内；（以上资质为住建部最新资质要求（2020 年11月30日建市〔2020〕94号《住房和城乡建设部关于印发建设工程企业资质管理制度改革方案的通知》）。如供应商还未申办以上资质，“供应商须具有建设行政主管部门颁发的施工总承包企业特级资质或电力工程施工总承包三级及以上资质或输变电工程专业承包三级及以上资质,证书在有效期内”；</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2、具有建设行政主管部门颁发的有效期内的安全生产许可证；</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3、具有国家能源局（国家电力监管委员会）颁发的承装（修、试）设施许可证承装、承修、承试类五级及以上资质证书，证书在有效期内；</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4、拟派项目经理具有机电工程专业二级建造师及以上注册证书及有效的安全考核证（B证）且注册在本单位，且未担任其它在建项目建设工程的项目负责人(出具未在其他在建工程担任项目负责人的承诺函，格式自拟）；</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5、供应商近三年（2020年1月1日至今）具有已建成投产的10kV及以下电压等级的输变电工程或配电网工程业绩1份。（提供业绩合同、配套中标通知书及发票的扫描件，时间以签订合同时间为准。合同内容至少应包括首页、工程内容、双方盖章等关键内容页。配套发票（全国统一发票监制章）须清晰完整，并附国家税务总局全国增值税发票查验平台的查询截图，业绩证明文件重要信息不得遮盖打码，否则视为无效。)；</w:t>
            </w:r>
          </w:p>
        </w:tc>
        <w:tc>
          <w:tcPr>
            <w:tcW w:w="118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2023年11月30日</w:t>
            </w:r>
          </w:p>
        </w:tc>
      </w:tr>
    </w:tbl>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02EF4"/>
    <w:multiLevelType w:val="multilevel"/>
    <w:tmpl w:val="55E02EF4"/>
    <w:lvl w:ilvl="0" w:tentative="0">
      <w:start w:val="1"/>
      <w:numFmt w:val="decimal"/>
      <w:pStyle w:val="5"/>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iZjkzMWFiNzVjZjRmMjhmMTNmMTVkNGU2NzBmZGYifQ=="/>
  </w:docVars>
  <w:rsids>
    <w:rsidRoot w:val="00000000"/>
    <w:rsid w:val="12D431D4"/>
    <w:rsid w:val="1B2D4565"/>
    <w:rsid w:val="29B22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szCs w:val="20"/>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 w:type="paragraph" w:styleId="3">
    <w:name w:val="Body Text"/>
    <w:basedOn w:val="1"/>
    <w:qFormat/>
    <w:uiPriority w:val="0"/>
    <w:pPr>
      <w:spacing w:after="120"/>
    </w:pPr>
  </w:style>
  <w:style w:type="paragraph" w:styleId="4">
    <w:name w:val="Body Text Indent"/>
    <w:basedOn w:val="1"/>
    <w:next w:val="5"/>
    <w:qFormat/>
    <w:uiPriority w:val="0"/>
    <w:pPr>
      <w:ind w:firstLine="830" w:firstLineChars="352"/>
    </w:pPr>
    <w:rPr>
      <w:rFonts w:ascii="仿宋_GB2312" w:eastAsia="仿宋_GB2312"/>
      <w:sz w:val="32"/>
      <w:szCs w:val="20"/>
    </w:rPr>
  </w:style>
  <w:style w:type="paragraph" w:styleId="5">
    <w:name w:val="footnote text"/>
    <w:basedOn w:val="1"/>
    <w:semiHidden/>
    <w:qFormat/>
    <w:uiPriority w:val="0"/>
    <w:pPr>
      <w:numPr>
        <w:ilvl w:val="0"/>
        <w:numId w:val="1"/>
      </w:numPr>
      <w:snapToGrid w:val="0"/>
      <w:ind w:left="400" w:leftChars="200" w:hanging="200" w:hangingChars="200"/>
      <w:jc w:val="left"/>
    </w:pPr>
    <w:rPr>
      <w:sz w:val="18"/>
      <w:szCs w:val="18"/>
    </w:rPr>
  </w:style>
  <w:style w:type="paragraph" w:styleId="6">
    <w:name w:val="footer"/>
    <w:basedOn w:val="1"/>
    <w:next w:val="3"/>
    <w:qFormat/>
    <w:uiPriority w:val="99"/>
    <w:pPr>
      <w:tabs>
        <w:tab w:val="center" w:pos="4153"/>
        <w:tab w:val="right" w:pos="8306"/>
      </w:tabs>
      <w:snapToGrid w:val="0"/>
      <w:jc w:val="left"/>
    </w:pPr>
    <w:rPr>
      <w:sz w:val="18"/>
      <w:szCs w:val="18"/>
    </w:rPr>
  </w:style>
  <w:style w:type="paragraph" w:styleId="7">
    <w:name w:val="Title"/>
    <w:basedOn w:val="1"/>
    <w:next w:val="1"/>
    <w:qFormat/>
    <w:uiPriority w:val="0"/>
    <w:pPr>
      <w:spacing w:before="240" w:after="60"/>
      <w:ind w:firstLine="0" w:firstLineChars="0"/>
      <w:jc w:val="center"/>
      <w:outlineLvl w:val="0"/>
    </w:pPr>
    <w:rPr>
      <w:rFonts w:ascii="Cambria" w:hAnsi="Cambria" w:eastAsia="方正小标宋简体" w:cs="Times New Roman"/>
      <w:b/>
      <w:bCs/>
      <w:sz w:val="44"/>
      <w:szCs w:val="32"/>
    </w:rPr>
  </w:style>
  <w:style w:type="paragraph" w:styleId="8">
    <w:name w:val="Body Text First Indent 2"/>
    <w:basedOn w:val="4"/>
    <w:semiHidden/>
    <w:uiPriority w:val="0"/>
    <w:pPr>
      <w:spacing w:after="120"/>
      <w:ind w:left="420" w:firstLine="420" w:firstLineChars="0"/>
    </w:pPr>
    <w:rPr>
      <w:rFonts w:ascii="Calibri" w:hAnsi="Calibri" w:eastAsia="宋体"/>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2023-08-09T02:36:00Z</dcterms:created>
  <dc:creator>Administrator</dc:creator>
  <cp:lastModifiedBy>Administrator</cp:lastModifiedBy>
  <dcterms:modified xsi:type="dcterms:W3CDTF">2023-08-21T03:05:00Z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9A42EA38F23A41F5BFC967E16912AC6F_12</vt:lpwstr>
  </property>
</Properties>
</file>