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bidi w:val="0"/>
        <w:spacing w:before="240" w:line="360" w:lineRule="auto"/>
        <w:ind w:firstLine="0" w:firstLineChars="0"/>
        <w:contextualSpacing/>
        <w:jc w:val="center"/>
        <w:textAlignment w:val="auto"/>
        <w:rPr>
          <w:rFonts w:hint="eastAsia" w:ascii="仿宋" w:hAnsi="仿宋" w:eastAsia="仿宋" w:cs="仿宋"/>
          <w:b/>
          <w:sz w:val="32"/>
          <w:szCs w:val="32"/>
          <w:lang w:eastAsia="zh-CN"/>
        </w:rPr>
      </w:pPr>
      <w:bookmarkStart w:id="0" w:name="_Hlk533702865"/>
      <w:r>
        <w:rPr>
          <w:rFonts w:hint="eastAsia" w:ascii="仿宋" w:hAnsi="仿宋" w:eastAsia="仿宋" w:cs="仿宋"/>
          <w:b/>
          <w:sz w:val="32"/>
          <w:szCs w:val="32"/>
          <w:lang w:eastAsia="zh-CN"/>
        </w:rPr>
        <w:t>鄂尔多斯供电公司2022年“末班车”批次服务竞价采购二次</w:t>
      </w:r>
    </w:p>
    <w:p>
      <w:pPr>
        <w:pageBreakBefore w:val="0"/>
        <w:kinsoku/>
        <w:overflowPunct/>
        <w:topLinePunct w:val="0"/>
        <w:bidi w:val="0"/>
        <w:spacing w:before="240" w:line="360" w:lineRule="auto"/>
        <w:ind w:firstLine="0" w:firstLineChars="0"/>
        <w:contextualSpacing/>
        <w:jc w:val="center"/>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采购</w:t>
      </w:r>
      <w:r>
        <w:rPr>
          <w:rFonts w:hint="eastAsia" w:ascii="仿宋" w:hAnsi="仿宋" w:eastAsia="仿宋" w:cs="仿宋"/>
          <w:b/>
          <w:sz w:val="32"/>
          <w:szCs w:val="32"/>
        </w:rPr>
        <w:t>公告</w:t>
      </w:r>
    </w:p>
    <w:p>
      <w:pPr>
        <w:pageBreakBefore w:val="0"/>
        <w:kinsoku/>
        <w:overflowPunct/>
        <w:topLinePunct w:val="0"/>
        <w:bidi w:val="0"/>
        <w:spacing w:before="240" w:line="360" w:lineRule="auto"/>
        <w:ind w:firstLine="0" w:firstLineChars="0"/>
        <w:contextualSpacing/>
        <w:jc w:val="center"/>
        <w:textAlignment w:val="auto"/>
        <w:rPr>
          <w:rFonts w:hint="eastAsia" w:ascii="仿宋" w:hAnsi="仿宋" w:eastAsia="仿宋" w:cs="仿宋"/>
          <w:b/>
          <w:sz w:val="24"/>
          <w:szCs w:val="24"/>
        </w:rPr>
      </w:pPr>
      <w:bookmarkStart w:id="1" w:name="_Toc286333061"/>
      <w:r>
        <w:rPr>
          <w:rFonts w:hint="eastAsia" w:ascii="仿宋" w:hAnsi="仿宋" w:eastAsia="仿宋" w:cs="仿宋"/>
          <w:b/>
          <w:sz w:val="24"/>
          <w:szCs w:val="24"/>
        </w:rPr>
        <w:t>（项目编号：</w:t>
      </w:r>
      <w:r>
        <w:rPr>
          <w:rFonts w:hint="eastAsia" w:ascii="仿宋" w:hAnsi="仿宋" w:eastAsia="仿宋" w:cs="仿宋"/>
          <w:b/>
          <w:sz w:val="24"/>
          <w:szCs w:val="24"/>
          <w:lang w:eastAsia="zh-CN"/>
        </w:rPr>
        <w:t>EDJZJ-2022-178-2</w:t>
      </w:r>
      <w:r>
        <w:rPr>
          <w:rFonts w:hint="eastAsia" w:ascii="仿宋" w:hAnsi="仿宋" w:eastAsia="仿宋" w:cs="仿宋"/>
          <w:b/>
          <w:sz w:val="24"/>
          <w:szCs w:val="24"/>
        </w:rPr>
        <w:t>）</w:t>
      </w:r>
    </w:p>
    <w:bookmarkEnd w:id="1"/>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firstLine="480" w:firstLineChars="200"/>
        <w:contextualSpacing/>
        <w:textAlignment w:val="auto"/>
        <w:outlineLvl w:val="9"/>
        <w:rPr>
          <w:rFonts w:hint="eastAsia" w:ascii="仿宋" w:hAnsi="仿宋" w:eastAsia="仿宋" w:cs="仿宋"/>
          <w:b w:val="0"/>
          <w:bCs/>
          <w:sz w:val="24"/>
          <w:lang w:val="en-US" w:eastAsia="zh-CN"/>
        </w:rPr>
      </w:pPr>
      <w:bookmarkStart w:id="2" w:name="_Toc487729869"/>
      <w:bookmarkStart w:id="3" w:name="_Toc449193527"/>
      <w:bookmarkStart w:id="4" w:name="_Toc39827091"/>
      <w:bookmarkStart w:id="5" w:name="_Toc39827461"/>
      <w:bookmarkStart w:id="6" w:name="_Toc39827526"/>
      <w:bookmarkStart w:id="7" w:name="_Toc4148803"/>
      <w:bookmarkStart w:id="8" w:name="_Toc487214768"/>
      <w:bookmarkStart w:id="9" w:name="_Toc38213876"/>
      <w:bookmarkStart w:id="10" w:name="_Toc449194178"/>
      <w:bookmarkStart w:id="11" w:name="_Toc527978785"/>
      <w:bookmarkStart w:id="12" w:name="_Toc4102801"/>
      <w:bookmarkStart w:id="13" w:name="_Toc527970775"/>
      <w:r>
        <w:rPr>
          <w:rFonts w:hint="eastAsia" w:ascii="仿宋" w:hAnsi="仿宋" w:eastAsia="仿宋" w:cs="仿宋"/>
          <w:b w:val="0"/>
          <w:bCs/>
          <w:sz w:val="24"/>
          <w:lang w:val="en-US" w:eastAsia="zh-CN"/>
        </w:rPr>
        <w:t>本项目</w:t>
      </w:r>
      <w:r>
        <w:rPr>
          <w:rFonts w:hint="eastAsia" w:ascii="仿宋" w:hAnsi="仿宋" w:eastAsia="仿宋" w:cs="仿宋"/>
          <w:b w:val="0"/>
          <w:bCs/>
          <w:sz w:val="24"/>
          <w:highlight w:val="none"/>
          <w:lang w:val="en-US" w:eastAsia="zh-CN"/>
        </w:rPr>
        <w:t>鄂尔多斯供电公司2022年“末班车”批次服务竞价采购二次，</w:t>
      </w:r>
      <w:r>
        <w:rPr>
          <w:rFonts w:hint="eastAsia" w:ascii="仿宋" w:hAnsi="仿宋" w:eastAsia="仿宋" w:cs="仿宋"/>
          <w:b w:val="0"/>
          <w:bCs/>
          <w:sz w:val="24"/>
          <w:lang w:val="en-US" w:eastAsia="zh-CN"/>
        </w:rPr>
        <w:t>采购人为内蒙古电力（集团）有限责任公司鄂尔多斯供电分公司物资供应处，委托</w:t>
      </w:r>
      <w:r>
        <w:rPr>
          <w:rFonts w:hint="eastAsia" w:ascii="仿宋" w:hAnsi="仿宋" w:eastAsia="仿宋" w:cs="仿宋"/>
          <w:b w:val="0"/>
          <w:bCs/>
          <w:sz w:val="24"/>
          <w:highlight w:val="none"/>
          <w:lang w:val="en-US" w:eastAsia="zh-CN"/>
        </w:rPr>
        <w:t>广州市见智咨询有限公司内蒙古分公司</w:t>
      </w:r>
      <w:r>
        <w:rPr>
          <w:rFonts w:hint="eastAsia" w:ascii="仿宋" w:hAnsi="仿宋" w:eastAsia="仿宋" w:cs="仿宋"/>
          <w:b w:val="0"/>
          <w:bCs/>
          <w:sz w:val="24"/>
          <w:lang w:val="en-US" w:eastAsia="zh-CN"/>
        </w:rPr>
        <w:t>为招标代理机构。该项目已具备采购条件。现将有关事宜公告如下：</w:t>
      </w:r>
    </w:p>
    <w:bookmarkEnd w:id="2"/>
    <w:bookmarkEnd w:id="3"/>
    <w:bookmarkEnd w:id="4"/>
    <w:bookmarkEnd w:id="5"/>
    <w:bookmarkEnd w:id="6"/>
    <w:bookmarkEnd w:id="7"/>
    <w:bookmarkEnd w:id="8"/>
    <w:bookmarkEnd w:id="9"/>
    <w:bookmarkEnd w:id="10"/>
    <w:bookmarkEnd w:id="11"/>
    <w:bookmarkEnd w:id="12"/>
    <w:bookmarkEnd w:id="13"/>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bookmarkStart w:id="14" w:name="_Toc7104"/>
      <w:r>
        <w:rPr>
          <w:rFonts w:hint="eastAsia" w:ascii="仿宋" w:hAnsi="仿宋" w:eastAsia="仿宋" w:cs="仿宋"/>
          <w:b/>
          <w:color w:val="auto"/>
          <w:sz w:val="32"/>
          <w:szCs w:val="32"/>
          <w:highlight w:val="none"/>
          <w:lang w:val="en-US" w:eastAsia="zh-CN"/>
        </w:rPr>
        <w:t>项目概况</w:t>
      </w:r>
      <w:bookmarkEnd w:id="14"/>
    </w:p>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left="420" w:leftChars="0"/>
        <w:contextualSpacing/>
        <w:textAlignment w:val="auto"/>
        <w:outlineLvl w:val="9"/>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1.采购方式：竞价采购；</w:t>
      </w:r>
    </w:p>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left="420" w:leftChars="0"/>
        <w:contextualSpacing/>
        <w:textAlignment w:val="auto"/>
        <w:outlineLvl w:val="9"/>
        <w:rPr>
          <w:rFonts w:hint="eastAsia" w:ascii="仿宋" w:hAnsi="仿宋" w:eastAsia="仿宋" w:cs="仿宋"/>
          <w:b w:val="0"/>
          <w:bCs/>
          <w:sz w:val="24"/>
          <w:lang w:val="en-US" w:eastAsia="zh-CN"/>
        </w:rPr>
      </w:pPr>
      <w:bookmarkStart w:id="15" w:name="_Toc449194181"/>
      <w:bookmarkStart w:id="16" w:name="_Toc449193530"/>
      <w:r>
        <w:rPr>
          <w:rFonts w:hint="eastAsia" w:ascii="仿宋" w:hAnsi="仿宋" w:eastAsia="仿宋" w:cs="仿宋"/>
          <w:b w:val="0"/>
          <w:bCs/>
          <w:sz w:val="24"/>
          <w:lang w:val="en-US" w:eastAsia="zh-CN"/>
        </w:rPr>
        <w:t>2.资金来源：详见公告附表；</w:t>
      </w:r>
    </w:p>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left="420" w:leftChars="0"/>
        <w:contextualSpacing/>
        <w:textAlignment w:val="auto"/>
        <w:outlineLvl w:val="9"/>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3.本项目采购内容及范围：</w:t>
      </w:r>
      <w:bookmarkEnd w:id="15"/>
      <w:bookmarkEnd w:id="16"/>
      <w:r>
        <w:rPr>
          <w:rFonts w:hint="eastAsia" w:ascii="仿宋" w:hAnsi="仿宋" w:eastAsia="仿宋" w:cs="仿宋"/>
          <w:b w:val="0"/>
          <w:bCs/>
          <w:sz w:val="24"/>
          <w:lang w:val="en-US" w:eastAsia="zh-CN"/>
        </w:rPr>
        <w:t>详见公告附表；</w:t>
      </w:r>
    </w:p>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left="420" w:leftChars="0"/>
        <w:contextualSpacing/>
        <w:textAlignment w:val="auto"/>
        <w:outlineLvl w:val="9"/>
        <w:rPr>
          <w:rFonts w:hint="eastAsia" w:ascii="仿宋" w:hAnsi="仿宋" w:eastAsia="仿宋" w:cs="仿宋"/>
          <w:b w:val="0"/>
          <w:bCs/>
          <w:sz w:val="24"/>
          <w:lang w:val="en-US" w:eastAsia="zh-CN"/>
        </w:rPr>
      </w:pPr>
      <w:bookmarkStart w:id="17" w:name="_Toc22139"/>
      <w:r>
        <w:rPr>
          <w:rFonts w:hint="eastAsia" w:ascii="仿宋" w:hAnsi="仿宋" w:eastAsia="仿宋" w:cs="仿宋"/>
          <w:b w:val="0"/>
          <w:bCs/>
          <w:sz w:val="24"/>
          <w:lang w:val="en-US" w:eastAsia="zh-CN"/>
        </w:rPr>
        <w:t>4.项目服务期：详见公告附表；</w:t>
      </w:r>
    </w:p>
    <w:p>
      <w:pPr>
        <w:keepNext w:val="0"/>
        <w:keepLines w:val="0"/>
        <w:pageBreakBefore w:val="0"/>
        <w:numPr>
          <w:ilvl w:val="0"/>
          <w:numId w:val="0"/>
        </w:numPr>
        <w:kinsoku/>
        <w:wordWrap/>
        <w:overflowPunct/>
        <w:topLinePunct w:val="0"/>
        <w:autoSpaceDE/>
        <w:autoSpaceDN/>
        <w:bidi w:val="0"/>
        <w:adjustRightInd w:val="0"/>
        <w:snapToGrid/>
        <w:spacing w:beforeLines="50" w:afterLines="50" w:line="360" w:lineRule="auto"/>
        <w:ind w:left="420" w:leftChars="0"/>
        <w:contextualSpacing/>
        <w:textAlignment w:val="auto"/>
        <w:outlineLvl w:val="9"/>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5.服务地点：鄂尔多斯市境内（采购人指定地点）</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资格要求</w:t>
      </w:r>
      <w:bookmarkEnd w:id="17"/>
    </w:p>
    <w:p>
      <w:pPr>
        <w:keepNext w:val="0"/>
        <w:keepLines w:val="0"/>
        <w:pageBreakBefore w:val="0"/>
        <w:kinsoku/>
        <w:wordWrap/>
        <w:overflowPunct/>
        <w:topLinePunct w:val="0"/>
        <w:bidi w:val="0"/>
        <w:adjustRightInd/>
        <w:snapToGrid/>
        <w:spacing w:line="360" w:lineRule="auto"/>
        <w:ind w:firstLine="482" w:firstLineChars="200"/>
        <w:textAlignment w:val="auto"/>
        <w:rPr>
          <w:rFonts w:hint="eastAsia" w:ascii="仿宋" w:hAnsi="仿宋" w:eastAsia="仿宋" w:cs="仿宋"/>
          <w:sz w:val="24"/>
          <w:szCs w:val="24"/>
          <w:highlight w:val="none"/>
        </w:rPr>
      </w:pPr>
      <w:bookmarkStart w:id="18" w:name="_Toc26954"/>
      <w:bookmarkStart w:id="19" w:name="_Toc39827099"/>
      <w:bookmarkStart w:id="20" w:name="_Toc527978789"/>
      <w:bookmarkStart w:id="21" w:name="_Toc39827469"/>
      <w:bookmarkStart w:id="22" w:name="_Toc39827534"/>
      <w:bookmarkStart w:id="23" w:name="_Toc4148806"/>
      <w:bookmarkStart w:id="24" w:name="_Toc3631"/>
      <w:bookmarkStart w:id="25" w:name="_Toc4102804"/>
      <w:bookmarkStart w:id="26" w:name="_Toc527970779"/>
      <w:bookmarkStart w:id="27" w:name="_Toc487214772"/>
      <w:bookmarkStart w:id="28" w:name="_Toc487729873"/>
      <w:bookmarkStart w:id="29" w:name="_Toc38213884"/>
      <w:r>
        <w:rPr>
          <w:rFonts w:hint="eastAsia" w:ascii="仿宋" w:hAnsi="仿宋" w:eastAsia="仿宋" w:cs="仿宋"/>
          <w:b/>
          <w:bCs/>
          <w:sz w:val="24"/>
          <w:szCs w:val="24"/>
          <w:highlight w:val="none"/>
        </w:rPr>
        <w:t>通用资格要求：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1.本次采购要求供应商须为中华人民共和国境内依法注册的法人或其它组织，并在人员、设备、资金等方面具有保障如期交货等承担本项目的能力。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2.单位负责人为同一人或者存在控股、管理关系的不同单位，不得参加同一标段的响应或者未划分标段的同一项目的响应。母子公司不能互用资质、业绩。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yellow"/>
          <w:lang w:val="en-US" w:eastAsia="zh-CN"/>
        </w:rPr>
      </w:pPr>
      <w:r>
        <w:rPr>
          <w:rFonts w:hint="eastAsia" w:ascii="仿宋" w:hAnsi="仿宋" w:eastAsia="仿宋" w:cs="仿宋"/>
          <w:color w:val="auto"/>
          <w:sz w:val="24"/>
          <w:szCs w:val="24"/>
          <w:highlight w:val="none"/>
          <w:lang w:val="en-US" w:eastAsia="zh-CN"/>
        </w:rPr>
        <w:t>3.供应商须为增值税一般纳税人。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4.财务要求：财务状况良好，没有处于财产被接管，破产或其他关、停、并、转状态。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5.供应商及其法定代表人近三年内在中国裁判文书网（wenshu.court.gov.cn）无行贿犯罪档案。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6.供应商未被工商行政管理机关在国家企业信用信息公示系统（www.gsxt.gov.cn）中列入“严重违法失信企业名单”。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7.供应商未被最高人民法院在“信用中国”网站（www.creditchina.gov.cn）或各级信用信息共享平台中列入失信被执行人名单。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8.未被列入《内蒙古电力（集团）有限责任公司不良行为供应商名单》和中国电力企业联合会公布的“中电联关于公布涉电力领域重点关注对象名单”。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9.本次项目不接受联合体参加采购活动。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10.本项目采用资格后审。</w:t>
      </w:r>
    </w:p>
    <w:p>
      <w:pPr>
        <w:pStyle w:val="11"/>
        <w:spacing w:line="360" w:lineRule="auto"/>
        <w:ind w:firstLine="482" w:firstLineChars="200"/>
        <w:rPr>
          <w:rFonts w:hint="eastAsia" w:ascii="仿宋" w:hAnsi="仿宋" w:eastAsia="仿宋" w:cs="仿宋"/>
          <w:b/>
          <w:bCs/>
          <w:color w:val="auto"/>
          <w:sz w:val="24"/>
          <w:szCs w:val="24"/>
          <w:highlight w:val="none"/>
          <w:shd w:val="clear" w:color="auto" w:fill="auto"/>
          <w:lang w:val="en-US" w:eastAsia="zh-CN"/>
        </w:rPr>
      </w:pPr>
      <w:r>
        <w:rPr>
          <w:rFonts w:hint="eastAsia" w:ascii="仿宋" w:hAnsi="仿宋" w:eastAsia="仿宋" w:cs="仿宋"/>
          <w:b/>
          <w:bCs/>
          <w:color w:val="auto"/>
          <w:sz w:val="24"/>
          <w:szCs w:val="24"/>
          <w:highlight w:val="none"/>
          <w:shd w:val="clear" w:color="auto" w:fill="auto"/>
          <w:lang w:val="en-US" w:eastAsia="zh-CN"/>
        </w:rPr>
        <w:t>专用资格要求：</w:t>
      </w:r>
    </w:p>
    <w:p>
      <w:pPr>
        <w:pStyle w:val="11"/>
        <w:spacing w:line="360" w:lineRule="auto"/>
        <w:ind w:firstLine="482" w:firstLineChars="200"/>
        <w:rPr>
          <w:rFonts w:hint="eastAsia" w:ascii="仿宋" w:hAnsi="仿宋" w:eastAsia="仿宋" w:cs="仿宋"/>
          <w:b/>
          <w:bCs/>
          <w:color w:val="auto"/>
          <w:sz w:val="24"/>
          <w:szCs w:val="24"/>
          <w:highlight w:val="none"/>
          <w:shd w:val="clear" w:color="auto" w:fill="auto"/>
          <w:lang w:val="en-US" w:eastAsia="zh-CN"/>
        </w:rPr>
      </w:pPr>
      <w:r>
        <w:rPr>
          <w:rFonts w:hint="eastAsia" w:ascii="仿宋" w:hAnsi="仿宋" w:eastAsia="仿宋" w:cs="仿宋"/>
          <w:b/>
          <w:bCs/>
          <w:color w:val="auto"/>
          <w:sz w:val="24"/>
          <w:szCs w:val="24"/>
          <w:highlight w:val="none"/>
          <w:shd w:val="clear" w:color="auto" w:fill="auto"/>
          <w:lang w:val="en-US" w:eastAsia="zh-CN"/>
        </w:rPr>
        <w:t>标段16(设备租赁)专用资格要求：</w:t>
      </w:r>
    </w:p>
    <w:p>
      <w:pPr>
        <w:pStyle w:val="11"/>
        <w:numPr>
          <w:ilvl w:val="0"/>
          <w:numId w:val="0"/>
        </w:num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shd w:val="clear" w:color="auto" w:fill="auto"/>
          <w:lang w:val="en-US" w:eastAsia="zh-CN"/>
        </w:rPr>
        <w:t>1.</w:t>
      </w:r>
      <w:r>
        <w:rPr>
          <w:rFonts w:hint="eastAsia" w:ascii="仿宋" w:hAnsi="仿宋" w:eastAsia="仿宋" w:cs="仿宋"/>
          <w:b w:val="0"/>
          <w:bCs w:val="0"/>
          <w:color w:val="auto"/>
          <w:sz w:val="24"/>
          <w:szCs w:val="24"/>
          <w:highlight w:val="none"/>
          <w:lang w:val="en-US" w:eastAsia="zh-CN"/>
        </w:rPr>
        <w:t>近年内（2019年11月1日至今，以合同签订时间为准）至少承揽过1项云服务器类似业绩。（同一业绩证明文件以合同和相对应的发票为准）</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采购文件的获取</w:t>
      </w:r>
      <w:bookmarkEnd w:id="18"/>
      <w:bookmarkEnd w:id="19"/>
      <w:bookmarkEnd w:id="20"/>
      <w:bookmarkEnd w:id="21"/>
      <w:bookmarkEnd w:id="22"/>
      <w:bookmarkEnd w:id="23"/>
      <w:bookmarkEnd w:id="24"/>
      <w:bookmarkEnd w:id="25"/>
      <w:bookmarkEnd w:id="26"/>
      <w:bookmarkEnd w:id="27"/>
      <w:bookmarkEnd w:id="28"/>
      <w:bookmarkEnd w:id="29"/>
    </w:p>
    <w:p>
      <w:pPr>
        <w:pStyle w:val="2"/>
        <w:numPr>
          <w:ilvl w:val="0"/>
          <w:numId w:val="2"/>
        </w:numPr>
        <w:spacing w:line="360" w:lineRule="auto"/>
        <w:rPr>
          <w:rFonts w:hint="eastAsia" w:ascii="仿宋" w:hAnsi="仿宋" w:eastAsia="仿宋" w:cs="仿宋"/>
          <w:b w:val="0"/>
          <w:bCs/>
          <w:color w:val="auto"/>
          <w:sz w:val="24"/>
          <w:highlight w:val="none"/>
          <w:lang w:val="en-US" w:eastAsia="zh-CN"/>
        </w:rPr>
      </w:pPr>
      <w:bookmarkStart w:id="30" w:name="_Toc27302"/>
      <w:r>
        <w:rPr>
          <w:rFonts w:hint="eastAsia" w:ascii="仿宋" w:hAnsi="仿宋" w:eastAsia="仿宋" w:cs="仿宋"/>
          <w:b w:val="0"/>
          <w:bCs/>
          <w:color w:val="auto"/>
          <w:sz w:val="24"/>
          <w:highlight w:val="none"/>
          <w:lang w:val="en-US" w:eastAsia="zh-CN"/>
        </w:rPr>
        <w:t>获取时间及方式：本项目实行获取采购文件。凡有意参加响应者，请于</w:t>
      </w:r>
      <w:r>
        <w:rPr>
          <w:rFonts w:hint="eastAsia" w:ascii="仿宋" w:hAnsi="仿宋" w:eastAsia="仿宋" w:cs="仿宋"/>
          <w:b w:val="0"/>
          <w:bCs/>
          <w:sz w:val="24"/>
          <w:szCs w:val="32"/>
          <w:u w:val="single"/>
          <w:lang w:val="en-US" w:eastAsia="zh-CN"/>
        </w:rPr>
        <w:t>2022年12月02日</w:t>
      </w:r>
      <w:r>
        <w:rPr>
          <w:rFonts w:hint="eastAsia" w:ascii="仿宋" w:hAnsi="仿宋" w:eastAsia="仿宋" w:cs="仿宋"/>
          <w:b w:val="0"/>
          <w:bCs/>
          <w:sz w:val="24"/>
          <w:szCs w:val="32"/>
          <w:u w:val="single"/>
        </w:rPr>
        <w:t>至</w:t>
      </w:r>
      <w:r>
        <w:rPr>
          <w:rFonts w:hint="eastAsia" w:ascii="仿宋" w:hAnsi="仿宋" w:eastAsia="仿宋" w:cs="仿宋"/>
          <w:b w:val="0"/>
          <w:bCs/>
          <w:sz w:val="24"/>
          <w:szCs w:val="32"/>
          <w:u w:val="single"/>
          <w:lang w:val="en-US" w:eastAsia="zh-CN"/>
        </w:rPr>
        <w:t>2022年12月06日</w:t>
      </w:r>
      <w:r>
        <w:rPr>
          <w:rFonts w:hint="eastAsia" w:ascii="仿宋" w:hAnsi="仿宋" w:eastAsia="仿宋" w:cs="仿宋"/>
          <w:b w:val="0"/>
          <w:bCs/>
          <w:sz w:val="24"/>
          <w:szCs w:val="32"/>
          <w:u w:val="single"/>
        </w:rPr>
        <w:t>17:00</w:t>
      </w:r>
      <w:r>
        <w:rPr>
          <w:rFonts w:hint="eastAsia" w:ascii="仿宋" w:hAnsi="仿宋" w:eastAsia="仿宋" w:cs="仿宋"/>
          <w:b w:val="0"/>
          <w:bCs/>
          <w:sz w:val="24"/>
          <w:szCs w:val="32"/>
          <w:u w:val="single"/>
          <w:lang w:val="en-US" w:eastAsia="zh-CN"/>
        </w:rPr>
        <w:t>前</w:t>
      </w:r>
      <w:r>
        <w:rPr>
          <w:rFonts w:hint="eastAsia" w:ascii="仿宋" w:hAnsi="仿宋" w:eastAsia="仿宋" w:cs="仿宋"/>
          <w:b w:val="0"/>
          <w:bCs/>
          <w:sz w:val="24"/>
          <w:szCs w:val="32"/>
          <w:lang w:eastAsia="zh-CN"/>
        </w:rPr>
        <w:t>（</w:t>
      </w:r>
      <w:r>
        <w:rPr>
          <w:rFonts w:hint="eastAsia" w:ascii="仿宋" w:hAnsi="仿宋" w:eastAsia="仿宋" w:cs="仿宋"/>
          <w:b w:val="0"/>
          <w:bCs/>
          <w:sz w:val="24"/>
          <w:szCs w:val="32"/>
          <w:lang w:val="en-US" w:eastAsia="zh-CN"/>
        </w:rPr>
        <w:t>北</w:t>
      </w:r>
      <w:r>
        <w:rPr>
          <w:rFonts w:hint="eastAsia" w:ascii="仿宋" w:hAnsi="仿宋" w:eastAsia="仿宋" w:cs="仿宋"/>
          <w:b w:val="0"/>
          <w:bCs/>
          <w:sz w:val="24"/>
          <w:szCs w:val="32"/>
        </w:rPr>
        <w:t>京时间</w:t>
      </w:r>
      <w:r>
        <w:rPr>
          <w:rFonts w:hint="eastAsia" w:ascii="仿宋" w:hAnsi="仿宋" w:eastAsia="仿宋" w:cs="仿宋"/>
          <w:b w:val="0"/>
          <w:bCs/>
          <w:sz w:val="24"/>
          <w:szCs w:val="32"/>
          <w:lang w:eastAsia="zh-CN"/>
        </w:rPr>
        <w:t>）</w:t>
      </w:r>
      <w:r>
        <w:rPr>
          <w:rFonts w:hint="eastAsia" w:ascii="仿宋" w:hAnsi="仿宋" w:eastAsia="仿宋" w:cs="仿宋"/>
          <w:b w:val="0"/>
          <w:bCs/>
          <w:color w:val="auto"/>
          <w:sz w:val="24"/>
          <w:highlight w:val="none"/>
          <w:lang w:val="en-US" w:eastAsia="zh-CN"/>
        </w:rPr>
        <w:t>，进入《内蒙古电力集团电子采购系统》（http://guocai-impc.cppchina.cn）在线获取采购文件，逾期不予受理。</w:t>
      </w:r>
    </w:p>
    <w:p>
      <w:pPr>
        <w:pStyle w:val="2"/>
        <w:numPr>
          <w:ilvl w:val="0"/>
          <w:numId w:val="2"/>
        </w:numPr>
        <w:spacing w:line="360" w:lineRule="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采购文件工本费：不收费。</w:t>
      </w:r>
    </w:p>
    <w:p>
      <w:pPr>
        <w:pStyle w:val="2"/>
        <w:numPr>
          <w:ilvl w:val="0"/>
          <w:numId w:val="2"/>
        </w:numPr>
        <w:spacing w:line="360" w:lineRule="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客服电话：供应商下载采购文件失败或遇到其他问题请拨打客服电话：400-9913-966(周一～周五</w:t>
      </w:r>
      <w:r>
        <w:rPr>
          <w:rFonts w:hint="eastAsia" w:ascii="仿宋" w:hAnsi="仿宋" w:eastAsia="仿宋" w:cs="仿宋"/>
          <w:color w:val="auto"/>
          <w:sz w:val="24"/>
          <w:szCs w:val="24"/>
          <w:highlight w:val="none"/>
        </w:rPr>
        <w:t>8：30-20：30</w:t>
      </w:r>
      <w:r>
        <w:rPr>
          <w:rFonts w:hint="eastAsia" w:ascii="仿宋" w:hAnsi="仿宋" w:eastAsia="仿宋" w:cs="仿宋"/>
          <w:b w:val="0"/>
          <w:bCs/>
          <w:color w:val="auto"/>
          <w:sz w:val="24"/>
          <w:highlight w:val="none"/>
          <w:lang w:val="en-US" w:eastAsia="zh-CN"/>
        </w:rPr>
        <w:t>)联系咨询。</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获取方式: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shd w:val="clear" w:color="auto" w:fill="auto"/>
          <w:lang w:val="en-US" w:eastAsia="zh-CN"/>
        </w:rPr>
        <w:t>（1）供应商基本信息注册：凡第一次参与内蒙古电力公司的各类采购项目的供应商，在响应前需要在内蒙古电力公司物资管理信息系统--“内蒙古电力（集团）有限责任公司电子商务平台（http://wzglb.impc.com.cn:82）”，</w:t>
      </w:r>
      <w:r>
        <w:rPr>
          <w:rFonts w:hint="eastAsia" w:ascii="仿宋" w:hAnsi="仿宋" w:eastAsia="仿宋" w:cs="仿宋"/>
          <w:color w:val="auto"/>
          <w:sz w:val="24"/>
          <w:szCs w:val="24"/>
          <w:highlight w:val="none"/>
        </w:rPr>
        <w:t>进行供应商基本信息注册，前述工作完成后方可开始投标。</w:t>
      </w:r>
    </w:p>
    <w:p>
      <w:pPr>
        <w:pageBreakBefore w:val="0"/>
        <w:kinsoku/>
        <w:overflowPunct/>
        <w:topLinePunct w:val="0"/>
        <w:bidi w:val="0"/>
        <w:spacing w:before="240" w:line="360" w:lineRule="auto"/>
        <w:ind w:firstLine="480" w:firstLineChars="200"/>
        <w:contextualSpacing/>
        <w:textAlignment w:val="auto"/>
        <w:rPr>
          <w:rFonts w:hint="eastAsia" w:ascii="仿宋" w:hAnsi="仿宋" w:eastAsia="仿宋" w:cs="仿宋"/>
          <w:lang w:val="en-US" w:eastAsia="zh-CN"/>
        </w:rPr>
      </w:pPr>
      <w:r>
        <w:rPr>
          <w:rFonts w:hint="eastAsia" w:ascii="仿宋" w:hAnsi="仿宋" w:eastAsia="仿宋" w:cs="仿宋"/>
          <w:color w:val="auto"/>
          <w:sz w:val="24"/>
          <w:highlight w:val="none"/>
          <w:lang w:val="en-US" w:eastAsia="zh-CN"/>
        </w:rPr>
        <w:t>具体流程为：</w:t>
      </w:r>
      <w:r>
        <w:rPr>
          <w:rFonts w:hint="eastAsia" w:ascii="仿宋" w:hAnsi="仿宋" w:eastAsia="仿宋" w:cs="仿宋"/>
          <w:sz w:val="24"/>
          <w:szCs w:val="24"/>
          <w:highlight w:val="none"/>
        </w:rPr>
        <w:t>登录平台→查看最新招标项目→供应商下载</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文件。平台联系电话：400-9913-966。</w:t>
      </w:r>
    </w:p>
    <w:p>
      <w:pPr>
        <w:spacing w:after="0" w:line="360" w:lineRule="auto"/>
        <w:ind w:firstLine="480" w:firstLineChars="20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2）投标单位须凭【中招互连】APP办理项目后续电子响应事宜，之前未进行注册【中招互连】APP的企业需要登录内蒙古电力集团电子采购系统，根据提示即可在线办理相关事宜，后续所有流程全部扫码登录，扫码签章，扫码加密，扫码解密。</w:t>
      </w:r>
    </w:p>
    <w:p>
      <w:pPr>
        <w:spacing w:after="0" w:line="360" w:lineRule="auto"/>
        <w:ind w:firstLine="480" w:firstLineChars="20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 xml:space="preserve">注：1、之前使用实体CA的企业可以继续使用，CA证书到期后再进行注册【中招互连】APP。  </w:t>
      </w:r>
    </w:p>
    <w:p>
      <w:pPr>
        <w:spacing w:after="0" w:line="360" w:lineRule="auto"/>
        <w:ind w:firstLine="480" w:firstLineChars="20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2、目前处于CA、扫码交替阶段，供应商需要注意以下事项：</w:t>
      </w:r>
    </w:p>
    <w:p>
      <w:pPr>
        <w:spacing w:after="0" w:line="360" w:lineRule="auto"/>
        <w:ind w:firstLine="480" w:firstLineChars="20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（1）避免使用CA加密，而使用扫码解密。反之同理。</w:t>
      </w:r>
    </w:p>
    <w:p>
      <w:pPr>
        <w:spacing w:after="0" w:line="360" w:lineRule="auto"/>
        <w:ind w:firstLine="480" w:firstLineChars="20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（2）扫码登录，扫码签章，扫码加密，扫码解密， 登录APP的手机号必须保持一致。</w:t>
      </w:r>
    </w:p>
    <w:p>
      <w:pPr>
        <w:spacing w:after="0" w:line="360" w:lineRule="auto"/>
        <w:ind w:firstLine="482" w:firstLineChars="200"/>
        <w:rPr>
          <w:rFonts w:hint="eastAsia" w:ascii="仿宋" w:hAnsi="仿宋" w:eastAsia="仿宋" w:cs="仿宋"/>
          <w:b/>
          <w:bCs/>
          <w:color w:val="auto"/>
          <w:sz w:val="24"/>
          <w:szCs w:val="24"/>
        </w:rPr>
      </w:pPr>
      <w:r>
        <w:rPr>
          <w:rFonts w:hint="eastAsia" w:ascii="仿宋" w:hAnsi="仿宋" w:eastAsia="仿宋" w:cs="仿宋"/>
          <w:b/>
          <w:bCs/>
          <w:color w:val="auto"/>
          <w:sz w:val="24"/>
          <w:highlight w:val="none"/>
          <w:lang w:val="en-US" w:eastAsia="zh-CN"/>
        </w:rPr>
        <w:t>5.</w:t>
      </w:r>
      <w:r>
        <w:rPr>
          <w:rFonts w:hint="eastAsia" w:ascii="仿宋" w:hAnsi="仿宋" w:eastAsia="仿宋" w:cs="仿宋"/>
          <w:b/>
          <w:color w:val="auto"/>
          <w:sz w:val="24"/>
          <w:szCs w:val="24"/>
          <w:lang w:val="en-US" w:eastAsia="zh-CN"/>
        </w:rPr>
        <w:t>获取文件</w:t>
      </w:r>
      <w:r>
        <w:rPr>
          <w:rFonts w:hint="eastAsia" w:ascii="仿宋" w:hAnsi="仿宋" w:eastAsia="仿宋" w:cs="仿宋"/>
          <w:b/>
          <w:color w:val="auto"/>
          <w:sz w:val="24"/>
          <w:szCs w:val="24"/>
        </w:rPr>
        <w:t>时需上传下列资料盖章扫描件：</w:t>
      </w:r>
      <w:r>
        <w:rPr>
          <w:rFonts w:hint="eastAsia" w:ascii="仿宋" w:hAnsi="仿宋" w:eastAsia="仿宋" w:cs="仿宋"/>
          <w:b/>
          <w:bCs/>
          <w:color w:val="auto"/>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法定代表人授权委托书；</w:t>
      </w:r>
      <w:r>
        <w:rPr>
          <w:rFonts w:hint="eastAsia" w:ascii="仿宋" w:hAnsi="仿宋" w:eastAsia="仿宋" w:cs="仿宋"/>
          <w:color w:val="auto"/>
          <w:sz w:val="24"/>
          <w:szCs w:val="24"/>
          <w:highlight w:val="none"/>
          <w:lang w:val="en-US" w:eastAsia="zh-CN"/>
        </w:rPr>
        <w:t>（格式详见附件）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80" w:leftChars="0"/>
        <w:jc w:val="both"/>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（2）统一社会信用代码的营业执照扫描件；</w:t>
      </w:r>
    </w:p>
    <w:p>
      <w:pPr>
        <w:keepNext w:val="0"/>
        <w:keepLines w:val="0"/>
        <w:pageBreakBefore w:val="0"/>
        <w:widowControl w:val="0"/>
        <w:numPr>
          <w:ilvl w:val="0"/>
          <w:numId w:val="0"/>
        </w:numPr>
        <w:kinsoku/>
        <w:wordWrap/>
        <w:overflowPunct/>
        <w:topLinePunct w:val="0"/>
        <w:autoSpaceDE/>
        <w:autoSpaceDN/>
        <w:bidi w:val="0"/>
        <w:adjustRightInd/>
        <w:snapToGrid/>
        <w:spacing w:before="240" w:line="360" w:lineRule="auto"/>
        <w:ind w:firstLine="480" w:firstLineChars="200"/>
        <w:contextualSpacing/>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公告附表中的专用资格要求的内容；</w:t>
      </w:r>
    </w:p>
    <w:p>
      <w:pPr>
        <w:keepNext w:val="0"/>
        <w:keepLines w:val="0"/>
        <w:pageBreakBefore w:val="0"/>
        <w:widowControl w:val="0"/>
        <w:numPr>
          <w:ilvl w:val="0"/>
          <w:numId w:val="0"/>
        </w:numPr>
        <w:kinsoku/>
        <w:wordWrap/>
        <w:overflowPunct/>
        <w:topLinePunct w:val="0"/>
        <w:autoSpaceDE/>
        <w:autoSpaceDN/>
        <w:bidi w:val="0"/>
        <w:adjustRightInd/>
        <w:snapToGrid/>
        <w:spacing w:before="240" w:line="360" w:lineRule="auto"/>
        <w:ind w:firstLine="480" w:firstLineChars="200"/>
        <w:contextualSpacing/>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提供</w:t>
      </w:r>
      <w:r>
        <w:rPr>
          <w:rFonts w:hint="eastAsia" w:ascii="仿宋" w:hAnsi="仿宋" w:eastAsia="仿宋" w:cs="仿宋"/>
          <w:color w:val="auto"/>
          <w:sz w:val="24"/>
          <w:szCs w:val="24"/>
          <w:highlight w:val="none"/>
          <w:lang w:eastAsia="zh-CN"/>
        </w:rPr>
        <w:t>一般纳税人证明材料扫描件；</w:t>
      </w:r>
    </w:p>
    <w:p>
      <w:pPr>
        <w:keepNext w:val="0"/>
        <w:keepLines w:val="0"/>
        <w:pageBreakBefore w:val="0"/>
        <w:widowControl w:val="0"/>
        <w:numPr>
          <w:ilvl w:val="0"/>
          <w:numId w:val="0"/>
        </w:numPr>
        <w:kinsoku/>
        <w:wordWrap/>
        <w:overflowPunct/>
        <w:topLinePunct w:val="0"/>
        <w:autoSpaceDE/>
        <w:autoSpaceDN/>
        <w:bidi w:val="0"/>
        <w:adjustRightInd/>
        <w:snapToGrid/>
        <w:spacing w:before="240" w:line="360" w:lineRule="auto"/>
        <w:ind w:firstLine="480" w:firstLineChars="200"/>
        <w:contextualSpacing/>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highlight w:val="none"/>
        </w:rPr>
        <w:t>企业名称如有变更，需提供有关行政机关提供的变更证明；</w:t>
      </w:r>
      <w:bookmarkStart w:id="31" w:name="page10"/>
      <w:bookmarkEnd w:id="31"/>
    </w:p>
    <w:p>
      <w:pPr>
        <w:keepNext w:val="0"/>
        <w:keepLines w:val="0"/>
        <w:pageBreakBefore w:val="0"/>
        <w:widowControl w:val="0"/>
        <w:numPr>
          <w:ilvl w:val="0"/>
          <w:numId w:val="0"/>
        </w:numPr>
        <w:kinsoku/>
        <w:wordWrap/>
        <w:overflowPunct/>
        <w:topLinePunct w:val="0"/>
        <w:autoSpaceDE/>
        <w:autoSpaceDN/>
        <w:bidi w:val="0"/>
        <w:adjustRightInd/>
        <w:snapToGrid/>
        <w:spacing w:before="240" w:line="360" w:lineRule="auto"/>
        <w:ind w:firstLine="480" w:firstLineChars="200"/>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供应商需提供在国家企业信用</w:t>
      </w:r>
      <w:r>
        <w:rPr>
          <w:rFonts w:hint="eastAsia" w:ascii="仿宋" w:hAnsi="仿宋" w:eastAsia="仿宋" w:cs="仿宋"/>
          <w:color w:val="auto"/>
          <w:sz w:val="24"/>
          <w:szCs w:val="24"/>
          <w:highlight w:val="none"/>
          <w:lang w:val="en-US" w:eastAsia="zh-CN"/>
        </w:rPr>
        <w:t>信息</w:t>
      </w:r>
      <w:r>
        <w:rPr>
          <w:rFonts w:hint="eastAsia" w:ascii="仿宋" w:hAnsi="仿宋" w:eastAsia="仿宋" w:cs="仿宋"/>
          <w:color w:val="auto"/>
          <w:sz w:val="24"/>
          <w:szCs w:val="24"/>
          <w:highlight w:val="none"/>
        </w:rPr>
        <w:t>公示系统（www.gsxt.gov.cn）查询的“严重违法失信企业名单”信息的查询结果截图。</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详见附件）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供应商及其法定代表人近三年内在中国裁判文书（wenshu.court.gov.cn）无行贿犯罪档案的查询结果截图。</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详见附件）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需提供</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在“信用中国”网站（www.creditchina.gov.cn）或各级信用信息共享平台中列入失信被执行人名单信息的查询结果截图</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（详见附件）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（9）提供《响应真实性承诺书》。（详见附件）</w:t>
      </w:r>
    </w:p>
    <w:p>
      <w:pPr>
        <w:pageBreakBefore w:val="0"/>
        <w:kinsoku/>
        <w:overflowPunct/>
        <w:topLinePunct w:val="0"/>
        <w:bidi w:val="0"/>
        <w:spacing w:before="240" w:line="360" w:lineRule="auto"/>
        <w:ind w:firstLine="482" w:firstLineChars="200"/>
        <w:contextualSpacing/>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6.说明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bookmarkStart w:id="32" w:name="_Toc9869"/>
      <w:r>
        <w:rPr>
          <w:rFonts w:hint="eastAsia" w:ascii="仿宋" w:hAnsi="仿宋" w:eastAsia="仿宋" w:cs="仿宋"/>
          <w:color w:val="auto"/>
          <w:sz w:val="24"/>
          <w:szCs w:val="24"/>
          <w:highlight w:val="none"/>
          <w:lang w:val="en-US" w:eastAsia="zh-CN"/>
        </w:rPr>
        <w:t>资料如无法查真，需由供应商提供有效查询路径。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（2）在评审及定标阶段，对供应商资质、业绩等资格要求进行严格的真实性核查；经核实存在资格证明材料造假或信息不实的，采购人将按照公司《物资供应商不良行为管理办法》的规定进行处罚。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（3）供应商在中标候选人公示结束前发生不良行为被处理的，取消其中标资格。</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响应文件递交方式</w:t>
      </w:r>
      <w:bookmarkEnd w:id="32"/>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kern w:val="2"/>
          <w:sz w:val="24"/>
          <w:szCs w:val="24"/>
          <w:highlight w:val="none"/>
          <w:lang w:val="en-US" w:eastAsia="zh-CN" w:bidi="ar-SA"/>
        </w:rPr>
        <w:t>1.递交截止时间：</w:t>
      </w:r>
      <w:r>
        <w:rPr>
          <w:rFonts w:hint="eastAsia" w:ascii="仿宋" w:hAnsi="仿宋" w:eastAsia="仿宋" w:cs="仿宋"/>
          <w:b w:val="0"/>
          <w:bCs/>
          <w:color w:val="auto"/>
          <w:sz w:val="24"/>
          <w:szCs w:val="24"/>
          <w:highlight w:val="none"/>
          <w:lang w:val="en-US" w:eastAsia="zh-CN"/>
        </w:rPr>
        <w:t>2022年12月08日09时00分(北京时间)。</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2.递交方式：电子响应文件请于响应截止时间之前上传到“内蒙古电力集团电子采购系统”，响应截止时间后上传的响应文件恕不接收。本项目采用远程开标方式，不接收纸质响应</w:t>
      </w:r>
      <w:r>
        <w:rPr>
          <w:rFonts w:hint="eastAsia" w:ascii="仿宋" w:hAnsi="仿宋" w:eastAsia="仿宋" w:cs="仿宋"/>
          <w:color w:val="auto"/>
          <w:sz w:val="24"/>
          <w:szCs w:val="24"/>
          <w:highlight w:val="none"/>
          <w:lang w:val="en-US" w:eastAsia="zh-CN"/>
        </w:rPr>
        <w:t>文件，逾期上传的响应文件，将不予接收。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响应文件加密：供应商对网上递交的响应文件应加密。使用数字证书（CA）或登录【中招互连】APP对响应文件进行加密功能（如果供应商使用A手机号码对响应文件进行了扫码加密，必须需要使用A手机号码进行扫码解密，才能读取或导入响应文件）。</w:t>
      </w:r>
    </w:p>
    <w:p>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仿宋" w:hAnsi="仿宋" w:eastAsia="仿宋" w:cs="仿宋"/>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sz w:val="24"/>
          <w:highlight w:val="none"/>
        </w:rPr>
        <w:t>依据《电子招标投标办法》第二十七条规定，供应商应当在投标截止时间前完成响应性文件的传输递交，并可以补充、修改或者撤回响应性文件。投标截止时间前未完成响应性文件传输的，视为撤回响应性文件，投标截止时间后送达的响应性文件，电子招标投标交易系统应当拒收。</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bookmarkStart w:id="33" w:name="_Toc4513"/>
      <w:r>
        <w:rPr>
          <w:rFonts w:hint="eastAsia" w:ascii="仿宋" w:hAnsi="仿宋" w:eastAsia="仿宋" w:cs="仿宋"/>
          <w:b/>
          <w:color w:val="auto"/>
          <w:sz w:val="32"/>
          <w:szCs w:val="32"/>
          <w:highlight w:val="none"/>
          <w:lang w:val="en-US" w:eastAsia="zh-CN"/>
        </w:rPr>
        <w:t>递交响应文件的截止时间</w:t>
      </w:r>
      <w:bookmarkEnd w:id="30"/>
      <w:r>
        <w:rPr>
          <w:rFonts w:hint="eastAsia" w:ascii="仿宋" w:hAnsi="仿宋" w:eastAsia="仿宋" w:cs="仿宋"/>
          <w:b/>
          <w:color w:val="auto"/>
          <w:sz w:val="32"/>
          <w:szCs w:val="32"/>
          <w:highlight w:val="none"/>
          <w:lang w:val="en-US" w:eastAsia="zh-CN"/>
        </w:rPr>
        <w:t>及解密时间</w:t>
      </w:r>
      <w:bookmarkEnd w:id="33"/>
    </w:p>
    <w:bookmarkEnd w:id="0"/>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响应文件上传时间：</w:t>
      </w:r>
      <w:r>
        <w:rPr>
          <w:rFonts w:hint="eastAsia" w:ascii="仿宋" w:hAnsi="仿宋" w:eastAsia="仿宋" w:cs="仿宋"/>
          <w:color w:val="auto"/>
          <w:sz w:val="24"/>
          <w:highlight w:val="none"/>
          <w:lang w:val="en-US" w:eastAsia="zh-CN"/>
        </w:rPr>
        <w:t>2022年12月02日-2022年12月08日上午</w:t>
      </w:r>
      <w:r>
        <w:rPr>
          <w:rFonts w:hint="eastAsia" w:ascii="仿宋" w:hAnsi="仿宋" w:eastAsia="仿宋" w:cs="仿宋"/>
          <w:b w:val="0"/>
          <w:bCs/>
          <w:color w:val="auto"/>
          <w:sz w:val="24"/>
          <w:szCs w:val="24"/>
          <w:highlight w:val="none"/>
          <w:lang w:val="en-US" w:eastAsia="zh-CN"/>
        </w:rPr>
        <w:t>09时00分</w:t>
      </w:r>
      <w:r>
        <w:rPr>
          <w:rFonts w:hint="eastAsia" w:ascii="仿宋" w:hAnsi="仿宋" w:eastAsia="仿宋" w:cs="仿宋"/>
          <w:color w:val="auto"/>
          <w:sz w:val="24"/>
          <w:highlight w:val="none"/>
          <w:lang w:val="en-US" w:eastAsia="zh-CN"/>
        </w:rPr>
        <w:t>（北京时间）</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递交响应文件截止时间：</w:t>
      </w:r>
      <w:r>
        <w:rPr>
          <w:rFonts w:hint="eastAsia" w:ascii="仿宋" w:hAnsi="仿宋" w:eastAsia="仿宋" w:cs="仿宋"/>
          <w:color w:val="auto"/>
          <w:sz w:val="24"/>
          <w:highlight w:val="none"/>
          <w:lang w:val="en-US" w:eastAsia="zh-CN"/>
        </w:rPr>
        <w:t>2022年12月08日上午</w:t>
      </w:r>
      <w:r>
        <w:rPr>
          <w:rFonts w:hint="eastAsia" w:ascii="仿宋" w:hAnsi="仿宋" w:eastAsia="仿宋" w:cs="仿宋"/>
          <w:b w:val="0"/>
          <w:bCs/>
          <w:color w:val="auto"/>
          <w:sz w:val="24"/>
          <w:szCs w:val="24"/>
          <w:highlight w:val="none"/>
          <w:lang w:val="en-US" w:eastAsia="zh-CN"/>
        </w:rPr>
        <w:t>09时00分</w:t>
      </w:r>
      <w:r>
        <w:rPr>
          <w:rFonts w:hint="eastAsia" w:ascii="仿宋" w:hAnsi="仿宋" w:eastAsia="仿宋" w:cs="仿宋"/>
          <w:color w:val="auto"/>
          <w:sz w:val="24"/>
          <w:highlight w:val="none"/>
          <w:lang w:val="en-US" w:eastAsia="zh-CN"/>
        </w:rPr>
        <w:t>（北京时间）</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响应文件解密开始</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lang w:val="en-US" w:eastAsia="zh-CN"/>
        </w:rPr>
        <w:t>2022年12月08日上午</w:t>
      </w:r>
      <w:r>
        <w:rPr>
          <w:rFonts w:hint="eastAsia" w:ascii="仿宋" w:hAnsi="仿宋" w:eastAsia="仿宋" w:cs="仿宋"/>
          <w:b w:val="0"/>
          <w:bCs/>
          <w:color w:val="auto"/>
          <w:sz w:val="24"/>
          <w:szCs w:val="24"/>
          <w:highlight w:val="none"/>
          <w:lang w:val="en-US" w:eastAsia="zh-CN"/>
        </w:rPr>
        <w:t>09时00分</w:t>
      </w:r>
      <w:r>
        <w:rPr>
          <w:rFonts w:hint="eastAsia" w:ascii="仿宋" w:hAnsi="仿宋" w:eastAsia="仿宋" w:cs="仿宋"/>
          <w:color w:val="auto"/>
          <w:sz w:val="24"/>
          <w:highlight w:val="none"/>
          <w:lang w:val="en-US" w:eastAsia="zh-CN"/>
        </w:rPr>
        <w:t>（北京时间）</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响应文件解密截止时间：2022年12月08日上午</w:t>
      </w:r>
      <w:r>
        <w:rPr>
          <w:rFonts w:hint="eastAsia" w:ascii="仿宋" w:hAnsi="仿宋" w:eastAsia="仿宋" w:cs="仿宋"/>
          <w:b w:val="0"/>
          <w:bCs/>
          <w:color w:val="auto"/>
          <w:sz w:val="24"/>
          <w:szCs w:val="24"/>
          <w:highlight w:val="none"/>
          <w:lang w:val="en-US" w:eastAsia="zh-CN"/>
        </w:rPr>
        <w:t>10时00分</w:t>
      </w:r>
      <w:r>
        <w:rPr>
          <w:rFonts w:hint="eastAsia" w:ascii="仿宋" w:hAnsi="仿宋" w:eastAsia="仿宋" w:cs="仿宋"/>
          <w:color w:val="auto"/>
          <w:sz w:val="24"/>
          <w:highlight w:val="none"/>
          <w:lang w:val="en-US" w:eastAsia="zh-CN"/>
        </w:rPr>
        <w:t>（北京时间）</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bookmarkStart w:id="34" w:name="_Toc7159"/>
      <w:bookmarkStart w:id="35" w:name="_Toc15286"/>
      <w:r>
        <w:rPr>
          <w:rFonts w:hint="eastAsia" w:ascii="仿宋" w:hAnsi="仿宋" w:eastAsia="仿宋" w:cs="仿宋"/>
          <w:b/>
          <w:color w:val="auto"/>
          <w:sz w:val="32"/>
          <w:szCs w:val="32"/>
          <w:highlight w:val="none"/>
          <w:lang w:val="en-US" w:eastAsia="zh-CN"/>
        </w:rPr>
        <w:t>操作流程及协商方式</w:t>
      </w:r>
      <w:bookmarkEnd w:id="34"/>
      <w:bookmarkEnd w:id="35"/>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电脑环境要求：（1）操作系统：Windows 7 、10；（2）浏览器：Internet Explorer 11、10（以管理员身份运行）或360安全浏览器；（3）办公软件：Microsoft Office 2007或WPS2019个人版；（4）PDF软件推荐： Adobe Reader。</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非以上环境可能出现错误影响其投标，登录交易平台时如提示更新插件则必须更新，否则影响其电子投标。</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开标前签到流程：</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进入【网上开标】菜单→进入开标厅→点击“点此签到”按钮→点击右上角“签到”按钮→自动在签到表加盖法人章→最后点击“保存”按钮。</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2.解密方式：</w:t>
      </w:r>
      <w:r>
        <w:rPr>
          <w:rFonts w:hint="eastAsia" w:ascii="仿宋" w:hAnsi="仿宋" w:eastAsia="仿宋" w:cs="仿宋"/>
          <w:b w:val="0"/>
          <w:bCs w:val="0"/>
          <w:color w:val="auto"/>
          <w:sz w:val="24"/>
          <w:szCs w:val="24"/>
          <w:highlight w:val="none"/>
        </w:rPr>
        <w:t>远程解密</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供应商于递交响应文件截止时间在原单位使用原上传文件电脑通过数字证书（CA）</w:t>
      </w:r>
      <w:r>
        <w:rPr>
          <w:rFonts w:hint="eastAsia" w:ascii="仿宋" w:hAnsi="仿宋" w:eastAsia="仿宋" w:cs="仿宋"/>
          <w:color w:val="auto"/>
          <w:sz w:val="24"/>
          <w:szCs w:val="24"/>
          <w:highlight w:val="none"/>
        </w:rPr>
        <w:t>或登录【</w:t>
      </w:r>
      <w:r>
        <w:rPr>
          <w:rFonts w:hint="eastAsia" w:ascii="仿宋" w:hAnsi="仿宋" w:eastAsia="仿宋" w:cs="仿宋"/>
          <w:color w:val="auto"/>
          <w:sz w:val="24"/>
          <w:szCs w:val="24"/>
          <w:highlight w:val="none"/>
          <w:lang w:eastAsia="zh-CN"/>
        </w:rPr>
        <w:t>中招互连</w:t>
      </w:r>
      <w:r>
        <w:rPr>
          <w:rFonts w:hint="eastAsia" w:ascii="仿宋" w:hAnsi="仿宋" w:eastAsia="仿宋" w:cs="仿宋"/>
          <w:color w:val="auto"/>
          <w:sz w:val="24"/>
          <w:szCs w:val="24"/>
          <w:highlight w:val="none"/>
        </w:rPr>
        <w:t>】APP或进行响应文件的远程解密（届时请持上传文件时所使用的手机提前30分钟等候在电脑前准备参加文件解密，需保持电脑网络通畅）。</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注：供应商也可携带</w:t>
      </w:r>
      <w:r>
        <w:rPr>
          <w:rFonts w:hint="eastAsia" w:ascii="仿宋" w:hAnsi="仿宋" w:eastAsia="仿宋" w:cs="仿宋"/>
          <w:b w:val="0"/>
          <w:bCs w:val="0"/>
          <w:color w:val="auto"/>
          <w:sz w:val="24"/>
          <w:szCs w:val="24"/>
          <w:highlight w:val="none"/>
        </w:rPr>
        <w:t>原上传文件电脑</w:t>
      </w:r>
      <w:r>
        <w:rPr>
          <w:rFonts w:hint="eastAsia" w:ascii="仿宋" w:hAnsi="仿宋" w:eastAsia="仿宋" w:cs="仿宋"/>
          <w:color w:val="auto"/>
          <w:kern w:val="2"/>
          <w:sz w:val="24"/>
          <w:szCs w:val="24"/>
          <w:highlight w:val="none"/>
          <w:lang w:val="en-US" w:eastAsia="zh-CN" w:bidi="ar-SA"/>
        </w:rPr>
        <w:t>提前45分钟抵达解密地点，届时请供应商代表在</w:t>
      </w:r>
      <w:r>
        <w:rPr>
          <w:rFonts w:hint="eastAsia" w:ascii="仿宋" w:hAnsi="仿宋" w:eastAsia="仿宋" w:cs="仿宋"/>
          <w:b w:val="0"/>
          <w:bCs w:val="0"/>
          <w:color w:val="auto"/>
          <w:sz w:val="24"/>
          <w:szCs w:val="24"/>
          <w:highlight w:val="none"/>
        </w:rPr>
        <w:t>原上传文件电脑</w:t>
      </w:r>
      <w:r>
        <w:rPr>
          <w:rFonts w:hint="eastAsia" w:ascii="仿宋" w:hAnsi="仿宋" w:eastAsia="仿宋" w:cs="仿宋"/>
          <w:color w:val="auto"/>
          <w:kern w:val="2"/>
          <w:sz w:val="24"/>
          <w:szCs w:val="24"/>
          <w:highlight w:val="none"/>
          <w:lang w:val="en-US" w:eastAsia="zh-CN" w:bidi="ar-SA"/>
        </w:rPr>
        <w:t>前准备参加解密，并按照场所疫情防控要求做好疫情防护。</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开标地点：</w:t>
      </w:r>
      <w:r>
        <w:rPr>
          <w:rFonts w:hint="eastAsia" w:ascii="仿宋" w:hAnsi="仿宋" w:eastAsia="仿宋" w:cs="仿宋"/>
          <w:b/>
          <w:bCs/>
          <w:color w:val="auto"/>
          <w:sz w:val="24"/>
          <w:szCs w:val="24"/>
          <w:highlight w:val="none"/>
          <w:lang w:val="en-US" w:eastAsia="zh-CN"/>
        </w:rPr>
        <w:t>内蒙古电子招标投标交易平台开标室</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地址：</w:t>
      </w:r>
      <w:r>
        <w:rPr>
          <w:rFonts w:hint="eastAsia" w:ascii="仿宋" w:hAnsi="仿宋" w:eastAsia="仿宋" w:cs="仿宋"/>
          <w:b/>
          <w:bCs/>
          <w:color w:val="auto"/>
          <w:sz w:val="24"/>
          <w:szCs w:val="24"/>
          <w:highlight w:val="none"/>
        </w:rPr>
        <w:t>鄂尔多斯市康巴什区日兴大厦7楼</w:t>
      </w:r>
      <w:r>
        <w:rPr>
          <w:rFonts w:hint="eastAsia" w:ascii="仿宋" w:hAnsi="仿宋" w:eastAsia="仿宋" w:cs="仿宋"/>
          <w:b/>
          <w:bCs/>
          <w:color w:val="auto"/>
          <w:sz w:val="24"/>
          <w:szCs w:val="24"/>
          <w:highlight w:val="none"/>
          <w:lang w:val="en-US" w:eastAsia="zh-CN"/>
        </w:rPr>
        <w:t>开标室</w:t>
      </w:r>
    </w:p>
    <w:p>
      <w:pPr>
        <w:pageBreakBefore w:val="0"/>
        <w:kinsoku/>
        <w:overflowPunct/>
        <w:topLinePunct w:val="0"/>
        <w:bidi w:val="0"/>
        <w:spacing w:before="240" w:line="360" w:lineRule="auto"/>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如果递交响应文件截止时间有改变，采购代理机构将提前通知，逾期提交的响应文件将不予受理。</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3.解密后报价确认流程：</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进入【网上开标】菜单→进入开标厅→点击“点此签字”按钮→点击右上角“签字“按钮→自动在签到表加盖法人章→最后点击“保存”按钮。</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4.二次报价流程：</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进入【网上评标】菜单→进入“应答室”→“点此报价”按钮→填写报价→提交报价确认表签字→进入“应答室”→“点此签字”按钮→点击右上角“签字”按钮→自动在最终报价记录表加盖法人章→最后点击“保存”按钮。</w:t>
      </w:r>
    </w:p>
    <w:p>
      <w:pPr>
        <w:pStyle w:val="2"/>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请供应商按公告时间及时参与相关签到、解密及确认工作，签到、解密及确认过程中有任何问题请及时与系统沟通联系解决（</w:t>
      </w:r>
      <w:r>
        <w:rPr>
          <w:rFonts w:hint="eastAsia" w:ascii="仿宋" w:hAnsi="仿宋" w:eastAsia="仿宋" w:cs="仿宋"/>
          <w:color w:val="auto"/>
          <w:sz w:val="24"/>
          <w:szCs w:val="24"/>
          <w:highlight w:val="none"/>
          <w:lang w:val="en-US" w:eastAsia="zh-CN"/>
        </w:rPr>
        <w:t>400-9913-966，</w:t>
      </w:r>
      <w:r>
        <w:rPr>
          <w:rFonts w:hint="eastAsia" w:ascii="仿宋" w:hAnsi="仿宋" w:eastAsia="仿宋" w:cs="仿宋"/>
          <w:color w:val="auto"/>
          <w:sz w:val="24"/>
          <w:szCs w:val="24"/>
          <w:highlight w:val="none"/>
        </w:rPr>
        <w:t>周一至周五，8：30-20：30），因供应商原因未在规定时间内解密响应文件，视为供应商撤销其响应文件。</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bookmarkStart w:id="36" w:name="_Toc15792"/>
      <w:r>
        <w:rPr>
          <w:rFonts w:hint="eastAsia" w:ascii="仿宋" w:hAnsi="仿宋" w:eastAsia="仿宋" w:cs="仿宋"/>
          <w:b/>
          <w:color w:val="auto"/>
          <w:sz w:val="32"/>
          <w:szCs w:val="32"/>
          <w:highlight w:val="none"/>
          <w:lang w:val="en-US" w:eastAsia="zh-CN"/>
        </w:rPr>
        <w:t>评审方式</w:t>
      </w:r>
      <w:bookmarkEnd w:id="36"/>
    </w:p>
    <w:p>
      <w:pPr>
        <w:pStyle w:val="2"/>
        <w:keepNext w:val="0"/>
        <w:keepLines w:val="0"/>
        <w:pageBreakBefore w:val="0"/>
        <w:kinsoku/>
        <w:wordWrap/>
        <w:overflowPunct/>
        <w:topLinePunct w:val="0"/>
        <w:autoSpaceDE/>
        <w:autoSpaceDN/>
        <w:bidi w:val="0"/>
        <w:snapToGrid/>
        <w:spacing w:line="360" w:lineRule="auto"/>
        <w:textAlignment w:val="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lang w:val="en-US" w:eastAsia="zh-CN"/>
        </w:rPr>
        <w:t>经评审的最低价法。</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bookmarkStart w:id="37" w:name="_Toc27657"/>
      <w:r>
        <w:rPr>
          <w:rFonts w:hint="eastAsia" w:ascii="仿宋" w:hAnsi="仿宋" w:eastAsia="仿宋" w:cs="仿宋"/>
          <w:b/>
          <w:color w:val="auto"/>
          <w:sz w:val="32"/>
          <w:szCs w:val="32"/>
          <w:highlight w:val="none"/>
          <w:lang w:val="en-US" w:eastAsia="zh-CN"/>
        </w:rPr>
        <w:t>采购费用</w:t>
      </w:r>
      <w:bookmarkEnd w:id="37"/>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bookmarkStart w:id="38" w:name="_Toc25957"/>
      <w:r>
        <w:rPr>
          <w:rFonts w:hint="eastAsia" w:ascii="仿宋" w:hAnsi="仿宋" w:eastAsia="仿宋" w:cs="仿宋"/>
          <w:color w:val="auto"/>
          <w:sz w:val="24"/>
          <w:szCs w:val="24"/>
          <w:highlight w:val="none"/>
          <w:lang w:val="en-US" w:eastAsia="zh-CN"/>
        </w:rPr>
        <w:t>1.保证金投标保证金要求：详见采购文件第二章供应商须知中相关要求。</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2.代理服务费：由成交单位缴纳代理服务费，收取办法参照内工建协（2016）17号文件执行。</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3.内蒙古电力集团电子采购系统使用服务费：本项目采用全流程电子采购，每标段每家供应商需（在获取采购文件后，上传响应文件前）在线向电子交易平台缴纳电子响应服务费300元/标段/次。</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4.电子交易场所服务费</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每标段中标人需向内蒙古电子招标投标交易平台缴纳平台使用服务费，场所服务费由中标人缴纳中标金额的千分之一，四舍五入到元，不足500元按照500元计取；框架、费率等没有实际中标金额的每家中标人收取1000元，中标金额上不封顶。服务费缴纳方式为现金或公对公转账。</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单位名称：内蒙古网佳招标公共服务平台运营有限公司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账    号：0602004109200022157</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 户 行：中国工商银行股份有限公司呼和浩特市军区支行（汇款时请务必公对公转账并备注：代理机构名称及开标日期）</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开票联系电话：0471-3261228</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邮箱地址：wjzbcw@126.com（中标人缴纳成功后，将缴纳凭证扫描件或截图发送至此邮箱，以便核实开具发票。）</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5.成交供应商须在成交结果公告发布后次日起，三个工作日内完成代理服务费、场地服务费的缴纳，如未按时缴纳费用将按照《不良行为供应商管理办法》进行处罚。</w:t>
      </w:r>
    </w:p>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公告发布的媒介</w:t>
      </w:r>
      <w:bookmarkEnd w:id="38"/>
    </w:p>
    <w:p>
      <w:pPr>
        <w:pageBreakBefore w:val="0"/>
        <w:kinsoku/>
        <w:overflowPunct/>
        <w:topLinePunct w:val="0"/>
        <w:bidi w:val="0"/>
        <w:spacing w:before="240" w:line="360" w:lineRule="auto"/>
        <w:ind w:firstLine="480" w:firstLineChars="200"/>
        <w:contextualSpacing/>
        <w:textAlignment w:val="auto"/>
        <w:rPr>
          <w:rFonts w:hint="eastAsia" w:ascii="仿宋" w:hAnsi="仿宋" w:eastAsia="仿宋" w:cs="仿宋"/>
          <w:color w:val="auto"/>
          <w:sz w:val="24"/>
          <w:highlight w:val="none"/>
        </w:rPr>
      </w:pPr>
      <w:bookmarkStart w:id="39" w:name="_Toc39827101"/>
      <w:bookmarkStart w:id="40" w:name="_Toc39827471"/>
      <w:bookmarkStart w:id="41" w:name="_Toc38213886"/>
      <w:bookmarkStart w:id="42" w:name="_Toc39827536"/>
      <w:bookmarkStart w:id="43" w:name="_Toc487214774"/>
      <w:bookmarkStart w:id="44" w:name="_Toc487729876"/>
      <w:bookmarkStart w:id="45" w:name="_Toc449194190"/>
      <w:bookmarkStart w:id="46" w:name="_Toc449193539"/>
      <w:r>
        <w:rPr>
          <w:rFonts w:hint="eastAsia" w:ascii="仿宋" w:hAnsi="仿宋" w:eastAsia="仿宋" w:cs="仿宋"/>
          <w:color w:val="auto"/>
          <w:sz w:val="24"/>
          <w:highlight w:val="none"/>
        </w:rPr>
        <w:t>本次公告在《中国招标投标公共服务平台》（www.cebpubservice.com）、</w:t>
      </w:r>
      <w:r>
        <w:rPr>
          <w:rFonts w:hint="eastAsia" w:ascii="仿宋" w:hAnsi="仿宋" w:eastAsia="仿宋" w:cs="仿宋"/>
          <w:sz w:val="24"/>
          <w:szCs w:val="24"/>
          <w:lang w:val="en-US" w:eastAsia="zh-CN"/>
        </w:rPr>
        <w:t>《内蒙古招标投标公共服务平台》（http://zbgg.nmgztb.com.cn/）、</w:t>
      </w:r>
      <w:r>
        <w:rPr>
          <w:rFonts w:hint="eastAsia" w:ascii="仿宋" w:hAnsi="仿宋" w:eastAsia="仿宋" w:cs="仿宋"/>
          <w:color w:val="auto"/>
          <w:sz w:val="24"/>
          <w:highlight w:val="none"/>
        </w:rPr>
        <w:t>《内蒙古电力集团电子</w:t>
      </w:r>
      <w:r>
        <w:rPr>
          <w:rFonts w:hint="eastAsia" w:ascii="仿宋" w:hAnsi="仿宋" w:eastAsia="仿宋" w:cs="仿宋"/>
          <w:color w:val="auto"/>
          <w:sz w:val="24"/>
          <w:highlight w:val="none"/>
          <w:lang w:val="en-US" w:eastAsia="zh-CN"/>
        </w:rPr>
        <w:t>采购</w:t>
      </w:r>
      <w:r>
        <w:rPr>
          <w:rFonts w:hint="eastAsia" w:ascii="仿宋" w:hAnsi="仿宋" w:eastAsia="仿宋" w:cs="仿宋"/>
          <w:color w:val="auto"/>
          <w:sz w:val="24"/>
          <w:highlight w:val="none"/>
        </w:rPr>
        <w:t>系统》</w:t>
      </w:r>
      <w:r>
        <w:rPr>
          <w:rFonts w:hint="eastAsia" w:ascii="仿宋" w:hAnsi="仿宋" w:eastAsia="仿宋" w:cs="仿宋"/>
          <w:b w:val="0"/>
          <w:bCs/>
          <w:color w:val="auto"/>
          <w:sz w:val="24"/>
          <w:highlight w:val="none"/>
          <w:lang w:val="en-US" w:eastAsia="zh-CN"/>
        </w:rPr>
        <w:t>（http://guocai-impc.cppchina.cn）</w:t>
      </w:r>
      <w:r>
        <w:rPr>
          <w:rFonts w:hint="eastAsia" w:ascii="仿宋" w:hAnsi="仿宋" w:eastAsia="仿宋" w:cs="仿宋"/>
          <w:sz w:val="24"/>
          <w:szCs w:val="24"/>
          <w:highlight w:val="none"/>
          <w:lang w:val="en-US" w:eastAsia="zh-CN"/>
        </w:rPr>
        <w:t>、《内蒙古自治区企业阳光采购服务平台》（http://nmgygcg.ejy365.com/）</w:t>
      </w:r>
      <w:r>
        <w:rPr>
          <w:rFonts w:hint="eastAsia" w:ascii="仿宋" w:hAnsi="仿宋" w:eastAsia="仿宋" w:cs="仿宋"/>
          <w:color w:val="auto"/>
          <w:sz w:val="24"/>
          <w:highlight w:val="none"/>
        </w:rPr>
        <w:t>同时发布，其它媒介转发无效。</w:t>
      </w:r>
      <w:bookmarkEnd w:id="39"/>
      <w:bookmarkEnd w:id="40"/>
      <w:bookmarkEnd w:id="41"/>
      <w:bookmarkEnd w:id="42"/>
    </w:p>
    <w:bookmarkEnd w:id="43"/>
    <w:bookmarkEnd w:id="44"/>
    <w:bookmarkEnd w:id="45"/>
    <w:bookmarkEnd w:id="46"/>
    <w:p>
      <w:pPr>
        <w:pageBreakBefore w:val="0"/>
        <w:numPr>
          <w:ilvl w:val="0"/>
          <w:numId w:val="1"/>
        </w:numPr>
        <w:kinsoku/>
        <w:overflowPunct/>
        <w:topLinePunct w:val="0"/>
        <w:bidi w:val="0"/>
        <w:adjustRightInd w:val="0"/>
        <w:spacing w:beforeLines="50" w:afterLines="50" w:line="360" w:lineRule="auto"/>
        <w:ind w:left="60" w:leftChars="0" w:firstLine="420" w:firstLineChars="0"/>
        <w:contextualSpacing/>
        <w:textAlignment w:val="auto"/>
        <w:outlineLvl w:val="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联系方式</w:t>
      </w:r>
    </w:p>
    <w:p>
      <w:pPr>
        <w:pageBreakBefore w:val="0"/>
        <w:kinsoku/>
        <w:overflowPunct/>
        <w:topLinePunct w:val="0"/>
        <w:bidi w:val="0"/>
        <w:spacing w:before="240" w:line="360" w:lineRule="auto"/>
        <w:ind w:firstLine="480" w:firstLineChars="200"/>
        <w:contextualSpacing/>
        <w:textAlignment w:val="auto"/>
        <w:rPr>
          <w:rFonts w:hint="eastAsia" w:ascii="仿宋" w:hAnsi="仿宋" w:eastAsia="仿宋" w:cs="仿宋"/>
          <w:highlight w:val="none"/>
          <w:lang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lang w:eastAsia="zh-CN"/>
        </w:rPr>
        <w:t>内蒙古电力（集团）有限责任公司鄂尔多斯供电分公司物资供应处</w:t>
      </w:r>
    </w:p>
    <w:p>
      <w:pPr>
        <w:pStyle w:val="2"/>
        <w:spacing w:line="360" w:lineRule="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地址：内蒙古鄂尔多斯康巴什区</w:t>
      </w:r>
    </w:p>
    <w:p>
      <w:pPr>
        <w:pStyle w:val="2"/>
        <w:spacing w:line="360" w:lineRule="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异议受理电话：15044738222</w:t>
      </w:r>
    </w:p>
    <w:p>
      <w:pPr>
        <w:pStyle w:val="2"/>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szCs w:val="24"/>
          <w:highlight w:val="none"/>
          <w:lang w:val="en-US" w:eastAsia="zh-CN" w:bidi="ar-SA"/>
        </w:rPr>
        <w:t>异议受理邮箱：</w:t>
      </w:r>
      <w:r>
        <w:rPr>
          <w:rFonts w:hint="eastAsia" w:ascii="仿宋" w:hAnsi="仿宋" w:eastAsia="仿宋" w:cs="仿宋"/>
          <w:color w:val="auto"/>
          <w:kern w:val="0"/>
          <w:sz w:val="24"/>
          <w:szCs w:val="24"/>
          <w:highlight w:val="none"/>
          <w:lang w:val="en-US" w:eastAsia="zh-CN" w:bidi="ar-SA"/>
        </w:rPr>
        <w:fldChar w:fldCharType="begin"/>
      </w:r>
      <w:r>
        <w:rPr>
          <w:rFonts w:hint="eastAsia" w:ascii="仿宋" w:hAnsi="仿宋" w:eastAsia="仿宋" w:cs="仿宋"/>
          <w:color w:val="auto"/>
          <w:kern w:val="0"/>
          <w:sz w:val="24"/>
          <w:szCs w:val="24"/>
          <w:highlight w:val="none"/>
          <w:lang w:val="en-US" w:eastAsia="zh-CN" w:bidi="ar-SA"/>
        </w:rPr>
        <w:instrText xml:space="preserve"> HYPERLINK "mailto:gw15149493091@163.com" </w:instrText>
      </w:r>
      <w:r>
        <w:rPr>
          <w:rFonts w:hint="eastAsia" w:ascii="仿宋" w:hAnsi="仿宋" w:eastAsia="仿宋" w:cs="仿宋"/>
          <w:color w:val="auto"/>
          <w:kern w:val="0"/>
          <w:sz w:val="24"/>
          <w:szCs w:val="24"/>
          <w:highlight w:val="none"/>
          <w:lang w:val="en-US" w:eastAsia="zh-CN" w:bidi="ar-SA"/>
        </w:rPr>
        <w:fldChar w:fldCharType="separate"/>
      </w:r>
      <w:r>
        <w:rPr>
          <w:rFonts w:hint="eastAsia" w:ascii="仿宋" w:hAnsi="仿宋" w:eastAsia="仿宋" w:cs="仿宋"/>
          <w:color w:val="auto"/>
          <w:kern w:val="0"/>
          <w:sz w:val="24"/>
          <w:szCs w:val="24"/>
          <w:highlight w:val="none"/>
          <w:lang w:val="en-US" w:eastAsia="zh-CN" w:bidi="ar-SA"/>
        </w:rPr>
        <w:t>gw15149493091@163.com</w:t>
      </w:r>
      <w:r>
        <w:rPr>
          <w:rFonts w:hint="eastAsia" w:ascii="仿宋" w:hAnsi="仿宋" w:eastAsia="仿宋" w:cs="仿宋"/>
          <w:color w:val="auto"/>
          <w:kern w:val="0"/>
          <w:sz w:val="24"/>
          <w:szCs w:val="24"/>
          <w:highlight w:val="none"/>
          <w:lang w:val="en-US" w:eastAsia="zh-CN" w:bidi="ar-SA"/>
        </w:rPr>
        <w:fldChar w:fldCharType="end"/>
      </w:r>
    </w:p>
    <w:p>
      <w:pPr>
        <w:widowControl/>
        <w:tabs>
          <w:tab w:val="left" w:pos="2625"/>
        </w:tabs>
        <w:spacing w:line="360" w:lineRule="auto"/>
        <w:ind w:firstLine="470" w:firstLineChars="196"/>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采购</w:t>
      </w:r>
      <w:r>
        <w:rPr>
          <w:rFonts w:hint="eastAsia" w:ascii="仿宋" w:hAnsi="仿宋" w:eastAsia="仿宋" w:cs="仿宋"/>
          <w:color w:val="auto"/>
          <w:kern w:val="0"/>
          <w:sz w:val="24"/>
          <w:szCs w:val="24"/>
          <w:highlight w:val="none"/>
        </w:rPr>
        <w:t>代理机构</w:t>
      </w:r>
      <w:r>
        <w:rPr>
          <w:rFonts w:hint="eastAsia" w:ascii="仿宋" w:hAnsi="仿宋" w:eastAsia="仿宋" w:cs="仿宋"/>
          <w:color w:val="auto"/>
          <w:kern w:val="0"/>
          <w:sz w:val="24"/>
          <w:highlight w:val="none"/>
        </w:rPr>
        <w:t>名称</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广州市见智咨询有限公司内蒙古分公司</w:t>
      </w:r>
    </w:p>
    <w:p>
      <w:pPr>
        <w:widowControl/>
        <w:tabs>
          <w:tab w:val="left" w:pos="2625"/>
        </w:tabs>
        <w:spacing w:line="360" w:lineRule="auto"/>
        <w:ind w:firstLine="470" w:firstLineChars="196"/>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lang w:eastAsia="zh-CN"/>
        </w:rPr>
        <w:t>内蒙古鄂尔多斯市伊金霍洛旗伊美居家具建材城西门11楼</w:t>
      </w:r>
    </w:p>
    <w:p>
      <w:pPr>
        <w:widowControl/>
        <w:tabs>
          <w:tab w:val="left" w:pos="2625"/>
        </w:tabs>
        <w:spacing w:line="360" w:lineRule="auto"/>
        <w:ind w:firstLine="470" w:firstLineChars="196"/>
        <w:jc w:val="left"/>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rPr>
        <w:t>联 系 人：</w:t>
      </w:r>
      <w:r>
        <w:rPr>
          <w:rFonts w:hint="eastAsia" w:ascii="仿宋" w:hAnsi="仿宋" w:eastAsia="仿宋" w:cs="仿宋"/>
          <w:color w:val="auto"/>
          <w:kern w:val="0"/>
          <w:sz w:val="24"/>
          <w:szCs w:val="24"/>
          <w:highlight w:val="none"/>
          <w:lang w:eastAsia="zh-CN"/>
        </w:rPr>
        <w:t>李荣、吴志宪</w:t>
      </w:r>
    </w:p>
    <w:p>
      <w:pPr>
        <w:widowControl/>
        <w:tabs>
          <w:tab w:val="left" w:pos="2625"/>
        </w:tabs>
        <w:spacing w:line="360" w:lineRule="auto"/>
        <w:ind w:firstLine="470" w:firstLineChars="196"/>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联系电话</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15947276016</w:t>
      </w:r>
    </w:p>
    <w:p>
      <w:pPr>
        <w:widowControl/>
        <w:tabs>
          <w:tab w:val="left" w:pos="2625"/>
        </w:tabs>
        <w:spacing w:line="360" w:lineRule="auto"/>
        <w:ind w:firstLine="470" w:firstLineChars="196"/>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邮    箱</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fldChar w:fldCharType="begin"/>
      </w:r>
      <w:r>
        <w:rPr>
          <w:rFonts w:hint="eastAsia" w:ascii="仿宋" w:hAnsi="仿宋" w:eastAsia="仿宋" w:cs="仿宋"/>
          <w:color w:val="auto"/>
          <w:kern w:val="0"/>
          <w:sz w:val="24"/>
          <w:szCs w:val="24"/>
          <w:highlight w:val="none"/>
          <w:lang w:eastAsia="zh-CN"/>
        </w:rPr>
        <w:instrText xml:space="preserve"> HYPERLINK "mailto:egzjzzx@163.com" </w:instrText>
      </w:r>
      <w:r>
        <w:rPr>
          <w:rFonts w:hint="eastAsia" w:ascii="仿宋" w:hAnsi="仿宋" w:eastAsia="仿宋" w:cs="仿宋"/>
          <w:color w:val="auto"/>
          <w:kern w:val="0"/>
          <w:sz w:val="24"/>
          <w:szCs w:val="24"/>
          <w:highlight w:val="none"/>
          <w:lang w:eastAsia="zh-CN"/>
        </w:rPr>
        <w:fldChar w:fldCharType="separate"/>
      </w:r>
      <w:r>
        <w:rPr>
          <w:rStyle w:val="9"/>
          <w:rFonts w:hint="eastAsia" w:ascii="仿宋" w:hAnsi="仿宋" w:eastAsia="仿宋" w:cs="仿宋"/>
          <w:kern w:val="0"/>
          <w:sz w:val="24"/>
          <w:szCs w:val="24"/>
          <w:highlight w:val="none"/>
          <w:lang w:eastAsia="zh-CN"/>
        </w:rPr>
        <w:t>egzjzzx@163.com</w:t>
      </w:r>
      <w:r>
        <w:rPr>
          <w:rFonts w:hint="eastAsia" w:ascii="仿宋" w:hAnsi="仿宋" w:eastAsia="仿宋" w:cs="仿宋"/>
          <w:color w:val="auto"/>
          <w:kern w:val="0"/>
          <w:sz w:val="24"/>
          <w:szCs w:val="24"/>
          <w:highlight w:val="none"/>
          <w:lang w:eastAsia="zh-CN"/>
        </w:rPr>
        <w:fldChar w:fldCharType="end"/>
      </w:r>
      <w:r>
        <w:rPr>
          <w:rFonts w:hint="eastAsia" w:ascii="仿宋" w:hAnsi="仿宋" w:eastAsia="仿宋" w:cs="仿宋"/>
          <w:color w:val="auto"/>
          <w:kern w:val="0"/>
          <w:sz w:val="24"/>
          <w:szCs w:val="24"/>
          <w:highlight w:val="none"/>
          <w:lang w:val="en-US" w:eastAsia="zh-CN"/>
        </w:rPr>
        <w:t xml:space="preserve"> </w:t>
      </w:r>
    </w:p>
    <w:p>
      <w:pPr>
        <w:widowControl/>
        <w:tabs>
          <w:tab w:val="left" w:pos="2625"/>
        </w:tabs>
        <w:spacing w:line="360" w:lineRule="auto"/>
        <w:ind w:firstLine="480" w:firstLineChars="200"/>
        <w:jc w:val="left"/>
        <w:rPr>
          <w:rFonts w:hint="eastAsia" w:ascii="仿宋" w:hAnsi="仿宋" w:eastAsia="仿宋" w:cs="仿宋"/>
          <w:color w:val="auto"/>
          <w:kern w:val="0"/>
          <w:sz w:val="24"/>
          <w:highlight w:val="none"/>
        </w:rPr>
      </w:pPr>
    </w:p>
    <w:p>
      <w:r>
        <w:rPr>
          <w:rFonts w:hint="eastAsia" w:ascii="仿宋" w:hAnsi="仿宋" w:eastAsia="仿宋" w:cs="仿宋"/>
          <w:b/>
          <w:sz w:val="24"/>
          <w:highlight w:val="none"/>
          <w:lang w:val="en-US" w:eastAsia="zh-CN"/>
        </w:rPr>
        <w:t xml:space="preserve">                                     </w:t>
      </w:r>
      <w:r>
        <w:rPr>
          <w:rFonts w:hint="eastAsia" w:ascii="仿宋" w:hAnsi="仿宋" w:eastAsia="仿宋" w:cs="仿宋"/>
          <w:b/>
          <w:sz w:val="24"/>
          <w:highlight w:val="none"/>
          <w:lang w:eastAsia="zh-CN"/>
        </w:rPr>
        <w:t>2022年12月02日</w:t>
      </w:r>
      <w:bookmarkStart w:id="47" w:name="_GoBack"/>
      <w:bookmarkEnd w:id="4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98834"/>
    <w:multiLevelType w:val="singleLevel"/>
    <w:tmpl w:val="A1F98834"/>
    <w:lvl w:ilvl="0" w:tentative="0">
      <w:start w:val="1"/>
      <w:numFmt w:val="chineseCounting"/>
      <w:suff w:val="nothing"/>
      <w:lvlText w:val="%1、"/>
      <w:lvlJc w:val="left"/>
      <w:pPr>
        <w:ind w:left="60" w:firstLine="420"/>
      </w:pPr>
      <w:rPr>
        <w:rFonts w:hint="eastAsia"/>
      </w:rPr>
    </w:lvl>
  </w:abstractNum>
  <w:abstractNum w:abstractNumId="1">
    <w:nsid w:val="13D82654"/>
    <w:multiLevelType w:val="singleLevel"/>
    <w:tmpl w:val="13D82654"/>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jZDA0MTYwOWNhMjYxZjQ1ZTc5N2U5YzBhNzhjYWQifQ=="/>
  </w:docVars>
  <w:rsids>
    <w:rsidRoot w:val="6C5F5286"/>
    <w:rsid w:val="0E1C686F"/>
    <w:rsid w:val="29F71516"/>
    <w:rsid w:val="6C5F5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3"/>
    <w:basedOn w:val="1"/>
    <w:next w:val="1"/>
    <w:link w:val="10"/>
    <w:semiHidden/>
    <w:unhideWhenUsed/>
    <w:qFormat/>
    <w:uiPriority w:val="0"/>
    <w:pPr>
      <w:keepNext/>
      <w:keepLines/>
      <w:adjustRightInd w:val="0"/>
      <w:spacing w:before="260" w:after="260" w:line="416" w:lineRule="atLeast"/>
      <w:ind w:firstLine="200" w:firstLineChars="200"/>
      <w:jc w:val="left"/>
      <w:textAlignment w:val="baseline"/>
      <w:outlineLvl w:val="2"/>
    </w:pPr>
    <w:rPr>
      <w:rFonts w:ascii="Times New Roman" w:hAnsi="Times New Roman" w:eastAsia="宋体" w:cs="Times New Roman"/>
      <w:b/>
      <w:kern w:val="0"/>
      <w:sz w:val="2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pPr>
  </w:style>
  <w:style w:type="paragraph" w:styleId="3">
    <w:name w:val="Body Text Indent"/>
    <w:basedOn w:val="1"/>
    <w:next w:val="4"/>
    <w:qFormat/>
    <w:uiPriority w:val="0"/>
    <w:pPr>
      <w:ind w:firstLine="560" w:firstLineChars="200"/>
    </w:pPr>
    <w:rPr>
      <w:rFonts w:ascii="Book Antiqua" w:hAnsi="Book Antiqua"/>
      <w:kern w:val="0"/>
      <w:sz w:val="28"/>
    </w:rPr>
  </w:style>
  <w:style w:type="paragraph" w:customStyle="1" w:styleId="4">
    <w:name w:val="p16"/>
    <w:next w:val="5"/>
    <w:qFormat/>
    <w:uiPriority w:val="0"/>
    <w:pPr>
      <w:ind w:firstLine="420"/>
      <w:jc w:val="both"/>
    </w:pPr>
    <w:rPr>
      <w:rFonts w:ascii="宋体" w:hAnsi="Times New Roman" w:eastAsia="宋体" w:cs="宋体"/>
      <w:sz w:val="21"/>
      <w:szCs w:val="21"/>
      <w:lang w:val="en-US" w:eastAsia="zh-CN" w:bidi="ar-SA"/>
    </w:rPr>
  </w:style>
  <w:style w:type="paragraph" w:styleId="5">
    <w:name w:val="toc 2"/>
    <w:basedOn w:val="1"/>
    <w:next w:val="1"/>
    <w:qFormat/>
    <w:uiPriority w:val="39"/>
    <w:pPr>
      <w:ind w:left="210"/>
      <w:jc w:val="left"/>
    </w:pPr>
    <w:rPr>
      <w:smallCaps/>
      <w:sz w:val="20"/>
      <w:szCs w:val="20"/>
    </w:rPr>
  </w:style>
  <w:style w:type="character" w:styleId="9">
    <w:name w:val="Hyperlink"/>
    <w:basedOn w:val="8"/>
    <w:qFormat/>
    <w:uiPriority w:val="99"/>
    <w:rPr>
      <w:color w:val="0000FF"/>
      <w:u w:val="single"/>
    </w:rPr>
  </w:style>
  <w:style w:type="character" w:customStyle="1" w:styleId="10">
    <w:name w:val="标题 3 Char"/>
    <w:link w:val="6"/>
    <w:qFormat/>
    <w:uiPriority w:val="0"/>
    <w:rPr>
      <w:rFonts w:ascii="Times New Roman" w:hAnsi="Times New Roman" w:eastAsia="宋体" w:cs="Times New Roman"/>
      <w:b/>
      <w:kern w:val="0"/>
      <w:sz w:val="24"/>
    </w:rPr>
  </w:style>
  <w:style w:type="paragraph" w:customStyle="1" w:styleId="11">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 Char"/>
    <w:basedOn w:val="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2022-12-02T04:05:00Z</dcterms:created>
  <dc:creator>hp</dc:creator>
  <cp:lastModifiedBy>hp</cp:lastModifiedBy>
  <dcterms:modified xsi:type="dcterms:W3CDTF">2022-12-02T04:06:00Z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6D824AA6AA3F4B86B734D39420065AB2</vt:lpwstr>
  </property>
</Properties>
</file>