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cs="仿宋_GB2312" w:asciiTheme="majorEastAsia" w:hAnsiTheme="majorEastAsia" w:eastAsiaTheme="majorEastAsia"/>
          <w:b/>
          <w:bCs/>
          <w:sz w:val="30"/>
          <w:szCs w:val="30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0"/>
          <w:szCs w:val="30"/>
          <w:lang w:val="zh-CN"/>
        </w:rPr>
        <w:t>呼和浩特供电公司2022年锡林南路218号院、通道北街74号院办公场所及各二级单位物业公司服务、餐饮服务</w:t>
      </w:r>
    </w:p>
    <w:p>
      <w:pPr>
        <w:ind w:left="210" w:leftChars="100"/>
        <w:jc w:val="center"/>
        <w:rPr>
          <w:rFonts w:hint="eastAsia" w:cs="仿宋_GB2312" w:asciiTheme="majorEastAsia" w:hAnsiTheme="majorEastAsia" w:eastAsiaTheme="majorEastAsia"/>
          <w:b/>
          <w:bCs/>
          <w:sz w:val="30"/>
          <w:szCs w:val="30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0"/>
          <w:szCs w:val="30"/>
          <w:lang w:val="zh-CN"/>
        </w:rPr>
        <w:t>单源直接采购项目</w:t>
      </w:r>
    </w:p>
    <w:p>
      <w:pPr>
        <w:ind w:left="210" w:leftChars="100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  <w:lang w:val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成交结果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  <w:lang w:val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7" w:leftChars="0" w:right="0" w:rightChars="0" w:firstLine="480" w:firstLineChars="200"/>
        <w:jc w:val="both"/>
        <w:textAlignment w:val="auto"/>
        <w:rPr>
          <w:rFonts w:cs="仿宋_GB2312" w:asciiTheme="majorEastAsia" w:hAnsiTheme="majorEastAsia" w:eastAsiaTheme="majorEastAsia"/>
          <w:sz w:val="24"/>
          <w:szCs w:val="24"/>
          <w:lang w:val="zh-CN"/>
        </w:rPr>
      </w:pP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呼和浩特供电公司2022年锡林南路218号院、通道北街74号院办公场所及各二级单位物业公司服务、餐饮服务单源直接采购项目（招标编号：HG20220608-758、759）于20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2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年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月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en-US" w:eastAsia="zh-CN"/>
        </w:rPr>
        <w:t>30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日上午9：3</w:t>
      </w:r>
      <w:r>
        <w:rPr>
          <w:rFonts w:cs="仿宋_GB2312" w:asciiTheme="majorEastAsia" w:hAnsiTheme="majorEastAsia" w:eastAsiaTheme="majorEastAsia"/>
          <w:sz w:val="24"/>
          <w:szCs w:val="24"/>
          <w:lang w:val="zh-CN"/>
        </w:rPr>
        <w:t>0</w:t>
      </w:r>
      <w:r>
        <w:rPr>
          <w:rFonts w:hint="eastAsia" w:cs="仿宋_GB2312" w:asciiTheme="majorEastAsia" w:hAnsiTheme="majorEastAsia" w:eastAsiaTheme="majorEastAsia"/>
          <w:sz w:val="24"/>
          <w:szCs w:val="24"/>
          <w:lang w:val="zh-CN"/>
        </w:rPr>
        <w:t>进行了开、评标工作，评审小组根据评审细则和单源直接采购文件的规定，对本项目的响应文件进行了认真评审，评审结果如下：</w:t>
      </w:r>
    </w:p>
    <w:tbl>
      <w:tblPr>
        <w:tblStyle w:val="11"/>
        <w:tblpPr w:leftFromText="180" w:rightFromText="180" w:vertAnchor="text" w:horzAnchor="page" w:tblpX="2322" w:tblpY="162"/>
        <w:tblOverlap w:val="never"/>
        <w:tblW w:w="79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960"/>
        <w:gridCol w:w="1920"/>
        <w:gridCol w:w="1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tblHeader/>
        </w:trPr>
        <w:tc>
          <w:tcPr>
            <w:tcW w:w="1040" w:type="dxa"/>
            <w:vAlign w:val="center"/>
          </w:tcPr>
          <w:p>
            <w:pPr>
              <w:spacing w:line="480" w:lineRule="auto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24"/>
              </w:rPr>
              <w:t>标段</w:t>
            </w:r>
          </w:p>
        </w:tc>
        <w:tc>
          <w:tcPr>
            <w:tcW w:w="3960" w:type="dxa"/>
            <w:vAlign w:val="center"/>
          </w:tcPr>
          <w:p>
            <w:pPr>
              <w:spacing w:line="480" w:lineRule="auto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24"/>
              </w:rPr>
              <w:t>成交</w:t>
            </w: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  <w:t>人</w:t>
            </w:r>
          </w:p>
        </w:tc>
        <w:tc>
          <w:tcPr>
            <w:tcW w:w="1920" w:type="dxa"/>
            <w:vAlign w:val="center"/>
          </w:tcPr>
          <w:p>
            <w:pPr>
              <w:spacing w:line="480" w:lineRule="auto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  <w:t>成交金额（元）</w:t>
            </w:r>
          </w:p>
        </w:tc>
        <w:tc>
          <w:tcPr>
            <w:tcW w:w="1038" w:type="dxa"/>
            <w:vAlign w:val="center"/>
          </w:tcPr>
          <w:p>
            <w:pPr>
              <w:spacing w:line="480" w:lineRule="auto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tblHeader/>
        </w:trPr>
        <w:tc>
          <w:tcPr>
            <w:tcW w:w="1040" w:type="dxa"/>
            <w:vAlign w:val="center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center"/>
              <w:rPr>
                <w:rFonts w:hint="default" w:ascii="宋体" w:hAnsi="宋体" w:cs="MingLiU" w:eastAsiaTheme="minorEastAsia"/>
                <w:b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MingLiU" w:eastAsiaTheme="minorEastAsia"/>
                <w:b w:val="0"/>
                <w:kern w:val="0"/>
                <w:sz w:val="24"/>
                <w:szCs w:val="22"/>
                <w:lang w:val="en-US" w:eastAsia="zh-CN" w:bidi="ar-SA"/>
              </w:rPr>
              <w:t>H758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MingLiU"/>
                <w:kern w:val="0"/>
                <w:sz w:val="24"/>
              </w:rPr>
              <w:t>内蒙古蒙能物业管理有限责任公司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MingLiU"/>
                <w:kern w:val="0"/>
                <w:sz w:val="24"/>
              </w:rPr>
              <w:t>19990000</w:t>
            </w:r>
          </w:p>
        </w:tc>
        <w:tc>
          <w:tcPr>
            <w:tcW w:w="10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99" w:hRule="exact"/>
          <w:tblHeader/>
        </w:trPr>
        <w:tc>
          <w:tcPr>
            <w:tcW w:w="1040" w:type="dxa"/>
            <w:vAlign w:val="center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center"/>
              <w:rPr>
                <w:rFonts w:hint="eastAsia" w:ascii="宋体" w:hAnsi="宋体" w:cs="MingLiU" w:eastAsiaTheme="minorEastAsia"/>
                <w:b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MingLiU" w:eastAsiaTheme="minorEastAsia"/>
                <w:b w:val="0"/>
                <w:kern w:val="0"/>
                <w:sz w:val="24"/>
                <w:szCs w:val="22"/>
                <w:lang w:val="en-US" w:eastAsia="zh-CN" w:bidi="ar-SA"/>
              </w:rPr>
              <w:t>H759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MingLiU"/>
                <w:kern w:val="0"/>
                <w:sz w:val="24"/>
              </w:rPr>
              <w:t>内蒙古蒙能物业管理有限责任公司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MingLiU"/>
                <w:kern w:val="0"/>
                <w:sz w:val="24"/>
              </w:rPr>
              <w:t>7635</w:t>
            </w:r>
            <w:bookmarkStart w:id="0" w:name="_GoBack"/>
            <w:bookmarkEnd w:id="0"/>
            <w:r>
              <w:rPr>
                <w:rFonts w:hint="default" w:ascii="宋体" w:hAnsi="宋体" w:cs="MingLiU"/>
                <w:kern w:val="0"/>
                <w:sz w:val="24"/>
              </w:rPr>
              <w:t>000</w:t>
            </w:r>
          </w:p>
        </w:tc>
        <w:tc>
          <w:tcPr>
            <w:tcW w:w="10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宋体" w:hAnsi="宋体"/>
          <w:sz w:val="24"/>
          <w:szCs w:val="24"/>
        </w:rPr>
      </w:pPr>
    </w:p>
    <w:p>
      <w:pPr>
        <w:spacing w:line="480" w:lineRule="auto"/>
        <w:jc w:val="both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ind w:left="210" w:leftChars="100"/>
        <w:jc w:val="both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采 购 </w:t>
      </w:r>
      <w:r>
        <w:rPr>
          <w:rFonts w:ascii="宋体" w:hAnsi="宋体"/>
          <w:sz w:val="24"/>
          <w:szCs w:val="24"/>
        </w:rPr>
        <w:t>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eastAsia="zh-CN"/>
        </w:rPr>
        <w:t>内蒙古电力（集团）有限责任公司呼和浩特供电分公司</w:t>
      </w:r>
    </w:p>
    <w:p>
      <w:pPr>
        <w:spacing w:line="480" w:lineRule="auto"/>
        <w:ind w:left="210" w:leftChars="100"/>
        <w:jc w:val="both"/>
        <w:rPr>
          <w:rFonts w:ascii="宋体" w:hAnsi="宋体"/>
          <w:sz w:val="24"/>
          <w:szCs w:val="24"/>
        </w:rPr>
      </w:pPr>
    </w:p>
    <w:p>
      <w:pPr>
        <w:spacing w:line="480" w:lineRule="auto"/>
        <w:ind w:left="210" w:leftChars="100"/>
        <w:jc w:val="both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办公地址：呼和浩特市新城区通道北路74号</w:t>
      </w:r>
    </w:p>
    <w:p>
      <w:pPr>
        <w:spacing w:line="480" w:lineRule="auto"/>
        <w:ind w:left="210" w:leftChars="100"/>
        <w:jc w:val="both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lang w:val="en-US" w:eastAsia="zh-CN"/>
        </w:rPr>
        <w:t>梁秋娟</w:t>
      </w:r>
    </w:p>
    <w:p>
      <w:pPr>
        <w:spacing w:line="480" w:lineRule="auto"/>
        <w:ind w:left="210" w:leftChars="1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联系电话：0471-</w:t>
      </w:r>
      <w:r>
        <w:rPr>
          <w:rFonts w:ascii="宋体" w:hAnsi="宋体"/>
          <w:sz w:val="24"/>
          <w:szCs w:val="24"/>
        </w:rPr>
        <w:t>5165665</w:t>
      </w:r>
    </w:p>
    <w:p>
      <w:pPr>
        <w:spacing w:line="480" w:lineRule="auto"/>
        <w:ind w:left="210" w:leftChars="100"/>
        <w:jc w:val="both"/>
        <w:rPr>
          <w:rFonts w:hint="eastAsia" w:cs="仿宋_GB2312" w:asciiTheme="majorEastAsia" w:hAnsiTheme="majorEastAsia" w:eastAsiaTheme="majorEastAsia"/>
          <w:b/>
          <w:bCs/>
          <w:sz w:val="28"/>
          <w:szCs w:val="28"/>
          <w:lang w:val="zh-CN"/>
        </w:rPr>
      </w:pPr>
      <w:r>
        <w:rPr>
          <w:rFonts w:hint="eastAsia" w:ascii="宋体" w:hAnsi="宋体"/>
          <w:sz w:val="24"/>
          <w:szCs w:val="24"/>
        </w:rPr>
        <w:t xml:space="preserve">E-mail: </w:t>
      </w:r>
      <w:r>
        <w:rPr>
          <w:rFonts w:hint="eastAsia" w:ascii="宋体" w:hAnsi="宋体"/>
          <w:sz w:val="24"/>
          <w:szCs w:val="24"/>
        </w:rPr>
        <w:fldChar w:fldCharType="begin"/>
      </w:r>
      <w:r>
        <w:rPr>
          <w:rFonts w:hint="eastAsia" w:ascii="宋体" w:hAnsi="宋体"/>
          <w:sz w:val="24"/>
          <w:szCs w:val="24"/>
        </w:rPr>
        <w:instrText xml:space="preserve"> HYPERLINK "mailto:bilifeng_2046@126.com" </w:instrText>
      </w:r>
      <w:r>
        <w:rPr>
          <w:rFonts w:hint="eastAsia"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  <w:lang w:val="en-US" w:eastAsia="zh-CN"/>
        </w:rPr>
        <w:t>zdgx5665@126.com</w:t>
      </w:r>
      <w:r>
        <w:rPr>
          <w:rFonts w:hint="eastAsia" w:ascii="宋体" w:hAnsi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10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mMwOWY2MTcyNTcyOTQzNTlmNjM4NjgyODViNTAifQ=="/>
  </w:docVars>
  <w:rsids>
    <w:rsidRoot w:val="79290A87"/>
    <w:rsid w:val="000136D5"/>
    <w:rsid w:val="000154C3"/>
    <w:rsid w:val="000508B0"/>
    <w:rsid w:val="000F6971"/>
    <w:rsid w:val="00131358"/>
    <w:rsid w:val="00134B54"/>
    <w:rsid w:val="001849E7"/>
    <w:rsid w:val="00210734"/>
    <w:rsid w:val="002A41B2"/>
    <w:rsid w:val="003C6BE6"/>
    <w:rsid w:val="003E03B5"/>
    <w:rsid w:val="004568A8"/>
    <w:rsid w:val="00467284"/>
    <w:rsid w:val="00523BC9"/>
    <w:rsid w:val="00556E79"/>
    <w:rsid w:val="00596D0B"/>
    <w:rsid w:val="00660E5B"/>
    <w:rsid w:val="00695055"/>
    <w:rsid w:val="00696F54"/>
    <w:rsid w:val="006D7FD4"/>
    <w:rsid w:val="00772019"/>
    <w:rsid w:val="00785294"/>
    <w:rsid w:val="00791AB9"/>
    <w:rsid w:val="007B5451"/>
    <w:rsid w:val="007C1A2B"/>
    <w:rsid w:val="007E5866"/>
    <w:rsid w:val="00812CE3"/>
    <w:rsid w:val="008620B0"/>
    <w:rsid w:val="00885E06"/>
    <w:rsid w:val="0089311D"/>
    <w:rsid w:val="008C6450"/>
    <w:rsid w:val="009049C4"/>
    <w:rsid w:val="00932C0B"/>
    <w:rsid w:val="00940A16"/>
    <w:rsid w:val="009930EF"/>
    <w:rsid w:val="00A10629"/>
    <w:rsid w:val="00A247FF"/>
    <w:rsid w:val="00A26C9B"/>
    <w:rsid w:val="00A716DA"/>
    <w:rsid w:val="00AC772F"/>
    <w:rsid w:val="00B60D78"/>
    <w:rsid w:val="00B869A6"/>
    <w:rsid w:val="00C41330"/>
    <w:rsid w:val="00C50004"/>
    <w:rsid w:val="00C96EE7"/>
    <w:rsid w:val="00DE0DB4"/>
    <w:rsid w:val="00E676A8"/>
    <w:rsid w:val="00FC5E76"/>
    <w:rsid w:val="01D13F7B"/>
    <w:rsid w:val="051A0D14"/>
    <w:rsid w:val="06D74BC0"/>
    <w:rsid w:val="0B8D2240"/>
    <w:rsid w:val="0C081B3B"/>
    <w:rsid w:val="0D2C1F7B"/>
    <w:rsid w:val="10215ADE"/>
    <w:rsid w:val="11601A7A"/>
    <w:rsid w:val="12B42D5D"/>
    <w:rsid w:val="15F31D9B"/>
    <w:rsid w:val="19193365"/>
    <w:rsid w:val="1B8E3704"/>
    <w:rsid w:val="1D1252B9"/>
    <w:rsid w:val="1DD841A3"/>
    <w:rsid w:val="1E7D6144"/>
    <w:rsid w:val="215A276C"/>
    <w:rsid w:val="21A659B2"/>
    <w:rsid w:val="2F3D155C"/>
    <w:rsid w:val="30071D11"/>
    <w:rsid w:val="328706C4"/>
    <w:rsid w:val="338D077F"/>
    <w:rsid w:val="357A4D33"/>
    <w:rsid w:val="3CFF523E"/>
    <w:rsid w:val="3F4A39C9"/>
    <w:rsid w:val="46E2098A"/>
    <w:rsid w:val="47823223"/>
    <w:rsid w:val="48174D29"/>
    <w:rsid w:val="4BAE52DF"/>
    <w:rsid w:val="4DD04B55"/>
    <w:rsid w:val="4E7445BE"/>
    <w:rsid w:val="4F1A02C1"/>
    <w:rsid w:val="52B329B5"/>
    <w:rsid w:val="54E22925"/>
    <w:rsid w:val="59F44805"/>
    <w:rsid w:val="59FD190B"/>
    <w:rsid w:val="5A552B7E"/>
    <w:rsid w:val="5C1967A5"/>
    <w:rsid w:val="6179250B"/>
    <w:rsid w:val="646C5DB4"/>
    <w:rsid w:val="66AD6467"/>
    <w:rsid w:val="6A355DB3"/>
    <w:rsid w:val="6A4175F2"/>
    <w:rsid w:val="6A725B1A"/>
    <w:rsid w:val="6AEB57B0"/>
    <w:rsid w:val="6B115BDF"/>
    <w:rsid w:val="6BFA69BF"/>
    <w:rsid w:val="71D2705F"/>
    <w:rsid w:val="72BD04C8"/>
    <w:rsid w:val="72F61CFE"/>
    <w:rsid w:val="75B77C21"/>
    <w:rsid w:val="79290A87"/>
    <w:rsid w:val="79BE3377"/>
    <w:rsid w:val="7B9D67FD"/>
    <w:rsid w:val="7C313D92"/>
    <w:rsid w:val="7FB16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120"/>
      <w:ind w:left="420" w:firstLine="420"/>
    </w:pPr>
    <w:rPr>
      <w:b w:val="0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b/>
      <w:sz w:val="24"/>
    </w:rPr>
  </w:style>
  <w:style w:type="paragraph" w:customStyle="1" w:styleId="4">
    <w:name w:val="p16"/>
    <w:basedOn w:val="1"/>
    <w:next w:val="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5">
    <w:name w:val="toc 2"/>
    <w:basedOn w:val="1"/>
    <w:next w:val="1"/>
    <w:qFormat/>
    <w:uiPriority w:val="39"/>
    <w:pPr>
      <w:tabs>
        <w:tab w:val="right" w:leader="dot" w:pos="9231"/>
      </w:tabs>
      <w:spacing w:line="360" w:lineRule="auto"/>
    </w:pPr>
  </w:style>
  <w:style w:type="paragraph" w:styleId="6">
    <w:name w:val="Body Text First Indent"/>
    <w:basedOn w:val="7"/>
    <w:next w:val="1"/>
    <w:qFormat/>
    <w:uiPriority w:val="0"/>
    <w:pPr>
      <w:spacing w:after="120" w:line="240" w:lineRule="auto"/>
      <w:ind w:firstLine="420"/>
    </w:pPr>
    <w:rPr>
      <w:sz w:val="21"/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15"/>
    <w:basedOn w:val="12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4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391</Characters>
  <Lines>3</Lines>
  <Paragraphs>1</Paragraphs>
  <TotalTime>3</TotalTime>
  <ScaleCrop>false</ScaleCrop>
  <LinksUpToDate>false</LinksUpToDate>
  <CharactersWithSpaces>396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2019-10-10T00:01:00Z</dcterms:created>
  <dc:creator>哥特朋克</dc:creator>
  <cp:lastModifiedBy>中大国信</cp:lastModifiedBy>
  <cp:lastPrinted>2020-04-20T02:22:00Z</cp:lastPrinted>
  <dcterms:modified xsi:type="dcterms:W3CDTF">2022-07-01T03:21:36Z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4179504F11C24457A764F1B20DEAA5DF</vt:lpwstr>
  </property>
</Properties>
</file>