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8AB0">
      <w:pPr>
        <w:spacing w:after="0" w:line="360" w:lineRule="auto"/>
        <w:ind w:left="140" w:leftChars="50"/>
        <w:jc w:val="center"/>
        <w:rPr>
          <w:rFonts w:hint="eastAsia" w:ascii="宋体" w:hAnsi="宋体" w:eastAsia="宋体" w:cs="宋体"/>
          <w:b/>
          <w:sz w:val="32"/>
          <w:szCs w:val="32"/>
          <w:highlight w:val="none"/>
        </w:rPr>
      </w:pPr>
      <w:bookmarkStart w:id="4" w:name="_GoBack"/>
      <w:r>
        <w:rPr>
          <w:rFonts w:hint="eastAsia" w:ascii="宋体" w:hAnsi="宋体" w:cs="宋体"/>
          <w:b/>
          <w:sz w:val="32"/>
          <w:szCs w:val="32"/>
          <w:highlight w:val="none"/>
          <w:u w:val="none"/>
          <w:lang w:val="en-US" w:eastAsia="zh-CN"/>
        </w:rPr>
        <w:t>呼和浩特市新城区恰西变新建10千伏开闭站、百合变分别新建1回10千伏线路送出工程设计招标</w:t>
      </w: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呼和浩特市新城区恰西变新建10千伏开闭站、百合变分别新建1回10千伏线路送出工程设计招标</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r>
        <w:rPr>
          <w:rFonts w:hint="eastAsia" w:ascii="宋体" w:hAnsi="宋体" w:cs="宋体"/>
          <w:sz w:val="24"/>
          <w:szCs w:val="24"/>
          <w:highlight w:val="none"/>
          <w:lang w:eastAsia="zh-CN"/>
        </w:rPr>
        <w:t>呼和浩特市新城区恰西变新建10千伏开闭站、百合变分别新建1回10千伏线路送出工程设计招标</w:t>
      </w:r>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HG202508-498</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cs="宋体"/>
          <w:kern w:val="0"/>
          <w:sz w:val="24"/>
          <w:szCs w:val="24"/>
          <w:highlight w:val="none"/>
          <w:lang w:eastAsia="zh-CN"/>
        </w:rPr>
        <w:t>呼和浩特市电力勘察设计院有限公司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2602"/>
        <w:gridCol w:w="2739"/>
        <w:gridCol w:w="1186"/>
        <w:gridCol w:w="1410"/>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val="en-US" w:eastAsia="zh-CN" w:bidi="ar"/>
              </w:rPr>
              <w:t>标段</w:t>
            </w:r>
            <w:r>
              <w:rPr>
                <w:rFonts w:hint="eastAsia" w:ascii="宋体" w:hAnsi="宋体" w:eastAsia="宋体" w:cs="宋体"/>
                <w:b/>
                <w:bCs/>
                <w:color w:val="000000"/>
                <w:kern w:val="0"/>
                <w:sz w:val="24"/>
                <w:szCs w:val="24"/>
                <w:highlight w:val="none"/>
                <w:lang w:bidi="ar"/>
              </w:rPr>
              <w:t>号</w:t>
            </w:r>
          </w:p>
        </w:tc>
        <w:tc>
          <w:tcPr>
            <w:tcW w:w="2602"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bidi="ar"/>
              </w:rPr>
              <w:t>标段</w:t>
            </w:r>
            <w:r>
              <w:rPr>
                <w:rFonts w:hint="eastAsia" w:ascii="宋体" w:hAnsi="宋体" w:eastAsia="宋体" w:cs="宋体"/>
                <w:b/>
                <w:bCs/>
                <w:color w:val="000000"/>
                <w:kern w:val="0"/>
                <w:sz w:val="24"/>
                <w:szCs w:val="24"/>
                <w:highlight w:val="none"/>
                <w:lang w:val="en-US" w:eastAsia="zh-CN" w:bidi="ar"/>
              </w:rPr>
              <w:t>名称</w:t>
            </w:r>
          </w:p>
        </w:tc>
        <w:tc>
          <w:tcPr>
            <w:tcW w:w="2739"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采购明细</w:t>
            </w:r>
          </w:p>
        </w:tc>
        <w:tc>
          <w:tcPr>
            <w:tcW w:w="1186" w:type="dxa"/>
            <w:noWrap w:val="0"/>
            <w:vAlign w:val="center"/>
          </w:tcPr>
          <w:p w14:paraId="702F1955">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投标限价（元）</w:t>
            </w:r>
          </w:p>
        </w:tc>
        <w:tc>
          <w:tcPr>
            <w:tcW w:w="1410"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拟</w:t>
            </w:r>
            <w:r>
              <w:rPr>
                <w:rFonts w:hint="eastAsia" w:ascii="宋体" w:hAnsi="宋体" w:cs="宋体"/>
                <w:b/>
                <w:bCs/>
                <w:color w:val="000000"/>
                <w:kern w:val="0"/>
                <w:sz w:val="24"/>
                <w:szCs w:val="24"/>
                <w:highlight w:val="none"/>
                <w:lang w:val="en-US" w:eastAsia="zh-CN" w:bidi="ar"/>
              </w:rPr>
              <w:t>单源</w:t>
            </w:r>
            <w:r>
              <w:rPr>
                <w:rFonts w:hint="eastAsia" w:ascii="宋体" w:hAnsi="宋体" w:eastAsia="宋体" w:cs="宋体"/>
                <w:b/>
                <w:bCs/>
                <w:color w:val="000000"/>
                <w:kern w:val="0"/>
                <w:sz w:val="24"/>
                <w:szCs w:val="24"/>
                <w:highlight w:val="none"/>
                <w:lang w:val="en-US" w:eastAsia="zh-CN" w:bidi="ar"/>
              </w:rPr>
              <w:t>直接采购</w:t>
            </w:r>
            <w:r>
              <w:rPr>
                <w:rFonts w:hint="eastAsia" w:ascii="宋体" w:hAnsi="宋体" w:eastAsia="宋体" w:cs="宋体"/>
                <w:b/>
                <w:bCs/>
                <w:color w:val="000000"/>
                <w:kern w:val="0"/>
                <w:sz w:val="24"/>
                <w:szCs w:val="24"/>
                <w:highlight w:val="none"/>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highlight w:val="none"/>
                <w:lang w:val="en-US" w:eastAsia="zh-CN"/>
              </w:rPr>
            </w:pPr>
            <w:r>
              <w:rPr>
                <w:rFonts w:hint="eastAsia" w:ascii="宋体" w:hAnsi="宋体" w:cs="宋体"/>
                <w:b/>
                <w:bCs/>
                <w:color w:val="000000"/>
                <w:sz w:val="24"/>
                <w:szCs w:val="24"/>
                <w:highlight w:val="none"/>
                <w:lang w:eastAsia="zh-CN"/>
              </w:rPr>
              <w:t>HG202508-498</w:t>
            </w:r>
          </w:p>
        </w:tc>
        <w:tc>
          <w:tcPr>
            <w:tcW w:w="2602"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呼和浩特市新城区恰西变新建10千伏开闭站、百合变分别新建1回10千伏线路送出工程设计招标</w:t>
            </w:r>
          </w:p>
        </w:tc>
        <w:tc>
          <w:tcPr>
            <w:tcW w:w="2739"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呼和浩特市新城区恰西变新建10千伏开闭站、百合变分别新建1回10千伏线路送出工程设计招标</w:t>
            </w:r>
          </w:p>
        </w:tc>
        <w:tc>
          <w:tcPr>
            <w:tcW w:w="1186" w:type="dxa"/>
            <w:noWrap w:val="0"/>
            <w:vAlign w:val="center"/>
          </w:tcPr>
          <w:p w14:paraId="04E370D3">
            <w:pPr>
              <w:widowControl/>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168513.00</w:t>
            </w:r>
          </w:p>
        </w:tc>
        <w:tc>
          <w:tcPr>
            <w:tcW w:w="1410"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lang w:eastAsia="zh-CN"/>
              </w:rPr>
              <w:t>呼和浩特市电力勘察设计院有限公司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合同中约定</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47AC0133">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3、在近三年内（2022年</w:t>
      </w:r>
      <w:r>
        <w:rPr>
          <w:rFonts w:hint="eastAsia" w:ascii="宋体" w:hAnsi="宋体" w:cs="宋体"/>
          <w:sz w:val="24"/>
          <w:szCs w:val="24"/>
          <w:highlight w:val="none"/>
          <w:lang w:val="en-US" w:eastAsia="zh-CN"/>
        </w:rPr>
        <w:t>12</w:t>
      </w:r>
      <w:r>
        <w:rPr>
          <w:rFonts w:hint="eastAsia" w:ascii="宋体" w:hAnsi="宋体" w:eastAsia="宋体" w:cs="宋体"/>
          <w:sz w:val="24"/>
          <w:szCs w:val="24"/>
          <w:highlight w:val="none"/>
          <w:lang w:val="en-US" w:eastAsia="zh-CN"/>
        </w:rPr>
        <w:t>月01日至今）供应商和其法定代表人未有行贿犯罪行为的；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w:t>
      </w:r>
      <w:r>
        <w:rPr>
          <w:rFonts w:hint="eastAsia" w:ascii="宋体" w:hAnsi="宋体" w:eastAsia="宋体" w:cs="宋体"/>
          <w:sz w:val="24"/>
          <w:szCs w:val="24"/>
          <w:highlight w:val="none"/>
        </w:rPr>
        <w:t>，前述工作完成后方可开始报名。</w:t>
      </w:r>
    </w:p>
    <w:p w14:paraId="7958E174">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2025年12月22日至2025年12月26日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highlight w:val="none"/>
        </w:rPr>
        <w:t>在线报名，逾期不予受理</w:t>
      </w:r>
      <w:r>
        <w:rPr>
          <w:rFonts w:hint="eastAsia" w:ascii="宋体" w:hAnsi="宋体" w:eastAsia="宋体" w:cs="宋体"/>
          <w:sz w:val="24"/>
          <w:szCs w:val="24"/>
          <w:highlight w:val="none"/>
        </w:rPr>
        <w:t>。</w:t>
      </w:r>
    </w:p>
    <w:p w14:paraId="32E455D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（1）</w:t>
      </w:r>
      <w:r>
        <w:rPr>
          <w:rFonts w:hint="eastAsia" w:ascii="宋体" w:hAnsi="宋体" w:eastAsia="宋体" w:cs="宋体"/>
          <w:sz w:val="24"/>
          <w:highlight w:val="none"/>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（2）</w:t>
      </w:r>
      <w:r>
        <w:rPr>
          <w:rFonts w:hint="eastAsia" w:ascii="宋体" w:hAnsi="宋体" w:eastAsia="宋体" w:cs="宋体"/>
          <w:sz w:val="24"/>
          <w:highlight w:val="none"/>
        </w:rPr>
        <w:t>报名单位须凭【中招互连】APP办理项目后续电子响应事宜，之前未进行注册【中招互连】APP的企业需要登录</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highlight w:val="none"/>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highlight w:val="none"/>
          <w:shd w:val="clear" w:color="auto" w:fill="FFFFFF"/>
        </w:rPr>
      </w:pPr>
      <w:r>
        <w:rPr>
          <w:rFonts w:hint="eastAsia" w:ascii="宋体" w:hAnsi="宋体" w:eastAsia="宋体" w:cs="宋体"/>
          <w:sz w:val="24"/>
          <w:highlight w:val="none"/>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highlight w:val="none"/>
        </w:rPr>
        <w:t>。</w:t>
      </w:r>
    </w:p>
    <w:p w14:paraId="028F8B23">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w:t>
      </w:r>
      <w:r>
        <w:rPr>
          <w:rFonts w:hint="eastAsia" w:ascii="宋体" w:hAnsi="宋体" w:cs="宋体"/>
          <w:sz w:val="24"/>
          <w:szCs w:val="24"/>
          <w:highlight w:val="none"/>
          <w:lang w:val="en-US" w:eastAsia="zh-CN"/>
        </w:rPr>
        <w:t>2022年12月01日</w:t>
      </w:r>
      <w:r>
        <w:rPr>
          <w:rFonts w:hint="eastAsia" w:ascii="宋体" w:hAnsi="宋体" w:eastAsia="宋体" w:cs="宋体"/>
          <w:sz w:val="24"/>
          <w:szCs w:val="24"/>
          <w:highlight w:val="none"/>
          <w:lang w:val="en-US" w:eastAsia="zh-CN"/>
        </w:rPr>
        <w:t>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553D6D7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2025年12月22日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2025年12月29日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2025年12月29日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2025年12月29日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2025年12月29日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4148807"/>
      <w:bookmarkStart w:id="1" w:name="_Toc527970780"/>
      <w:bookmarkStart w:id="2" w:name="_Toc527978790"/>
      <w:bookmarkStart w:id="3" w:name="_Toc4102805"/>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3.1收费标准</w:t>
      </w:r>
    </w:p>
    <w:p w14:paraId="5EE344D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以成交金额为基数，按1‰标准向成交供应商收取场所服务费，不足500元的按500元统一收取。</w:t>
      </w:r>
    </w:p>
    <w:p w14:paraId="7F14789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3.2场所服务费缴纳方式为公对公转账，汇款信息如下：</w:t>
      </w:r>
    </w:p>
    <w:p w14:paraId="1C46C5A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收款单位名称：内蒙古产权交易中心有限责任公司</w:t>
      </w:r>
    </w:p>
    <w:p w14:paraId="71B9529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开户行：华夏银行呼和浩特分行营业部</w:t>
      </w:r>
    </w:p>
    <w:p w14:paraId="560651D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号：5830200001819100031131 </w:t>
      </w:r>
    </w:p>
    <w:p w14:paraId="3F9E7EF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行  号：304191001951</w:t>
      </w:r>
    </w:p>
    <w:p w14:paraId="02AE335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3.3交易场所：内蒙古产权交易中心有限责任公司</w:t>
      </w:r>
    </w:p>
    <w:p w14:paraId="6EA42CD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址：内蒙古呼和浩特市赛罕区阿吉泰路3号</w:t>
      </w:r>
    </w:p>
    <w:p w14:paraId="2E9FF0C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3.4联系人：</w:t>
      </w:r>
      <w:r>
        <w:rPr>
          <w:rFonts w:hint="eastAsia" w:ascii="宋体" w:hAnsi="宋体" w:cs="宋体"/>
          <w:sz w:val="24"/>
          <w:szCs w:val="24"/>
          <w:highlight w:val="none"/>
          <w:lang w:val="en-US" w:eastAsia="zh-CN"/>
        </w:rPr>
        <w:t>董政</w:t>
      </w:r>
    </w:p>
    <w:p w14:paraId="5EF9313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联系电话：0471-3477645</w:t>
      </w:r>
    </w:p>
    <w:p w14:paraId="143E3C7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3.5其他</w:t>
      </w:r>
    </w:p>
    <w:p w14:paraId="05AFCE7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场地使用服务费缴纳方式为公对公转账。</w:t>
      </w:r>
    </w:p>
    <w:p w14:paraId="3CBCEA4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汇款时请备注：开标时间+项目简称或项目编号。</w:t>
      </w:r>
    </w:p>
    <w:p w14:paraId="6669133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使用服务费：本项目采用全</w:t>
      </w:r>
      <w:r>
        <w:rPr>
          <w:rFonts w:hint="eastAsia" w:ascii="宋体" w:hAnsi="宋体" w:eastAsia="宋体" w:cs="宋体"/>
          <w:sz w:val="24"/>
          <w:szCs w:val="24"/>
          <w:highlight w:val="none"/>
        </w:rPr>
        <w:t>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0E136CB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联系电话：0471-6947824</w:t>
      </w:r>
    </w:p>
    <w:p w14:paraId="10543BC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kern w:val="0"/>
          <w:sz w:val="24"/>
          <w:szCs w:val="24"/>
          <w:highlight w:val="none"/>
          <w:lang w:val="en-US" w:eastAsia="zh-CN" w:bidi="ar-SA"/>
        </w:rPr>
      </w:pPr>
    </w:p>
    <w:p w14:paraId="4955121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5C6E6C3E">
      <w:pPr>
        <w:pStyle w:val="2"/>
        <w:keepNext w:val="0"/>
        <w:keepLines w:val="0"/>
        <w:pageBreakBefore w:val="0"/>
        <w:kinsoku/>
        <w:overflowPunct/>
        <w:autoSpaceDE/>
        <w:autoSpaceDN/>
        <w:bidi w:val="0"/>
        <w:adjustRightInd/>
        <w:snapToGrid/>
        <w:spacing w:line="336" w:lineRule="auto"/>
        <w:ind w:firstLine="480"/>
        <w:textAlignment w:val="auto"/>
        <w:rPr>
          <w:rFonts w:hint="eastAsia"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联系电话：0471-6943714</w:t>
      </w:r>
    </w:p>
    <w:p w14:paraId="399F5C09">
      <w:pPr>
        <w:pStyle w:val="2"/>
        <w:keepNext w:val="0"/>
        <w:keepLines w:val="0"/>
        <w:pageBreakBefore w:val="0"/>
        <w:kinsoku/>
        <w:overflowPunct/>
        <w:autoSpaceDE/>
        <w:autoSpaceDN/>
        <w:bidi w:val="0"/>
        <w:adjustRightInd/>
        <w:snapToGrid/>
        <w:spacing w:line="336" w:lineRule="auto"/>
        <w:ind w:firstLine="480"/>
        <w:textAlignment w:val="auto"/>
        <w:rPr>
          <w:rFonts w:hint="default"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异议邮箱：hhhtwzgyc@163.com</w:t>
      </w:r>
    </w:p>
    <w:p w14:paraId="00D68F2C">
      <w:pPr>
        <w:rPr>
          <w:rFonts w:hint="eastAsia" w:ascii="宋体" w:hAnsi="宋体" w:cs="宋体"/>
          <w:sz w:val="24"/>
          <w:szCs w:val="24"/>
          <w:highlight w:val="none"/>
          <w:lang w:val="en-US" w:eastAsia="zh-CN"/>
        </w:rPr>
      </w:pPr>
    </w:p>
    <w:p w14:paraId="6B4438D1">
      <w:pPr>
        <w:jc w:val="right"/>
        <w:rPr>
          <w:highlight w:val="none"/>
        </w:rPr>
      </w:pPr>
      <w:r>
        <w:rPr>
          <w:rFonts w:hint="eastAsia" w:ascii="宋体" w:hAnsi="宋体" w:cs="宋体"/>
          <w:sz w:val="24"/>
          <w:szCs w:val="24"/>
          <w:highlight w:val="none"/>
          <w:lang w:val="en-US" w:eastAsia="zh-CN"/>
        </w:rPr>
        <w:t>2025年12月22日</w:t>
      </w:r>
    </w:p>
    <w:bookmarkEnd w:id="4"/>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A9268F5"/>
    <w:rsid w:val="2A9268F5"/>
    <w:rsid w:val="4AA246B5"/>
    <w:rsid w:val="5E9F3F1D"/>
    <w:rsid w:val="6C1279FC"/>
    <w:rsid w:val="7C5F2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3599</Words>
  <Characters>4147</Characters>
  <Lines>0</Lines>
  <Paragraphs>0</Paragraphs>
  <TotalTime>4</TotalTime>
  <ScaleCrop>false</ScaleCrop>
  <LinksUpToDate>false</LinksUpToDate>
  <CharactersWithSpaces>4166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2025-12-11T02:13:00Z</dcterms:created>
  <dc:creator>贾博</dc:creator>
  <cp:lastModifiedBy>贾博</cp:lastModifiedBy>
  <dcterms:modified xsi:type="dcterms:W3CDTF">2025-12-22T03:36:33Z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7CABBEDF859C4063A1B7924D08AE3EEB_11</vt:lpwstr>
  </property>
</Properties>
</file>