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1CC5B">
      <w:pPr>
        <w:spacing w:line="360" w:lineRule="auto"/>
        <w:jc w:val="center"/>
        <w:rPr>
          <w:rFonts w:hint="eastAsia" w:ascii="宋体" w:hAnsi="宋体" w:eastAsia="宋体" w:cs="宋体"/>
          <w:b/>
          <w:bCs/>
          <w:sz w:val="36"/>
          <w:szCs w:val="36"/>
          <w:lang w:eastAsia="zh-CN"/>
        </w:rPr>
      </w:pPr>
      <w:bookmarkStart w:id="0" w:name="_Toc495644242"/>
      <w:r>
        <w:rPr>
          <w:rFonts w:hint="eastAsia" w:ascii="宋体" w:hAnsi="宋体" w:eastAsia="宋体" w:cs="宋体"/>
          <w:b/>
          <w:bCs/>
          <w:sz w:val="36"/>
          <w:szCs w:val="36"/>
          <w:lang w:eastAsia="zh-CN"/>
        </w:rPr>
        <w:t>锡林郭勒供电公司2025年仪器仪表检测框架协议采购项目</w:t>
      </w:r>
    </w:p>
    <w:p w14:paraId="70B7434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询比采购公告</w:t>
      </w:r>
    </w:p>
    <w:bookmarkEnd w:id="0"/>
    <w:p w14:paraId="601FBDCA">
      <w:pPr>
        <w:spacing w:line="360" w:lineRule="auto"/>
        <w:ind w:left="-14"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依据《国有企业采购操作规范》及《国有企业采购操作规范》释义等相关的规定，受内蒙古电力（集团）有限责任公司锡林郭勒供电分公司物资供应处的委托,法正项目管理集团有限公司对</w:t>
      </w:r>
      <w:r>
        <w:rPr>
          <w:rFonts w:hint="eastAsia" w:ascii="宋体" w:hAnsi="宋体" w:eastAsia="宋体" w:cs="宋体"/>
          <w:sz w:val="24"/>
          <w:szCs w:val="24"/>
          <w:lang w:eastAsia="zh-CN"/>
        </w:rPr>
        <w:t>锡林郭勒供电公司2025年仪器仪表检测框架协议采购项目</w:t>
      </w:r>
      <w:r>
        <w:rPr>
          <w:rFonts w:hint="eastAsia" w:ascii="宋体" w:hAnsi="宋体" w:eastAsia="宋体" w:cs="宋体"/>
          <w:sz w:val="24"/>
          <w:szCs w:val="24"/>
        </w:rPr>
        <w:t>进行框架询比采购,现发布采购公告如下:</w:t>
      </w:r>
      <w:bookmarkStart w:id="1" w:name="_Toc495644243"/>
      <w:r>
        <w:rPr>
          <w:rFonts w:hint="eastAsia" w:ascii="宋体" w:hAnsi="宋体" w:eastAsia="宋体" w:cs="宋体"/>
          <w:sz w:val="24"/>
          <w:szCs w:val="24"/>
        </w:rPr>
        <w:t xml:space="preserve"> </w:t>
      </w:r>
    </w:p>
    <w:bookmarkEnd w:id="1"/>
    <w:p w14:paraId="58E97973">
      <w:pPr>
        <w:spacing w:line="360" w:lineRule="auto"/>
        <w:jc w:val="left"/>
        <w:rPr>
          <w:rFonts w:hint="eastAsia" w:ascii="宋体" w:hAnsi="宋体" w:eastAsia="宋体" w:cs="宋体"/>
          <w:b/>
          <w:sz w:val="24"/>
          <w:szCs w:val="24"/>
        </w:rPr>
      </w:pPr>
      <w:r>
        <w:rPr>
          <w:rFonts w:hint="eastAsia" w:ascii="宋体" w:hAnsi="宋体" w:eastAsia="宋体" w:cs="宋体"/>
          <w:b/>
          <w:color w:val="000000"/>
          <w:sz w:val="24"/>
        </w:rPr>
        <w:t>一、项目概况与采购范围</w:t>
      </w:r>
      <w:r>
        <w:rPr>
          <w:rFonts w:hint="eastAsia" w:ascii="宋体" w:hAnsi="宋体" w:eastAsia="宋体" w:cs="宋体"/>
          <w:b/>
          <w:sz w:val="24"/>
          <w:szCs w:val="24"/>
        </w:rPr>
        <w:t xml:space="preserve"> </w:t>
      </w:r>
    </w:p>
    <w:p w14:paraId="6288E12C">
      <w:pPr>
        <w:snapToGrid w:val="0"/>
        <w:spacing w:line="360" w:lineRule="auto"/>
        <w:ind w:right="-65" w:rightChars="-19"/>
        <w:rPr>
          <w:rFonts w:hint="eastAsia" w:ascii="宋体" w:hAnsi="宋体" w:eastAsia="宋体" w:cs="宋体"/>
          <w:sz w:val="24"/>
          <w:szCs w:val="24"/>
          <w:lang w:eastAsia="zh-CN"/>
        </w:rPr>
      </w:pPr>
      <w:bookmarkStart w:id="2" w:name="_Toc495644244"/>
      <w:r>
        <w:rPr>
          <w:rFonts w:hint="eastAsia" w:ascii="宋体" w:hAnsi="宋体" w:eastAsia="宋体" w:cs="宋体"/>
          <w:color w:val="000000"/>
          <w:sz w:val="24"/>
        </w:rPr>
        <w:t>1</w:t>
      </w:r>
      <w:r>
        <w:rPr>
          <w:rFonts w:hint="eastAsia" w:ascii="宋体" w:hAnsi="宋体" w:eastAsia="宋体" w:cs="宋体"/>
          <w:bCs/>
          <w:color w:val="000000"/>
          <w:sz w:val="24"/>
        </w:rPr>
        <w:t>.</w:t>
      </w:r>
      <w:r>
        <w:rPr>
          <w:rFonts w:hint="eastAsia" w:ascii="宋体" w:hAnsi="宋体" w:eastAsia="宋体" w:cs="宋体"/>
          <w:color w:val="000000"/>
          <w:sz w:val="24"/>
        </w:rPr>
        <w:t>项目名称：</w:t>
      </w:r>
      <w:r>
        <w:rPr>
          <w:rFonts w:hint="eastAsia" w:ascii="宋体" w:hAnsi="宋体" w:eastAsia="宋体" w:cs="宋体"/>
          <w:sz w:val="24"/>
          <w:szCs w:val="24"/>
          <w:lang w:eastAsia="zh-CN"/>
        </w:rPr>
        <w:t>锡林郭勒供电公司2025年仪器仪表检测框架协议采购项目</w:t>
      </w:r>
    </w:p>
    <w:p w14:paraId="4439FB46">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color w:val="000000"/>
          <w:sz w:val="24"/>
        </w:rPr>
        <w:t>2</w:t>
      </w:r>
      <w:r>
        <w:rPr>
          <w:rFonts w:hint="eastAsia" w:ascii="宋体" w:hAnsi="宋体" w:eastAsia="宋体" w:cs="宋体"/>
          <w:bCs/>
          <w:color w:val="000000"/>
          <w:sz w:val="24"/>
        </w:rPr>
        <w:t>.</w:t>
      </w:r>
      <w:r>
        <w:rPr>
          <w:rFonts w:hint="eastAsia" w:ascii="宋体" w:hAnsi="宋体" w:eastAsia="宋体" w:cs="宋体"/>
          <w:color w:val="000000"/>
          <w:sz w:val="24"/>
        </w:rPr>
        <w:t>项目编号：</w:t>
      </w:r>
      <w:r>
        <w:rPr>
          <w:rFonts w:hint="eastAsia" w:ascii="宋体" w:hAnsi="宋体" w:eastAsia="宋体" w:cs="宋体"/>
          <w:sz w:val="24"/>
          <w:szCs w:val="24"/>
          <w:lang w:eastAsia="zh-CN"/>
        </w:rPr>
        <w:t>FZ2025-XDWZ-XB-018</w:t>
      </w:r>
    </w:p>
    <w:p w14:paraId="2B27D494">
      <w:pPr>
        <w:spacing w:line="360" w:lineRule="auto"/>
        <w:rPr>
          <w:rFonts w:hint="eastAsia" w:ascii="宋体" w:hAnsi="宋体" w:eastAsia="宋体" w:cs="宋体"/>
        </w:rPr>
      </w:pPr>
      <w:r>
        <w:rPr>
          <w:rFonts w:hint="eastAsia" w:ascii="宋体" w:hAnsi="宋体" w:eastAsia="宋体" w:cs="宋体"/>
          <w:color w:val="000000"/>
          <w:sz w:val="24"/>
        </w:rPr>
        <w:t>3.资金来源：自筹资金</w:t>
      </w:r>
    </w:p>
    <w:p w14:paraId="27B9F07B">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color w:val="000000"/>
          <w:sz w:val="24"/>
        </w:rPr>
        <w:t>4</w:t>
      </w:r>
      <w:r>
        <w:rPr>
          <w:rFonts w:hint="eastAsia" w:ascii="宋体" w:hAnsi="宋体" w:eastAsia="宋体" w:cs="宋体"/>
          <w:bCs/>
          <w:color w:val="000000"/>
          <w:sz w:val="24"/>
        </w:rPr>
        <w:t>.</w:t>
      </w:r>
      <w:r>
        <w:rPr>
          <w:rFonts w:hint="eastAsia" w:ascii="宋体" w:hAnsi="宋体" w:eastAsia="宋体" w:cs="宋体"/>
          <w:color w:val="000000"/>
          <w:sz w:val="24"/>
        </w:rPr>
        <w:t>采购范围：</w:t>
      </w:r>
      <w:r>
        <w:rPr>
          <w:rFonts w:hint="eastAsia" w:ascii="宋体" w:hAnsi="宋体" w:eastAsia="宋体" w:cs="宋体"/>
          <w:sz w:val="24"/>
          <w:szCs w:val="24"/>
        </w:rPr>
        <w:t>本项目共计</w:t>
      </w:r>
      <w:r>
        <w:rPr>
          <w:rFonts w:hint="eastAsia" w:ascii="宋体" w:hAnsi="宋体" w:eastAsia="宋体" w:cs="宋体"/>
          <w:sz w:val="24"/>
          <w:szCs w:val="24"/>
          <w:lang w:val="en-US" w:eastAsia="zh-CN"/>
        </w:rPr>
        <w:t>1</w:t>
      </w:r>
      <w:r>
        <w:rPr>
          <w:rFonts w:hint="eastAsia" w:ascii="宋体" w:hAnsi="宋体" w:eastAsia="宋体" w:cs="宋体"/>
          <w:sz w:val="24"/>
          <w:szCs w:val="24"/>
        </w:rPr>
        <w:t>包</w:t>
      </w:r>
    </w:p>
    <w:tbl>
      <w:tblPr>
        <w:tblStyle w:val="13"/>
        <w:tblpPr w:leftFromText="180" w:rightFromText="180" w:vertAnchor="text" w:horzAnchor="page" w:tblpXSpec="center" w:tblpY="166"/>
        <w:tblOverlap w:val="never"/>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30"/>
        <w:gridCol w:w="1684"/>
        <w:gridCol w:w="1364"/>
        <w:gridCol w:w="1764"/>
        <w:gridCol w:w="1200"/>
        <w:gridCol w:w="1044"/>
      </w:tblGrid>
      <w:tr w14:paraId="6CB9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59C5631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bidi="ar"/>
              </w:rPr>
              <w:t>序号</w:t>
            </w:r>
          </w:p>
        </w:tc>
        <w:tc>
          <w:tcPr>
            <w:tcW w:w="1830" w:type="dxa"/>
            <w:tcBorders>
              <w:top w:val="single" w:color="auto" w:sz="4" w:space="0"/>
              <w:left w:val="single" w:color="auto" w:sz="4" w:space="0"/>
              <w:bottom w:val="single" w:color="auto" w:sz="4" w:space="0"/>
              <w:right w:val="single" w:color="auto" w:sz="4" w:space="0"/>
            </w:tcBorders>
            <w:noWrap w:val="0"/>
            <w:vAlign w:val="center"/>
          </w:tcPr>
          <w:p w14:paraId="048E926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分包</w:t>
            </w:r>
            <w:r>
              <w:rPr>
                <w:rFonts w:hint="eastAsia" w:ascii="宋体" w:hAnsi="宋体" w:eastAsia="宋体" w:cs="宋体"/>
                <w:color w:val="auto"/>
                <w:sz w:val="24"/>
                <w:szCs w:val="24"/>
              </w:rPr>
              <w:t>名称</w:t>
            </w:r>
          </w:p>
        </w:tc>
        <w:tc>
          <w:tcPr>
            <w:tcW w:w="1684" w:type="dxa"/>
            <w:tcBorders>
              <w:top w:val="single" w:color="auto" w:sz="4" w:space="0"/>
              <w:left w:val="single" w:color="auto" w:sz="4" w:space="0"/>
              <w:bottom w:val="single" w:color="auto" w:sz="4" w:space="0"/>
              <w:right w:val="single" w:color="auto" w:sz="4" w:space="0"/>
            </w:tcBorders>
            <w:noWrap w:val="0"/>
            <w:vAlign w:val="center"/>
          </w:tcPr>
          <w:p w14:paraId="46CF5ED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全年预估发生金额（</w:t>
            </w:r>
            <w:r>
              <w:rPr>
                <w:rFonts w:hint="eastAsia" w:ascii="宋体" w:hAnsi="宋体" w:eastAsia="宋体" w:cs="宋体"/>
                <w:color w:val="auto"/>
                <w:sz w:val="24"/>
                <w:szCs w:val="24"/>
                <w:lang w:val="en-US" w:eastAsia="zh-CN"/>
              </w:rPr>
              <w:t>万</w:t>
            </w:r>
            <w:r>
              <w:rPr>
                <w:rFonts w:hint="eastAsia" w:ascii="宋体" w:hAnsi="宋体" w:eastAsia="宋体" w:cs="宋体"/>
                <w:color w:val="auto"/>
                <w:sz w:val="24"/>
                <w:szCs w:val="24"/>
              </w:rPr>
              <w:t>元）</w:t>
            </w:r>
          </w:p>
        </w:tc>
        <w:tc>
          <w:tcPr>
            <w:tcW w:w="1364" w:type="dxa"/>
            <w:tcBorders>
              <w:top w:val="single" w:color="auto" w:sz="4" w:space="0"/>
              <w:left w:val="single" w:color="auto" w:sz="4" w:space="0"/>
              <w:bottom w:val="single" w:color="auto" w:sz="4" w:space="0"/>
              <w:right w:val="single" w:color="auto" w:sz="4" w:space="0"/>
            </w:tcBorders>
            <w:noWrap w:val="0"/>
            <w:vAlign w:val="center"/>
          </w:tcPr>
          <w:p w14:paraId="6ECDDF4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最高限价</w:t>
            </w:r>
          </w:p>
          <w:p w14:paraId="60C4234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（折扣）</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665B369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分配比例</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DE079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入围家数</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3BAD8CB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5DEC1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750" w:type="dxa"/>
            <w:tcBorders>
              <w:left w:val="single" w:color="auto" w:sz="4" w:space="0"/>
              <w:right w:val="single" w:color="auto" w:sz="4" w:space="0"/>
            </w:tcBorders>
            <w:noWrap w:val="0"/>
            <w:vAlign w:val="center"/>
          </w:tcPr>
          <w:p w14:paraId="46D605C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830" w:type="dxa"/>
            <w:tcBorders>
              <w:left w:val="single" w:color="auto" w:sz="4" w:space="0"/>
              <w:right w:val="single" w:color="auto" w:sz="4" w:space="0"/>
            </w:tcBorders>
            <w:noWrap w:val="0"/>
            <w:vAlign w:val="center"/>
          </w:tcPr>
          <w:p w14:paraId="4D750A4F">
            <w:pPr>
              <w:keepNext w:val="0"/>
              <w:keepLines w:val="0"/>
              <w:widowControl/>
              <w:suppressLineNumbers w:val="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2025年仪器仪表检测</w:t>
            </w:r>
          </w:p>
        </w:tc>
        <w:tc>
          <w:tcPr>
            <w:tcW w:w="1684" w:type="dxa"/>
            <w:tcBorders>
              <w:left w:val="single" w:color="auto" w:sz="4" w:space="0"/>
              <w:right w:val="single" w:color="auto" w:sz="4" w:space="0"/>
            </w:tcBorders>
            <w:noWrap w:val="0"/>
            <w:vAlign w:val="center"/>
          </w:tcPr>
          <w:p w14:paraId="119B4255">
            <w:pPr>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200.00</w:t>
            </w:r>
          </w:p>
        </w:tc>
        <w:tc>
          <w:tcPr>
            <w:tcW w:w="1364" w:type="dxa"/>
            <w:tcBorders>
              <w:left w:val="single" w:color="auto" w:sz="4" w:space="0"/>
              <w:right w:val="single" w:color="auto" w:sz="4" w:space="0"/>
            </w:tcBorders>
            <w:noWrap w:val="0"/>
            <w:vAlign w:val="center"/>
          </w:tcPr>
          <w:p w14:paraId="3DDE609C">
            <w:pPr>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100%</w:t>
            </w:r>
          </w:p>
        </w:tc>
        <w:tc>
          <w:tcPr>
            <w:tcW w:w="1764" w:type="dxa"/>
            <w:tcBorders>
              <w:left w:val="single" w:color="auto" w:sz="4" w:space="0"/>
              <w:right w:val="single" w:color="auto" w:sz="4" w:space="0"/>
            </w:tcBorders>
            <w:noWrap w:val="0"/>
            <w:vAlign w:val="center"/>
          </w:tcPr>
          <w:p w14:paraId="46FF9A62">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第一名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60%</w:t>
            </w:r>
          </w:p>
          <w:p w14:paraId="6E4EF48D">
            <w:pPr>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第二名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40%</w:t>
            </w:r>
          </w:p>
        </w:tc>
        <w:tc>
          <w:tcPr>
            <w:tcW w:w="1200" w:type="dxa"/>
            <w:tcBorders>
              <w:left w:val="single" w:color="auto" w:sz="4" w:space="0"/>
              <w:right w:val="single" w:color="auto" w:sz="4" w:space="0"/>
            </w:tcBorders>
            <w:noWrap w:val="0"/>
            <w:vAlign w:val="center"/>
          </w:tcPr>
          <w:p w14:paraId="7B1B327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入围2家</w:t>
            </w:r>
          </w:p>
        </w:tc>
        <w:tc>
          <w:tcPr>
            <w:tcW w:w="1044" w:type="dxa"/>
            <w:tcBorders>
              <w:left w:val="single" w:color="auto" w:sz="4" w:space="0"/>
              <w:right w:val="single" w:color="auto" w:sz="4" w:space="0"/>
            </w:tcBorders>
            <w:noWrap w:val="0"/>
            <w:vAlign w:val="center"/>
          </w:tcPr>
          <w:p w14:paraId="564363A0">
            <w:pPr>
              <w:spacing w:line="360" w:lineRule="auto"/>
              <w:jc w:val="center"/>
              <w:rPr>
                <w:rFonts w:hint="eastAsia"/>
                <w:lang w:val="en-US" w:eastAsia="zh-CN"/>
              </w:rPr>
            </w:pPr>
            <w:r>
              <w:rPr>
                <w:rFonts w:hint="eastAsia" w:ascii="宋体" w:hAnsi="宋体" w:eastAsia="宋体" w:cs="宋体"/>
                <w:color w:val="auto"/>
                <w:sz w:val="24"/>
                <w:szCs w:val="24"/>
                <w:lang w:val="en-US" w:eastAsia="zh-CN"/>
              </w:rPr>
              <w:t>共一包</w:t>
            </w:r>
          </w:p>
        </w:tc>
      </w:tr>
      <w:bookmarkEnd w:id="2"/>
    </w:tbl>
    <w:p w14:paraId="4DF21DD1">
      <w:pPr>
        <w:tabs>
          <w:tab w:val="left" w:pos="2975"/>
        </w:tabs>
        <w:snapToGrid w:val="0"/>
        <w:spacing w:line="360" w:lineRule="auto"/>
        <w:ind w:right="-65" w:rightChars="-19"/>
        <w:rPr>
          <w:rFonts w:hint="default" w:ascii="宋体" w:hAnsi="宋体" w:eastAsia="宋体" w:cs="宋体"/>
          <w:sz w:val="24"/>
          <w:szCs w:val="22"/>
          <w:lang w:val="en-US" w:eastAsia="zh-CN"/>
        </w:rPr>
      </w:pPr>
      <w:bookmarkStart w:id="3" w:name="_Toc37407095"/>
      <w:bookmarkStart w:id="4" w:name="_Toc37409907"/>
      <w:bookmarkStart w:id="5" w:name="_Toc37411142"/>
      <w:r>
        <w:rPr>
          <w:rFonts w:hint="eastAsia" w:ascii="宋体" w:hAnsi="宋体" w:eastAsia="宋体" w:cs="宋体"/>
          <w:color w:val="000000"/>
          <w:sz w:val="24"/>
        </w:rPr>
        <w:t>5</w:t>
      </w:r>
      <w:r>
        <w:rPr>
          <w:rFonts w:hint="eastAsia" w:ascii="宋体" w:hAnsi="宋体" w:eastAsia="宋体" w:cs="宋体"/>
          <w:bCs/>
          <w:color w:val="000000"/>
          <w:sz w:val="24"/>
        </w:rPr>
        <w:t>.</w:t>
      </w:r>
      <w:r>
        <w:rPr>
          <w:rFonts w:hint="eastAsia" w:ascii="宋体" w:hAnsi="宋体" w:eastAsia="宋体" w:cs="宋体"/>
          <w:color w:val="000000"/>
          <w:sz w:val="24"/>
        </w:rPr>
        <w:t>服务范围：对招标仪器清单目录内的超期装备开展检测校验服务</w:t>
      </w:r>
      <w:r>
        <w:rPr>
          <w:rFonts w:hint="eastAsia" w:ascii="宋体" w:hAnsi="宋体" w:eastAsia="宋体" w:cs="宋体"/>
          <w:color w:val="000000"/>
          <w:sz w:val="24"/>
          <w:lang w:eastAsia="zh-CN"/>
        </w:rPr>
        <w:t>；根据相应仪器仪表检定国家标准开展检定工作，对可以现场校验的仪器仪表，中标方需进行现场校验；对实验室环境校验的仪器仪表，中标方需进行实验室校验。对于现场校验不准确仪器及部分精密仪器，甲方可要求中标方开展实验室校验；需要实验室进行校验的仪器仪表由中标方负责运输及校验工作，运输过程中仪器仪表发生损坏由中标方负责维修，无法维修的需由中标方负责采购同型号设备，</w:t>
      </w:r>
      <w:r>
        <w:rPr>
          <w:rFonts w:hint="eastAsia" w:ascii="宋体" w:hAnsi="宋体" w:eastAsia="宋体" w:cs="宋体"/>
          <w:color w:val="000000"/>
          <w:sz w:val="24"/>
          <w:lang w:val="en-US" w:eastAsia="zh-CN"/>
        </w:rPr>
        <w:t>并对所有</w:t>
      </w:r>
      <w:r>
        <w:rPr>
          <w:rFonts w:hint="eastAsia" w:ascii="宋体" w:hAnsi="宋体" w:eastAsia="宋体" w:cs="宋体"/>
          <w:sz w:val="24"/>
          <w:szCs w:val="32"/>
          <w:lang w:val="en-US" w:eastAsia="zh-CN"/>
        </w:rPr>
        <w:t>仪器仪表</w:t>
      </w:r>
      <w:r>
        <w:rPr>
          <w:rFonts w:hint="eastAsia" w:ascii="宋体" w:hAnsi="宋体" w:eastAsia="宋体" w:cs="宋体"/>
          <w:color w:val="000000"/>
          <w:sz w:val="24"/>
          <w:lang w:val="en-US" w:eastAsia="zh-CN"/>
        </w:rPr>
        <w:t>出具</w:t>
      </w:r>
      <w:r>
        <w:rPr>
          <w:rFonts w:hint="eastAsia" w:ascii="宋体" w:hAnsi="宋体" w:eastAsia="宋体" w:cs="宋体"/>
          <w:sz w:val="24"/>
          <w:szCs w:val="32"/>
          <w:lang w:val="en-US" w:eastAsia="zh-CN"/>
        </w:rPr>
        <w:t>电子及纸质校准证书，通过检测合格仪器仪表粘贴CNAS检测标识。</w:t>
      </w:r>
    </w:p>
    <w:p w14:paraId="4B7C4D01">
      <w:pPr>
        <w:snapToGrid w:val="0"/>
        <w:spacing w:line="360" w:lineRule="auto"/>
        <w:ind w:right="-65" w:rightChars="-19"/>
        <w:rPr>
          <w:rFonts w:hint="eastAsia" w:ascii="宋体" w:hAnsi="宋体" w:eastAsia="宋体" w:cs="宋体"/>
          <w:sz w:val="24"/>
          <w:szCs w:val="22"/>
          <w:highlight w:val="yellow"/>
        </w:rPr>
      </w:pPr>
      <w:r>
        <w:rPr>
          <w:rFonts w:hint="eastAsia" w:ascii="宋体" w:hAnsi="宋体" w:eastAsia="宋体" w:cs="宋体"/>
          <w:bCs/>
          <w:color w:val="000000"/>
          <w:sz w:val="24"/>
        </w:rPr>
        <w:t>6.</w:t>
      </w:r>
      <w:r>
        <w:rPr>
          <w:rFonts w:hint="eastAsia" w:ascii="宋体" w:hAnsi="宋体" w:eastAsia="宋体" w:cs="宋体"/>
          <w:sz w:val="24"/>
          <w:szCs w:val="22"/>
        </w:rPr>
        <w:t>框架服务期限：</w:t>
      </w:r>
      <w:r>
        <w:rPr>
          <w:rFonts w:hint="eastAsia" w:ascii="宋体" w:hAnsi="宋体" w:eastAsia="宋体" w:cs="宋体"/>
          <w:sz w:val="24"/>
          <w:szCs w:val="24"/>
        </w:rPr>
        <w:t>自合同签订之日起至2025年12月31日</w:t>
      </w:r>
    </w:p>
    <w:p w14:paraId="7D8106DB">
      <w:pPr>
        <w:spacing w:line="360" w:lineRule="auto"/>
        <w:rPr>
          <w:rFonts w:hint="eastAsia" w:ascii="宋体" w:hAnsi="宋体" w:eastAsia="宋体" w:cs="宋体"/>
          <w:sz w:val="24"/>
          <w:szCs w:val="22"/>
          <w:lang w:eastAsia="zh-CN"/>
        </w:rPr>
      </w:pPr>
      <w:r>
        <w:rPr>
          <w:rFonts w:hint="eastAsia" w:ascii="宋体" w:hAnsi="宋体" w:eastAsia="宋体" w:cs="宋体"/>
          <w:sz w:val="24"/>
          <w:szCs w:val="22"/>
        </w:rPr>
        <w:t>7.服务地点</w:t>
      </w:r>
      <w:r>
        <w:rPr>
          <w:rFonts w:hint="eastAsia" w:ascii="宋体" w:hAnsi="宋体" w:eastAsia="宋体" w:cs="宋体"/>
          <w:sz w:val="24"/>
          <w:szCs w:val="24"/>
        </w:rPr>
        <w:t>：</w:t>
      </w:r>
      <w:r>
        <w:rPr>
          <w:rFonts w:hint="eastAsia" w:ascii="宋体" w:hAnsi="宋体" w:eastAsia="宋体" w:cs="宋体"/>
          <w:sz w:val="24"/>
          <w:szCs w:val="24"/>
          <w:lang w:val="en-US" w:eastAsia="zh-CN"/>
        </w:rPr>
        <w:t>锡林郭勒盟及中标方实验室</w:t>
      </w:r>
    </w:p>
    <w:p w14:paraId="50EEF576">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2"/>
        </w:rPr>
        <w:t>8.结算方式：合同中约定</w:t>
      </w:r>
    </w:p>
    <w:bookmarkEnd w:id="3"/>
    <w:bookmarkEnd w:id="4"/>
    <w:bookmarkEnd w:id="5"/>
    <w:p w14:paraId="599BFAA6">
      <w:pPr>
        <w:widowControl/>
        <w:shd w:val="clear" w:color="auto" w:fill="FFFFFF"/>
        <w:spacing w:line="360" w:lineRule="auto"/>
        <w:jc w:val="left"/>
        <w:rPr>
          <w:rFonts w:hint="eastAsia" w:ascii="宋体" w:hAnsi="宋体" w:eastAsia="宋体" w:cs="宋体"/>
          <w:b/>
          <w:bCs/>
          <w:sz w:val="24"/>
        </w:rPr>
      </w:pPr>
      <w:r>
        <w:rPr>
          <w:rFonts w:hint="eastAsia" w:ascii="宋体" w:hAnsi="宋体" w:eastAsia="宋体" w:cs="宋体"/>
          <w:b/>
          <w:bCs/>
          <w:sz w:val="24"/>
        </w:rPr>
        <w:t>二、供应商资格要求</w:t>
      </w:r>
    </w:p>
    <w:p w14:paraId="7D63163B">
      <w:pPr>
        <w:widowControl/>
        <w:shd w:val="clear" w:color="auto" w:fill="FFFFFF"/>
        <w:spacing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通用资格要求</w:t>
      </w:r>
    </w:p>
    <w:p w14:paraId="7F039791">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1.</w:t>
      </w:r>
      <w:r>
        <w:rPr>
          <w:rFonts w:hint="eastAsia" w:ascii="宋体" w:hAnsi="宋体" w:eastAsia="宋体" w:cs="宋体"/>
          <w:bCs/>
          <w:color w:val="000000"/>
          <w:sz w:val="24"/>
        </w:rPr>
        <w:t>本次采购要求供应商具有中华人民共和国法人资格或其他组织，且具有独立订立合同的权利；</w:t>
      </w:r>
    </w:p>
    <w:p w14:paraId="3D808460">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2.</w:t>
      </w:r>
      <w:r>
        <w:rPr>
          <w:rFonts w:hint="eastAsia" w:ascii="宋体" w:hAnsi="宋体" w:eastAsia="宋体" w:cs="宋体"/>
          <w:bCs/>
          <w:color w:val="000000"/>
          <w:sz w:val="24"/>
        </w:rPr>
        <w:t>单位负责人为同一人或者存在控股、管理关系的不同单位，不得参加同一标段竞标或者未划分标段的同一采购项目竞标。母子公司不能互用资质、业绩；</w:t>
      </w:r>
    </w:p>
    <w:p w14:paraId="5358F3C0">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3.</w:t>
      </w:r>
      <w:r>
        <w:rPr>
          <w:rFonts w:hint="eastAsia" w:ascii="宋体" w:hAnsi="宋体" w:eastAsia="宋体" w:cs="宋体"/>
          <w:bCs/>
          <w:color w:val="000000"/>
          <w:sz w:val="24"/>
        </w:rPr>
        <w:t>具有国家相关部门颁发且有效的营业执照，企业如有信息变更，需有工商局变更说明；</w:t>
      </w:r>
    </w:p>
    <w:p w14:paraId="15CA8BF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bCs/>
          <w:color w:val="auto"/>
          <w:sz w:val="24"/>
          <w:lang w:val="en-US" w:eastAsia="zh-CN"/>
        </w:rPr>
        <w:t>4.</w:t>
      </w:r>
      <w:r>
        <w:rPr>
          <w:rFonts w:hint="eastAsia" w:ascii="宋体" w:hAnsi="宋体" w:eastAsia="宋体" w:cs="宋体"/>
          <w:color w:val="auto"/>
          <w:sz w:val="24"/>
          <w:szCs w:val="24"/>
        </w:rPr>
        <w:t>供应商具有开具增值税专用发票的能力；</w:t>
      </w:r>
    </w:p>
    <w:p w14:paraId="328129EA">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5.</w:t>
      </w:r>
      <w:r>
        <w:rPr>
          <w:rFonts w:hint="eastAsia" w:ascii="宋体" w:hAnsi="宋体" w:eastAsia="宋体" w:cs="宋体"/>
          <w:bCs/>
          <w:color w:val="000000"/>
          <w:sz w:val="24"/>
        </w:rPr>
        <w:t>在近三年内（自采购文件发售之日起前三年）供应商和其法定代表人未有行贿犯罪行为的。</w:t>
      </w:r>
    </w:p>
    <w:p w14:paraId="67387BF8">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rPr>
        <w:t>注：供应商需提供近三年内（自采购文件发售之日起前三年）供应商在中国裁判文书网（http://wenshu.court.gov.cn/）无行贿犯罪档案的查询结果截图和其法定代表人在中国裁判文书网无行贿犯罪档案的查询结果截图，查询结果截图中须包含：“当事人”为供应商单位名称或供应商单位法定代表人，“全文”为“行贿罪”，“裁判日期”不得少于近三年（自采购文件发布之日起前三年，多于三年或不选裁判日期均可）。</w:t>
      </w:r>
    </w:p>
    <w:p w14:paraId="4DE94A74">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供应商未被工商行政管理机关在国家企业信用信息公示系统中列入“严重违法失信企业名单” 和“经营异常名录 ”。</w:t>
      </w:r>
    </w:p>
    <w:p w14:paraId="6EEA7315">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rPr>
        <w:t>注：1）供应商需提供供应商在国家企业信用信息公示系统（www.gsxt.gov.cn）针对 “严重违法失信企业名单 ”和“经营异常名录 ”的两份查询结果截图，查询结果截图中须包含以下信息点：供应商名称、统一社会信用代码、列入严重违法失信名单（黑名单）信息或列入经营异常名录信息。</w:t>
      </w:r>
    </w:p>
    <w:p w14:paraId="4C3C08A9">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rPr>
        <w:t>2）如供应商提供的“列入经营异常名录信息 ”或“列入严重违法失信企业名单（黑名单）信息 ”截图显示，该供应商曾被列入经营异常名录或严重违法失信企业名单（黑名单），但在开标前已被移出，则供应商不属于被列入“严重违法失信企业名单 ” 或“经营异常名录 ”。</w:t>
      </w:r>
    </w:p>
    <w:p w14:paraId="36F50624">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rPr>
        <w:t>3）按照国家企业信用信息公示系统“ 网站使用帮助 ”中的系统功能简介，国家企业信用信息公示系统提供全国企业、农民专业合作社、个体工商户等市场主体信用信息的填报、公示、查询和异议等功能，上述范围外的供应商无需提供国家企业信用信息公示系统的截图，但需额外提供不属于上述范围的相关证明（如事业单位可提供有效期内的《事业单位法人证书》）。</w:t>
      </w:r>
    </w:p>
    <w:p w14:paraId="76B47971">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7.</w:t>
      </w:r>
      <w:r>
        <w:rPr>
          <w:rFonts w:hint="eastAsia" w:ascii="宋体" w:hAnsi="宋体" w:eastAsia="宋体" w:cs="宋体"/>
          <w:bCs/>
          <w:color w:val="000000"/>
          <w:sz w:val="24"/>
        </w:rPr>
        <w:t>供应商未被最高人民法院在“信用中国 ”网站（www.creditchina.gov.cn）或各级信用信息共享平台中列入失信被执行人名单。</w:t>
      </w:r>
    </w:p>
    <w:p w14:paraId="7DCC7DFC">
      <w:pPr>
        <w:spacing w:line="360" w:lineRule="auto"/>
        <w:ind w:firstLine="480" w:firstLineChars="200"/>
        <w:jc w:val="left"/>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注：供应商需提供在“信用中国”网站（www.creditchina.gov.cn）或各级信用信息共享平台中列入失信被执行人名单信息的查询结果截图，在“信用中国”的查询结果截图须能体现供应商在“中国执行信息公开网”的查询结果。</w:t>
      </w:r>
    </w:p>
    <w:p w14:paraId="6245709D">
      <w:pPr>
        <w:spacing w:line="360" w:lineRule="auto"/>
        <w:ind w:firstLine="480" w:firstLineChars="200"/>
        <w:jc w:val="left"/>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信用中国”查询方式：“信用中国”→“信用服务”→“失信被执行人”，在弹出窗口进入链接网站（“中国执行信息公开网”），在查询窗口输入查询企业名称，在查询省份范围中选择“全国”，将查询结果截图。</w:t>
      </w:r>
    </w:p>
    <w:p w14:paraId="29F2CFB2">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8.</w:t>
      </w:r>
      <w:r>
        <w:rPr>
          <w:rFonts w:hint="eastAsia" w:ascii="宋体" w:hAnsi="宋体" w:eastAsia="宋体" w:cs="宋体"/>
          <w:bCs/>
          <w:color w:val="000000"/>
          <w:sz w:val="24"/>
        </w:rPr>
        <w:t>供应商未因发生过骗取成交和严重违约、质量事故及重大合同纠纷被上级部门（内蒙古电力（集团）有限责任公司）通报/披露取消竞标资格，并且目前不处于处罚期内；按照内蒙古电力（集团）有限责任公司《关于对供应商不良行为处理的通知》的规定，未列入最新发布的不良供应商名单；</w:t>
      </w:r>
    </w:p>
    <w:p w14:paraId="33B8AF33">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9.</w:t>
      </w:r>
      <w:r>
        <w:rPr>
          <w:rFonts w:hint="eastAsia" w:ascii="宋体" w:hAnsi="宋体" w:eastAsia="宋体" w:cs="宋体"/>
          <w:bCs/>
          <w:color w:val="000000"/>
          <w:sz w:val="24"/>
        </w:rPr>
        <w:t>供应商未被列入中电联发布的涉电力领域失信联合惩戒对象名单及涉电力领域重点关注对象名单（截止到最新所有名单）；</w:t>
      </w:r>
    </w:p>
    <w:p w14:paraId="4A5FC36E">
      <w:pPr>
        <w:spacing w:line="360" w:lineRule="auto"/>
        <w:ind w:firstLine="480" w:firstLineChars="200"/>
        <w:jc w:val="left"/>
        <w:rPr>
          <w:rFonts w:hint="eastAsia" w:ascii="宋体" w:hAnsi="宋体" w:eastAsia="宋体" w:cs="宋体"/>
          <w:bCs/>
          <w:color w:val="000000"/>
          <w:sz w:val="24"/>
        </w:rPr>
      </w:pPr>
      <w:r>
        <w:rPr>
          <w:rFonts w:hint="eastAsia" w:ascii="宋体" w:hAnsi="宋体" w:eastAsia="宋体" w:cs="宋体"/>
          <w:bCs/>
          <w:color w:val="000000"/>
          <w:sz w:val="24"/>
          <w:lang w:val="en-US" w:eastAsia="zh-CN"/>
        </w:rPr>
        <w:t>10.</w:t>
      </w:r>
      <w:r>
        <w:rPr>
          <w:rFonts w:hint="eastAsia" w:ascii="宋体" w:hAnsi="宋体" w:eastAsia="宋体" w:cs="宋体"/>
          <w:bCs/>
          <w:color w:val="000000"/>
          <w:sz w:val="24"/>
        </w:rPr>
        <w:t>本项目不接受联合体竞标。</w:t>
      </w:r>
    </w:p>
    <w:p w14:paraId="2A3F2504">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专用资格要求：</w:t>
      </w:r>
    </w:p>
    <w:p w14:paraId="4DA99943">
      <w:pPr>
        <w:numPr>
          <w:ilvl w:val="0"/>
          <w:numId w:val="0"/>
        </w:numPr>
        <w:snapToGrid w:val="0"/>
        <w:spacing w:line="360" w:lineRule="auto"/>
        <w:ind w:right="-65" w:rightChars="-19"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（1）供应商必须具备有效期内的省级及以上市场监督管理局颁发的检验检测机构CMA资质认定证书和中国合格评定国家认可委员会实验室认可CNAS证书。</w:t>
      </w:r>
    </w:p>
    <w:p w14:paraId="41771794">
      <w:pPr>
        <w:numPr>
          <w:ilvl w:val="0"/>
          <w:numId w:val="0"/>
        </w:numPr>
        <w:snapToGrid w:val="0"/>
        <w:spacing w:line="360" w:lineRule="auto"/>
        <w:ind w:right="-65" w:rightChars="-19" w:firstLine="480" w:firstLineChars="200"/>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（2）供应商提供近三年(2022年06月至今)完成的仪器仪表检测业绩至少一份，业绩证明材料均以①合同;②对应中标通知书;③发票，①②或①③同时提供为准。</w:t>
      </w:r>
    </w:p>
    <w:p w14:paraId="722907D1">
      <w:pPr>
        <w:numPr>
          <w:ilvl w:val="0"/>
          <w:numId w:val="0"/>
        </w:numPr>
        <w:snapToGrid w:val="0"/>
        <w:spacing w:line="360" w:lineRule="auto"/>
        <w:ind w:right="-65" w:rightChars="-19"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（3）供应商须承诺：本项目拟派的校验人员必须为本单位注册的一级注册计量师或二级注册计量师。（承诺书格式自拟）</w:t>
      </w:r>
    </w:p>
    <w:p w14:paraId="56FB727C">
      <w:pPr>
        <w:spacing w:line="360" w:lineRule="auto"/>
        <w:ind w:firstLine="361" w:firstLineChars="150"/>
        <w:rPr>
          <w:rFonts w:hint="eastAsia" w:ascii="宋体" w:hAnsi="宋体" w:eastAsia="宋体" w:cs="宋体"/>
          <w:b/>
          <w:sz w:val="24"/>
        </w:rPr>
      </w:pPr>
      <w:r>
        <w:rPr>
          <w:rFonts w:hint="eastAsia" w:ascii="宋体" w:hAnsi="宋体" w:eastAsia="宋体" w:cs="宋体"/>
          <w:b/>
          <w:sz w:val="24"/>
        </w:rPr>
        <w:t>三.报名及采购文件的获取：</w:t>
      </w:r>
    </w:p>
    <w:p w14:paraId="5FBB5FDC">
      <w:pPr>
        <w:spacing w:line="360" w:lineRule="auto"/>
        <w:ind w:firstLine="480" w:firstLineChars="200"/>
        <w:rPr>
          <w:rFonts w:hint="eastAsia" w:ascii="宋体" w:hAnsi="宋体" w:eastAsia="宋体" w:cs="宋体"/>
          <w:color w:val="000000"/>
          <w:sz w:val="24"/>
          <w:szCs w:val="24"/>
        </w:rPr>
      </w:pPr>
      <w:bookmarkStart w:id="6" w:name="_Toc37407101"/>
      <w:bookmarkStart w:id="7" w:name="_Toc37411148"/>
      <w:bookmarkStart w:id="8" w:name="_Toc37409913"/>
      <w:bookmarkStart w:id="9" w:name="_Toc495645075"/>
      <w:r>
        <w:rPr>
          <w:rFonts w:hint="eastAsia" w:ascii="宋体" w:hAnsi="宋体" w:eastAsia="宋体" w:cs="宋体"/>
          <w:color w:val="000000"/>
          <w:sz w:val="24"/>
          <w:szCs w:val="24"/>
        </w:rPr>
        <w:t>1.采购文件售价：不收取</w:t>
      </w:r>
    </w:p>
    <w:p w14:paraId="5B66F253">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rPr>
        <w:t>2.</w:t>
      </w:r>
      <w:r>
        <w:rPr>
          <w:rFonts w:hint="eastAsia" w:ascii="宋体" w:hAnsi="宋体" w:eastAsia="宋体" w:cs="宋体"/>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互连扫码签章，前述工作完成后方可开始报名。</w:t>
      </w:r>
    </w:p>
    <w:p w14:paraId="2C53AC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3.本项目实行在线报名和发布采购文件。凡有意参加投标者，请于</w:t>
      </w:r>
      <w:r>
        <w:rPr>
          <w:rFonts w:hint="eastAsia" w:ascii="宋体" w:hAnsi="宋体" w:eastAsia="宋体" w:cs="宋体"/>
          <w:sz w:val="24"/>
          <w:szCs w:val="24"/>
          <w:lang w:eastAsia="zh-CN"/>
        </w:rPr>
        <w:t>2025年6月27日</w:t>
      </w:r>
      <w:r>
        <w:rPr>
          <w:rFonts w:hint="eastAsia" w:ascii="宋体" w:hAnsi="宋体" w:eastAsia="宋体" w:cs="宋体"/>
          <w:sz w:val="24"/>
          <w:szCs w:val="24"/>
        </w:rPr>
        <w:t>至</w:t>
      </w:r>
      <w:r>
        <w:rPr>
          <w:rFonts w:hint="eastAsia" w:ascii="宋体" w:hAnsi="宋体" w:eastAsia="宋体" w:cs="宋体"/>
          <w:sz w:val="24"/>
          <w:szCs w:val="24"/>
          <w:lang w:eastAsia="zh-CN"/>
        </w:rPr>
        <w:t>2025年7月2日</w:t>
      </w:r>
      <w:r>
        <w:rPr>
          <w:rFonts w:hint="eastAsia" w:ascii="宋体" w:hAnsi="宋体" w:eastAsia="宋体" w:cs="宋体"/>
          <w:sz w:val="24"/>
          <w:szCs w:val="24"/>
        </w:rPr>
        <w:t>下午17:00，进入内蒙古电力集团电子采购系统（http://guocai-impc.cppchina.cn）→投标人登录→“报名管理”在线报名，逾期不予受理。</w:t>
      </w:r>
    </w:p>
    <w:p w14:paraId="4D9F85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（1）具体流程为：登录平台（未注册用户请先免费注册）→在报名管理界面查看最新采购项目→供应商报名提交报名资料→报名成功后→供应商下载采购文件。平台联系电话：400-9913-966 。</w:t>
      </w:r>
    </w:p>
    <w:p w14:paraId="555F4A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14:paraId="6C95478F">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注：扫码登录，扫码签章，扫码加密，扫码解密， 登录 APP 的手机号必须保持一致。</w:t>
      </w:r>
    </w:p>
    <w:p w14:paraId="23D6D430">
      <w:pPr>
        <w:pStyle w:val="16"/>
        <w:adjustRightInd w:val="0"/>
        <w:snapToGrid w:val="0"/>
        <w:spacing w:line="360" w:lineRule="auto"/>
        <w:ind w:left="31" w:leftChars="9" w:firstLine="458" w:firstLineChars="191"/>
        <w:jc w:val="left"/>
        <w:rPr>
          <w:rFonts w:hint="eastAsia" w:ascii="宋体" w:hAnsi="宋体" w:eastAsia="宋体" w:cs="宋体"/>
          <w:color w:val="000000"/>
          <w:sz w:val="24"/>
          <w:szCs w:val="24"/>
        </w:rPr>
      </w:pPr>
      <w:r>
        <w:rPr>
          <w:rFonts w:hint="eastAsia" w:ascii="宋体" w:hAnsi="宋体" w:eastAsia="宋体" w:cs="宋体"/>
          <w:color w:val="000000"/>
          <w:sz w:val="24"/>
          <w:szCs w:val="24"/>
        </w:rPr>
        <w:t>4.报名所需资料</w:t>
      </w:r>
    </w:p>
    <w:p w14:paraId="2BD45649">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（1）法定代表人身份证明或法定代表人授权委托书（详见采购公告附件）；</w:t>
      </w:r>
    </w:p>
    <w:p w14:paraId="1724DE2B">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14:paraId="00E6D800">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p>
    <w:p w14:paraId="30867EB1">
      <w:pPr>
        <w:spacing w:line="360" w:lineRule="auto"/>
        <w:ind w:firstLine="120" w:firstLineChars="50"/>
        <w:rPr>
          <w:rFonts w:hint="eastAsia" w:ascii="宋体" w:hAnsi="宋体" w:eastAsia="宋体" w:cs="宋体"/>
          <w:color w:val="auto"/>
          <w:sz w:val="24"/>
        </w:rPr>
      </w:pPr>
      <w:r>
        <w:rPr>
          <w:rFonts w:hint="eastAsia" w:ascii="宋体" w:hAnsi="宋体" w:eastAsia="宋体" w:cs="宋体"/>
          <w:color w:val="auto"/>
          <w:kern w:val="24"/>
          <w:sz w:val="24"/>
          <w:szCs w:val="24"/>
        </w:rPr>
        <w:t>（4）</w:t>
      </w:r>
      <w:r>
        <w:rPr>
          <w:rFonts w:hint="eastAsia" w:ascii="宋体" w:hAnsi="宋体" w:eastAsia="宋体" w:cs="宋体"/>
          <w:color w:val="auto"/>
          <w:sz w:val="24"/>
        </w:rPr>
        <w:t>开具增值税专用发票的相关证明资料；</w:t>
      </w:r>
    </w:p>
    <w:p w14:paraId="222C4732">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（5）供应商通用资格要求中的证明材料；</w:t>
      </w:r>
    </w:p>
    <w:p w14:paraId="3BCF83BB">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 xml:space="preserve">（6）供应商专用资格要求中的证明材料；（提供专用资格要求的证明材料，必要时需提供网页查询真伪截图及网址链接）   </w:t>
      </w:r>
      <w:r>
        <w:rPr>
          <w:rFonts w:hint="eastAsia" w:ascii="宋体" w:hAnsi="宋体" w:eastAsia="宋体" w:cs="宋体"/>
          <w:b/>
          <w:szCs w:val="24"/>
        </w:rPr>
        <w:t xml:space="preserve">                                                                                                                                                                                                                                                                                                                                                                      </w:t>
      </w:r>
    </w:p>
    <w:p w14:paraId="3722C9FF">
      <w:pPr>
        <w:pStyle w:val="12"/>
        <w:shd w:val="clear" w:color="auto" w:fill="FFFFFF"/>
        <w:spacing w:before="0" w:beforeAutospacing="0" w:after="0" w:afterAutospacing="0" w:line="360" w:lineRule="auto"/>
        <w:ind w:firstLine="482" w:firstLineChars="200"/>
        <w:rPr>
          <w:rFonts w:hint="eastAsia" w:eastAsia="宋体" w:cs="宋体"/>
        </w:rPr>
      </w:pPr>
      <w:bookmarkStart w:id="10" w:name="_Toc495645074"/>
      <w:r>
        <w:rPr>
          <w:rFonts w:hint="eastAsia" w:eastAsia="宋体" w:cs="宋体"/>
          <w:b/>
        </w:rPr>
        <w:t>注：</w:t>
      </w:r>
      <w:bookmarkStart w:id="11" w:name="_Toc37411143"/>
      <w:bookmarkStart w:id="12" w:name="_Toc37407096"/>
      <w:bookmarkStart w:id="13" w:name="_Toc37409908"/>
      <w:r>
        <w:rPr>
          <w:rFonts w:hint="eastAsia" w:eastAsia="宋体" w:cs="宋体"/>
        </w:rPr>
        <w:t>A、上述要求是对供应商的基本要求，如按照行业及相关部门另有规定的遵循其规定，供应商应提供相应的证明或资信材料；</w:t>
      </w:r>
    </w:p>
    <w:p w14:paraId="1A8DE67C">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14:paraId="7760C657">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14:paraId="67E0F24D">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bookmarkEnd w:id="10"/>
    <w:bookmarkEnd w:id="11"/>
    <w:bookmarkEnd w:id="12"/>
    <w:bookmarkEnd w:id="13"/>
    <w:p w14:paraId="371BEC07">
      <w:pPr>
        <w:spacing w:line="360" w:lineRule="auto"/>
        <w:ind w:right="103"/>
        <w:rPr>
          <w:rFonts w:hint="eastAsia" w:ascii="宋体" w:hAnsi="宋体" w:eastAsia="宋体" w:cs="宋体"/>
          <w:b/>
          <w:sz w:val="24"/>
          <w:szCs w:val="24"/>
        </w:rPr>
      </w:pPr>
      <w:bookmarkStart w:id="14" w:name="_Toc37409909"/>
      <w:bookmarkStart w:id="15" w:name="_Toc37411144"/>
      <w:bookmarkStart w:id="16" w:name="_Toc37407097"/>
      <w:r>
        <w:rPr>
          <w:rFonts w:hint="eastAsia" w:ascii="宋体" w:hAnsi="宋体" w:eastAsia="宋体" w:cs="宋体"/>
          <w:b/>
          <w:sz w:val="24"/>
          <w:szCs w:val="24"/>
        </w:rPr>
        <w:t>四、资格审查：</w:t>
      </w:r>
      <w:bookmarkEnd w:id="14"/>
      <w:bookmarkEnd w:id="15"/>
      <w:bookmarkEnd w:id="16"/>
    </w:p>
    <w:p w14:paraId="7E27ACDB">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本次采购采取资格后审方式，开标后由询比评审小组统一进行资格审查，详见采购文件。资格审查时，供应商提供的资料不全或不合格的或模糊不清无法辨认，均不能通过资格审查，其响应文件将被否决。</w:t>
      </w:r>
      <w:bookmarkStart w:id="17" w:name="_Toc37407098"/>
      <w:bookmarkStart w:id="18" w:name="_Toc37409910"/>
      <w:bookmarkStart w:id="19" w:name="_Toc37411145"/>
    </w:p>
    <w:p w14:paraId="134B2E9C">
      <w:pPr>
        <w:widowControl/>
        <w:autoSpaceDE w:val="0"/>
        <w:autoSpaceDN w:val="0"/>
        <w:adjustRightInd w:val="0"/>
        <w:spacing w:line="360" w:lineRule="auto"/>
        <w:jc w:val="left"/>
        <w:rPr>
          <w:rFonts w:hint="eastAsia" w:ascii="宋体" w:hAnsi="宋体" w:eastAsia="宋体" w:cs="宋体"/>
          <w:b/>
          <w:sz w:val="24"/>
        </w:rPr>
      </w:pPr>
      <w:r>
        <w:rPr>
          <w:rFonts w:hint="eastAsia" w:ascii="宋体" w:hAnsi="宋体" w:eastAsia="宋体" w:cs="宋体"/>
          <w:b/>
          <w:sz w:val="24"/>
          <w:szCs w:val="24"/>
        </w:rPr>
        <w:t xml:space="preserve">五、 响应文件的递交 </w:t>
      </w:r>
    </w:p>
    <w:p w14:paraId="115F4A39">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5202538">
      <w:pPr>
        <w:spacing w:line="360" w:lineRule="auto"/>
        <w:ind w:right="103" w:firstLine="480" w:firstLineChars="200"/>
        <w:rPr>
          <w:rFonts w:hint="eastAsia" w:ascii="宋体" w:hAnsi="宋体" w:eastAsia="宋体" w:cs="宋体"/>
        </w:rPr>
      </w:pPr>
      <w:r>
        <w:rPr>
          <w:rFonts w:hint="eastAsia" w:ascii="宋体" w:hAnsi="宋体" w:eastAsia="宋体" w:cs="宋体"/>
          <w:sz w:val="24"/>
          <w:szCs w:val="24"/>
        </w:rPr>
        <w:t>2.供应商对网上递交的响应文件应加密。登录[中招互联]：APP对响应文件进行加密功能（如果供应商使用 A 手机号码对响应文件进行了扫码解密），必须需要使用A手机号码进行扫码解密，才能读取或导入响应文件。</w:t>
      </w:r>
    </w:p>
    <w:p w14:paraId="5DB66C35">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六、 竞标截止时间及地点：</w:t>
      </w:r>
      <w:bookmarkEnd w:id="17"/>
      <w:bookmarkEnd w:id="18"/>
      <w:bookmarkEnd w:id="19"/>
    </w:p>
    <w:p w14:paraId="1C2B2424">
      <w:pPr>
        <w:spacing w:line="360" w:lineRule="auto"/>
        <w:ind w:right="103" w:firstLine="480" w:firstLineChars="200"/>
        <w:rPr>
          <w:rFonts w:hint="eastAsia" w:ascii="宋体" w:hAnsi="宋体" w:eastAsia="宋体" w:cs="宋体"/>
          <w:sz w:val="24"/>
          <w:szCs w:val="24"/>
        </w:rPr>
      </w:pPr>
      <w:bookmarkStart w:id="20" w:name="_Toc37409911"/>
      <w:bookmarkStart w:id="21" w:name="_Toc37411146"/>
      <w:bookmarkStart w:id="22" w:name="_Toc37407099"/>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2025年6月27日</w:t>
      </w:r>
      <w:r>
        <w:rPr>
          <w:rFonts w:hint="eastAsia" w:ascii="宋体" w:hAnsi="宋体" w:eastAsia="宋体" w:cs="宋体"/>
          <w:sz w:val="24"/>
          <w:szCs w:val="24"/>
        </w:rPr>
        <w:t>～</w:t>
      </w:r>
      <w:r>
        <w:rPr>
          <w:rFonts w:hint="eastAsia" w:ascii="宋体" w:hAnsi="宋体" w:eastAsia="宋体" w:cs="宋体"/>
          <w:sz w:val="24"/>
          <w:szCs w:val="24"/>
          <w:lang w:eastAsia="zh-CN"/>
        </w:rPr>
        <w:t>2025年7月4日</w:t>
      </w:r>
      <w:r>
        <w:rPr>
          <w:rFonts w:hint="eastAsia" w:ascii="宋体" w:hAnsi="宋体" w:eastAsia="宋体" w:cs="宋体"/>
          <w:sz w:val="24"/>
          <w:szCs w:val="24"/>
        </w:rPr>
        <w:t>上午09:00时</w:t>
      </w:r>
    </w:p>
    <w:p w14:paraId="0AE282C6">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询比截止时间：</w:t>
      </w:r>
      <w:r>
        <w:rPr>
          <w:rFonts w:hint="eastAsia" w:ascii="宋体" w:hAnsi="宋体" w:eastAsia="宋体" w:cs="宋体"/>
          <w:sz w:val="24"/>
          <w:szCs w:val="24"/>
          <w:lang w:eastAsia="zh-CN"/>
        </w:rPr>
        <w:t>2025年7月4日</w:t>
      </w:r>
      <w:r>
        <w:rPr>
          <w:rFonts w:hint="eastAsia" w:ascii="宋体" w:hAnsi="宋体" w:eastAsia="宋体" w:cs="宋体"/>
          <w:sz w:val="24"/>
          <w:szCs w:val="24"/>
        </w:rPr>
        <w:t>上午9:00</w:t>
      </w:r>
    </w:p>
    <w:p w14:paraId="3CAABDEF">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商务技术经济标开标时间：</w:t>
      </w:r>
      <w:r>
        <w:rPr>
          <w:rFonts w:hint="eastAsia" w:ascii="宋体" w:hAnsi="宋体" w:eastAsia="宋体" w:cs="宋体"/>
          <w:sz w:val="24"/>
          <w:szCs w:val="24"/>
          <w:lang w:eastAsia="zh-CN"/>
        </w:rPr>
        <w:t>2025年7月4日</w:t>
      </w:r>
      <w:r>
        <w:rPr>
          <w:rFonts w:hint="eastAsia" w:ascii="宋体" w:hAnsi="宋体" w:eastAsia="宋体" w:cs="宋体"/>
          <w:sz w:val="24"/>
          <w:szCs w:val="24"/>
        </w:rPr>
        <w:t>上午9:00</w:t>
      </w:r>
    </w:p>
    <w:p w14:paraId="4A9E8553">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商务技术经济标解密时间：</w:t>
      </w:r>
      <w:r>
        <w:rPr>
          <w:rFonts w:hint="eastAsia" w:ascii="宋体" w:hAnsi="宋体" w:eastAsia="宋体" w:cs="宋体"/>
          <w:sz w:val="24"/>
          <w:szCs w:val="24"/>
          <w:lang w:eastAsia="zh-CN"/>
        </w:rPr>
        <w:t>2025年7月4日</w:t>
      </w:r>
      <w:r>
        <w:rPr>
          <w:rFonts w:hint="eastAsia" w:ascii="宋体" w:hAnsi="宋体" w:eastAsia="宋体" w:cs="宋体"/>
          <w:sz w:val="24"/>
          <w:szCs w:val="24"/>
        </w:rPr>
        <w:t>上午9:00～上午9:30</w:t>
      </w:r>
    </w:p>
    <w:p w14:paraId="7A387A4C">
      <w:pPr>
        <w:spacing w:line="360" w:lineRule="auto"/>
        <w:ind w:left="1676" w:leftChars="140" w:hanging="1200" w:hangingChars="500"/>
        <w:rPr>
          <w:rFonts w:hint="eastAsia" w:ascii="宋体" w:hAnsi="宋体" w:eastAsia="宋体" w:cs="宋体"/>
          <w:sz w:val="24"/>
          <w:szCs w:val="24"/>
          <w:lang w:eastAsia="zh-CN"/>
        </w:rPr>
      </w:pPr>
      <w:r>
        <w:rPr>
          <w:rFonts w:hint="eastAsia" w:ascii="宋体" w:hAnsi="宋体" w:eastAsia="宋体" w:cs="宋体"/>
          <w:sz w:val="24"/>
          <w:szCs w:val="24"/>
        </w:rPr>
        <w:t>询比地点：内蒙古产权交易中心有限责任公司</w:t>
      </w:r>
    </w:p>
    <w:bookmarkEnd w:id="20"/>
    <w:bookmarkEnd w:id="21"/>
    <w:bookmarkEnd w:id="22"/>
    <w:p w14:paraId="200B3E80">
      <w:pPr>
        <w:spacing w:line="360" w:lineRule="auto"/>
        <w:ind w:left="-5"/>
        <w:rPr>
          <w:rFonts w:hint="eastAsia" w:ascii="宋体" w:hAnsi="宋体" w:eastAsia="宋体" w:cs="宋体"/>
          <w:b/>
          <w:sz w:val="24"/>
          <w:szCs w:val="24"/>
        </w:rPr>
      </w:pPr>
      <w:bookmarkStart w:id="23" w:name="_Toc37411147"/>
      <w:bookmarkStart w:id="24" w:name="_Toc37409912"/>
      <w:bookmarkStart w:id="25" w:name="_Toc37407100"/>
      <w:r>
        <w:rPr>
          <w:rFonts w:hint="eastAsia" w:ascii="宋体" w:hAnsi="宋体" w:eastAsia="宋体" w:cs="宋体"/>
          <w:b/>
          <w:bCs/>
          <w:sz w:val="24"/>
          <w:szCs w:val="24"/>
        </w:rPr>
        <w:t>七、解密方式</w:t>
      </w:r>
      <w:r>
        <w:rPr>
          <w:rFonts w:hint="eastAsia" w:ascii="宋体" w:hAnsi="宋体" w:eastAsia="宋体" w:cs="宋体"/>
          <w:sz w:val="24"/>
          <w:szCs w:val="24"/>
        </w:rPr>
        <w:t>：</w:t>
      </w:r>
    </w:p>
    <w:p w14:paraId="5AC03E0D">
      <w:pPr>
        <w:pStyle w:val="17"/>
        <w:spacing w:line="360" w:lineRule="auto"/>
        <w:ind w:firstLine="480" w:firstLineChars="200"/>
        <w:rPr>
          <w:rFonts w:hint="eastAsia" w:hAnsi="宋体"/>
        </w:rPr>
      </w:pPr>
      <w:r>
        <w:rPr>
          <w:rFonts w:hint="eastAsia" w:hAnsi="宋体"/>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14:paraId="49BE536A">
      <w:pPr>
        <w:pStyle w:val="17"/>
        <w:spacing w:line="360" w:lineRule="auto"/>
        <w:ind w:firstLine="480" w:firstLineChars="200"/>
        <w:rPr>
          <w:rFonts w:hint="eastAsia" w:hAnsi="宋体"/>
        </w:rPr>
      </w:pPr>
      <w:r>
        <w:rPr>
          <w:rFonts w:hint="eastAsia" w:hAnsi="宋体"/>
        </w:rPr>
        <w:t>请投标人按公告时间及时参与相关签到、解密及确认工作，签到、解密及确认过程中有任何问题请及时联系技术支持解决（电话：400-9913-966，周一至周日，8点30至20点30时），因投标人原因未在规定时间内解密投标文件，视为投标人撤销其投标文件。</w:t>
      </w:r>
    </w:p>
    <w:p w14:paraId="7222EB58">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八、采购费用：</w:t>
      </w:r>
      <w:bookmarkEnd w:id="23"/>
      <w:bookmarkEnd w:id="24"/>
      <w:bookmarkEnd w:id="25"/>
    </w:p>
    <w:p w14:paraId="4A6158DA">
      <w:pPr>
        <w:pStyle w:val="17"/>
        <w:spacing w:line="360" w:lineRule="auto"/>
        <w:ind w:firstLine="480" w:firstLineChars="200"/>
        <w:rPr>
          <w:rFonts w:hint="eastAsia" w:ascii="宋体" w:hAnsi="宋体" w:eastAsia="宋体" w:cs="宋体"/>
        </w:rPr>
      </w:pPr>
      <w:r>
        <w:rPr>
          <w:rFonts w:hint="eastAsia" w:ascii="宋体" w:hAnsi="宋体" w:eastAsia="宋体" w:cs="宋体"/>
          <w:lang w:val="en-US" w:eastAsia="zh-CN"/>
        </w:rPr>
        <w:t>8.1</w:t>
      </w:r>
      <w:r>
        <w:rPr>
          <w:rFonts w:hint="eastAsia" w:ascii="宋体" w:hAnsi="宋体" w:eastAsia="宋体" w:cs="宋体"/>
        </w:rPr>
        <w:t>中标服务费：中标服务费由成交供应商支付。</w:t>
      </w:r>
    </w:p>
    <w:p w14:paraId="1C7FE947">
      <w:pPr>
        <w:pStyle w:val="17"/>
        <w:spacing w:line="360" w:lineRule="auto"/>
        <w:ind w:firstLine="480" w:firstLineChars="200"/>
        <w:rPr>
          <w:rFonts w:hint="eastAsia" w:ascii="宋体" w:hAnsi="宋体" w:eastAsia="宋体" w:cs="宋体"/>
        </w:rPr>
      </w:pPr>
      <w:r>
        <w:rPr>
          <w:rFonts w:hint="eastAsia" w:ascii="宋体" w:hAnsi="宋体" w:eastAsia="宋体" w:cs="宋体"/>
          <w:lang w:val="en-US" w:eastAsia="zh-CN"/>
        </w:rPr>
        <w:t>8.2</w:t>
      </w:r>
      <w:r>
        <w:rPr>
          <w:rFonts w:hint="eastAsia" w:ascii="宋体" w:hAnsi="宋体" w:eastAsia="宋体" w:cs="宋体"/>
        </w:rPr>
        <w:t>非招标采购项目中电子交易平台收取的电子投标服务费调整为300元/标段每标段每家供应商需（在上传响应文件前）在线向电子交易平台缴纳电子投标服务费。</w:t>
      </w:r>
    </w:p>
    <w:p w14:paraId="029EE2EF">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8.3 产权场地服务费：</w:t>
      </w:r>
    </w:p>
    <w:p w14:paraId="48B5F00D">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8.2.1场所服务费收取标准</w:t>
      </w:r>
    </w:p>
    <w:p w14:paraId="62012D34">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成交供应商需在成交结果公告发布后5日内向内蒙古产权交易中心有限责任公司缴纳场所服务费的，收取标准如下：</w:t>
      </w:r>
    </w:p>
    <w:p w14:paraId="1099329A">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（1）以成交金额为基数，按1‰标准向成交供应商收取场所服务费，不足500元的按500元统一收取。</w:t>
      </w:r>
    </w:p>
    <w:p w14:paraId="471F5674">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（2）入围、框架类、单价类等无固定成交总价的项目，按1000元/家的标准向成交供应商收取场所服务费。</w:t>
      </w:r>
    </w:p>
    <w:p w14:paraId="79F42DAA">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8.2.2场所服务费缴纳方式为公对公转账，汇款信息如下：</w:t>
      </w:r>
    </w:p>
    <w:p w14:paraId="67F3ADB1">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收款单位名称：内蒙古产权交易中心有限责任公司</w:t>
      </w:r>
    </w:p>
    <w:p w14:paraId="683C37AD">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开户行：华夏银行呼和浩特分行营业部</w:t>
      </w:r>
    </w:p>
    <w:p w14:paraId="6A152E64">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 xml:space="preserve">账  号：5830200001819100031131 </w:t>
      </w:r>
    </w:p>
    <w:p w14:paraId="157C432E">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行  号：304191001951</w:t>
      </w:r>
    </w:p>
    <w:p w14:paraId="37DC416D">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8.2.3交易场所：内蒙古产权交易中心有限责任公司</w:t>
      </w:r>
    </w:p>
    <w:p w14:paraId="1843BBA1">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地    址：内蒙古呼和浩特市赛罕区阿吉泰路3号</w:t>
      </w:r>
    </w:p>
    <w:p w14:paraId="47F85561">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联系人：任海婷</w:t>
      </w:r>
    </w:p>
    <w:p w14:paraId="11ED8681">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联系电话：0471-3477645</w:t>
      </w:r>
    </w:p>
    <w:p w14:paraId="4122E410">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注：1、中标单位汇款时请务必公对公转账并备注：“开标时间+代理机构简称或项目简称或项目编号”；</w:t>
      </w:r>
    </w:p>
    <w:p w14:paraId="73C2BAA8">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2、中标公示期结束后，若无异议，中标单位应及时缴纳此项费用，以免延误中标通知书的发放。</w:t>
      </w:r>
    </w:p>
    <w:p w14:paraId="07F32559">
      <w:pPr>
        <w:pStyle w:val="17"/>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（3）发票开具：中标人在交纳场地服务费后，须到内蒙古产权交易中心有限责任公司1楼12号窗口开具发票。</w:t>
      </w:r>
    </w:p>
    <w:p w14:paraId="3B634F23">
      <w:pPr>
        <w:spacing w:line="360" w:lineRule="auto"/>
        <w:rPr>
          <w:rFonts w:hint="eastAsia" w:ascii="宋体" w:hAnsi="宋体" w:eastAsia="宋体" w:cs="宋体"/>
          <w:b/>
          <w:sz w:val="24"/>
          <w:szCs w:val="24"/>
        </w:rPr>
      </w:pPr>
      <w:r>
        <w:rPr>
          <w:rFonts w:hint="eastAsia" w:ascii="宋体" w:hAnsi="宋体" w:eastAsia="宋体" w:cs="宋体"/>
          <w:b/>
          <w:sz w:val="24"/>
          <w:szCs w:val="24"/>
        </w:rPr>
        <w:t>九、采购发布公告的</w:t>
      </w:r>
      <w:bookmarkEnd w:id="6"/>
      <w:bookmarkEnd w:id="7"/>
      <w:bookmarkEnd w:id="8"/>
      <w:bookmarkEnd w:id="9"/>
      <w:r>
        <w:rPr>
          <w:rFonts w:hint="eastAsia" w:ascii="宋体" w:hAnsi="宋体" w:eastAsia="宋体" w:cs="宋体"/>
          <w:b/>
          <w:bCs/>
          <w:color w:val="000000"/>
          <w:sz w:val="24"/>
        </w:rPr>
        <w:t>媒体：</w:t>
      </w:r>
      <w:r>
        <w:rPr>
          <w:rFonts w:hint="eastAsia" w:ascii="宋体" w:hAnsi="宋体" w:eastAsia="宋体" w:cs="宋体"/>
          <w:b/>
          <w:sz w:val="24"/>
          <w:szCs w:val="24"/>
        </w:rPr>
        <w:t xml:space="preserve"> </w:t>
      </w:r>
    </w:p>
    <w:p w14:paraId="1FAC0ADA">
      <w:pPr>
        <w:wordWrap w:val="0"/>
        <w:spacing w:line="360" w:lineRule="auto"/>
        <w:ind w:right="0" w:firstLine="480" w:firstLineChars="200"/>
        <w:rPr>
          <w:rFonts w:hint="eastAsia" w:ascii="宋体" w:hAnsi="宋体" w:eastAsia="宋体" w:cs="宋体"/>
          <w:sz w:val="24"/>
          <w:szCs w:val="24"/>
        </w:rPr>
      </w:pPr>
      <w:r>
        <w:rPr>
          <w:rFonts w:hint="eastAsia" w:ascii="宋体" w:hAnsi="宋体" w:eastAsia="宋体" w:cs="宋体"/>
          <w:sz w:val="24"/>
          <w:szCs w:val="24"/>
        </w:rPr>
        <w:t>本次公告在《内蒙古电力集团电子采购系统》（http://guocai-impc.cppchina.cn）</w:t>
      </w:r>
      <w:r>
        <w:rPr>
          <w:rFonts w:hint="eastAsia" w:ascii="宋体" w:hAnsi="宋体" w:eastAsia="宋体" w:cs="宋体"/>
          <w:sz w:val="24"/>
        </w:rPr>
        <w:t>、</w:t>
      </w:r>
      <w:r>
        <w:rPr>
          <w:rFonts w:hint="eastAsia" w:ascii="宋体" w:hAnsi="宋体" w:eastAsia="宋体" w:cs="宋体"/>
          <w:sz w:val="24"/>
          <w:szCs w:val="24"/>
        </w:rPr>
        <w:t>《内蒙古产权交易网》（http://nmgcqjy.e-jy.com.cn）</w:t>
      </w:r>
      <w:r>
        <w:rPr>
          <w:rFonts w:hint="eastAsia" w:ascii="宋体" w:hAnsi="宋体" w:eastAsia="宋体" w:cs="宋体"/>
          <w:sz w:val="24"/>
          <w:szCs w:val="24"/>
          <w:lang w:eastAsia="zh-CN"/>
        </w:rPr>
        <w:t>、</w:t>
      </w:r>
      <w:r>
        <w:rPr>
          <w:rFonts w:hint="eastAsia" w:ascii="宋体" w:hAnsi="宋体" w:eastAsia="宋体" w:cs="宋体"/>
          <w:sz w:val="24"/>
          <w:szCs w:val="24"/>
        </w:rPr>
        <w:t>《中国招标投标公共服务平台》（www.cebpubservice.com）、《内蒙古招标投标公共服务平台》（http://zbgg.nmgztb.com.cn/）同时发布，其它媒介转发无效。</w:t>
      </w:r>
    </w:p>
    <w:p w14:paraId="58FA8AC9">
      <w:pPr>
        <w:adjustRightInd w:val="0"/>
        <w:spacing w:line="360" w:lineRule="auto"/>
        <w:rPr>
          <w:rFonts w:hint="eastAsia" w:ascii="宋体" w:hAnsi="宋体" w:eastAsia="宋体" w:cs="宋体"/>
          <w:b/>
          <w:bCs/>
          <w:color w:val="000000"/>
          <w:sz w:val="24"/>
        </w:rPr>
      </w:pPr>
      <w:r>
        <w:rPr>
          <w:rFonts w:hint="eastAsia" w:ascii="宋体" w:hAnsi="宋体" w:eastAsia="宋体" w:cs="宋体"/>
          <w:b/>
          <w:bCs/>
          <w:color w:val="000000"/>
          <w:sz w:val="24"/>
        </w:rPr>
        <w:t>十、联系人及联系方式：</w:t>
      </w:r>
    </w:p>
    <w:p w14:paraId="4460C4B8">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采 购 人：内蒙古电力（集团）有限责任公司锡林郭勒供电分公司物资供应处</w:t>
      </w:r>
    </w:p>
    <w:p w14:paraId="539F1570">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地址：锡林浩特市锡林大街东段</w:t>
      </w:r>
    </w:p>
    <w:p w14:paraId="1B793264">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联系电话：0479-8296337</w:t>
      </w:r>
    </w:p>
    <w:p w14:paraId="217090D6">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 xml:space="preserve">采购代理机构：法正项目管理集团有限公司 </w:t>
      </w:r>
    </w:p>
    <w:p w14:paraId="28ADCBB9">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地址：内蒙古锡林浩特市赛汉路荣华苑7号楼商铺7-01室</w:t>
      </w:r>
    </w:p>
    <w:p w14:paraId="687DBA65">
      <w:pPr>
        <w:shd w:val="clear" w:color="auto" w:fill="FFFFFF"/>
        <w:spacing w:line="360" w:lineRule="auto"/>
        <w:rPr>
          <w:rFonts w:hint="eastAsia" w:ascii="宋体" w:hAnsi="宋体" w:eastAsia="宋体" w:cs="宋体"/>
          <w:kern w:val="0"/>
          <w:sz w:val="24"/>
          <w:lang w:eastAsia="zh-CN"/>
        </w:rPr>
      </w:pPr>
      <w:r>
        <w:rPr>
          <w:rFonts w:hint="eastAsia" w:ascii="宋体" w:hAnsi="宋体" w:eastAsia="宋体" w:cs="宋体"/>
          <w:kern w:val="0"/>
          <w:sz w:val="24"/>
        </w:rPr>
        <w:t>联系人：</w:t>
      </w:r>
      <w:r>
        <w:rPr>
          <w:rFonts w:hint="eastAsia" w:ascii="宋体" w:hAnsi="宋体" w:eastAsia="宋体" w:cs="宋体"/>
          <w:kern w:val="0"/>
          <w:sz w:val="24"/>
          <w:lang w:eastAsia="zh-CN"/>
        </w:rPr>
        <w:t>向忠海、仲桂燕、裴文东、白雪莲、马振伟、张晓林、高森</w:t>
      </w:r>
    </w:p>
    <w:p w14:paraId="35D3B9AC">
      <w:pPr>
        <w:shd w:val="clear" w:color="auto" w:fill="FFFFFF"/>
        <w:spacing w:line="360" w:lineRule="auto"/>
        <w:rPr>
          <w:rFonts w:hint="eastAsia" w:ascii="宋体" w:hAnsi="宋体" w:eastAsia="宋体" w:cs="宋体"/>
          <w:kern w:val="0"/>
          <w:sz w:val="24"/>
        </w:rPr>
      </w:pPr>
      <w:r>
        <w:rPr>
          <w:rFonts w:hint="eastAsia" w:ascii="宋体" w:hAnsi="宋体" w:eastAsia="宋体" w:cs="宋体"/>
          <w:kern w:val="0"/>
          <w:sz w:val="24"/>
        </w:rPr>
        <w:t>联系电话：0479-8289588</w:t>
      </w:r>
    </w:p>
    <w:p w14:paraId="4F222EE9">
      <w:pPr>
        <w:rPr>
          <w:rFonts w:hint="eastAsia" w:ascii="宋体" w:hAnsi="宋体" w:eastAsia="宋体" w:cs="宋体"/>
          <w:kern w:val="0"/>
          <w:sz w:val="24"/>
          <w:lang w:eastAsia="zh-CN"/>
        </w:rPr>
      </w:pPr>
      <w:r>
        <w:rPr>
          <w:rFonts w:hint="eastAsia" w:ascii="宋体" w:hAnsi="宋体" w:eastAsia="宋体" w:cs="宋体"/>
          <w:kern w:val="0"/>
          <w:sz w:val="24"/>
        </w:rPr>
        <w:t>邮箱：</w:t>
      </w:r>
      <w:r>
        <w:rPr>
          <w:rFonts w:hint="eastAsia" w:ascii="宋体" w:hAnsi="宋体" w:eastAsia="宋体" w:cs="宋体"/>
          <w:kern w:val="0"/>
          <w:sz w:val="24"/>
          <w:lang w:eastAsia="zh-CN"/>
        </w:rPr>
        <w:fldChar w:fldCharType="begin"/>
      </w:r>
      <w:r>
        <w:rPr>
          <w:rFonts w:hint="eastAsia" w:ascii="宋体" w:hAnsi="宋体" w:eastAsia="宋体" w:cs="宋体"/>
          <w:kern w:val="0"/>
          <w:sz w:val="24"/>
          <w:lang w:eastAsia="zh-CN"/>
        </w:rPr>
        <w:instrText xml:space="preserve"> HYPERLINK "mailto:463378062@qq.com" </w:instrText>
      </w:r>
      <w:r>
        <w:rPr>
          <w:rFonts w:hint="eastAsia" w:ascii="宋体" w:hAnsi="宋体" w:eastAsia="宋体" w:cs="宋体"/>
          <w:kern w:val="0"/>
          <w:sz w:val="24"/>
          <w:lang w:eastAsia="zh-CN"/>
        </w:rPr>
        <w:fldChar w:fldCharType="separate"/>
      </w:r>
      <w:r>
        <w:rPr>
          <w:rStyle w:val="15"/>
          <w:rFonts w:hint="eastAsia" w:ascii="宋体" w:hAnsi="宋体" w:eastAsia="宋体" w:cs="宋体"/>
          <w:kern w:val="0"/>
          <w:sz w:val="24"/>
          <w:lang w:eastAsia="zh-CN"/>
        </w:rPr>
        <w:t>463378062@qq.com</w:t>
      </w:r>
      <w:r>
        <w:rPr>
          <w:rStyle w:val="15"/>
          <w:rFonts w:hint="eastAsia" w:ascii="宋体" w:hAnsi="宋体" w:eastAsia="宋体" w:cs="宋体"/>
          <w:kern w:val="0"/>
          <w:sz w:val="24"/>
          <w:lang w:eastAsia="zh-CN"/>
        </w:rPr>
        <w:br w:type="page"/>
      </w:r>
      <w:r>
        <w:rPr>
          <w:rFonts w:hint="eastAsia" w:ascii="宋体" w:hAnsi="宋体" w:eastAsia="宋体" w:cs="宋体"/>
          <w:kern w:val="0"/>
          <w:sz w:val="24"/>
          <w:lang w:eastAsia="zh-CN"/>
        </w:rPr>
        <w:fldChar w:fldCharType="end"/>
      </w:r>
    </w:p>
    <w:p w14:paraId="7C56EBB8">
      <w:pPr>
        <w:pStyle w:val="2"/>
        <w:rPr>
          <w:rFonts w:hint="eastAsia"/>
          <w:lang w:eastAsia="zh-CN"/>
        </w:rPr>
      </w:pPr>
    </w:p>
    <w:p w14:paraId="019EE4F8">
      <w:pPr>
        <w:shd w:val="clear" w:color="auto" w:fill="FFFFFF"/>
        <w:spacing w:line="360" w:lineRule="auto"/>
        <w:rPr>
          <w:rFonts w:hint="eastAsia" w:ascii="宋体" w:hAnsi="宋体" w:eastAsia="宋体" w:cs="宋体"/>
          <w:b/>
          <w:bCs/>
          <w:sz w:val="24"/>
          <w:szCs w:val="24"/>
          <w:lang w:val="en-US" w:eastAsia="zh-CN"/>
        </w:rPr>
      </w:pPr>
      <w:bookmarkStart w:id="26" w:name="_Toc16428"/>
      <w:r>
        <w:rPr>
          <w:rFonts w:hint="eastAsia" w:ascii="宋体" w:hAnsi="宋体" w:eastAsia="宋体" w:cs="宋体"/>
          <w:b/>
          <w:bCs/>
          <w:sz w:val="24"/>
          <w:szCs w:val="24"/>
          <w:lang w:val="en-US" w:eastAsia="zh-CN"/>
        </w:rPr>
        <w:t>需求明细表：</w:t>
      </w:r>
    </w:p>
    <w:tbl>
      <w:tblPr>
        <w:tblStyle w:val="1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90"/>
        <w:gridCol w:w="5739"/>
        <w:gridCol w:w="1391"/>
      </w:tblGrid>
      <w:tr w14:paraId="63166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F59E0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A96BF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仪器名称</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F9F08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控制单价</w:t>
            </w:r>
          </w:p>
        </w:tc>
      </w:tr>
      <w:tr w14:paraId="0D2DF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627F1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92D10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四合一气体检测仪（便携式）</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122E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2A86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EF820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2F34A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氧气浓度含量检测仪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38839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6CEBD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7D749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917E1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电化学氧测定仪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66432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6BECB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E611E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FF31F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继电保护测试仪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AD0B2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w:t>
            </w:r>
          </w:p>
        </w:tc>
      </w:tr>
      <w:tr w14:paraId="7D0AD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5F45C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329C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电容电感测试仪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D2B50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00416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2ADC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81E08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真空度测试仪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7E97C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BE39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2ACF0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70906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全自动互感器特性综合测试仪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3A8E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76EC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88D09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A4109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接地导通测试仪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4198E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r>
      <w:tr w14:paraId="2064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2265B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C0CC0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HC210电缆故障路径定位仪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7F1A0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F99E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E7A47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4DC76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电缆故障探测仪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5AB0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620E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3CD9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0A67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电缆故障定位电源</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98468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02303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023CF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52A3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电缆故障定点仪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85F6D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5692D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C7E62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00871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电缆故障远距定位仪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5849E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186B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6E216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A348A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电缆故障波反射定位仪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82D4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AA69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778A3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734B5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放电计数器检测装置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D0A3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41F08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B03F8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D5846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放电计数器与电流检测表校验装置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FD650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6E388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680F7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BF0A4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电容电流测试仪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25523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29F1F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673B4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F65DA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接地电阻测试仪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8DA5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2654F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E2EA9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C529B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异频大地网接地电阻测试仪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4FFDF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D8F6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6C1E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57233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接地阻抗测试仪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6313E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DD84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D6007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B74DB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蓄电池放电仪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4CFFB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5772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F3BD8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A4C4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蓄电池充放电测试仪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BF8C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18483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C2ED6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6E38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蓄电池组容量测试仪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4A281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039C2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9FF2C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AC557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蓄电池组智能放电负载</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5A579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906D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2D7E0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5826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蓄电池特性测试仪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D69BD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85C4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D730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118B0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10kV核相仪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A0A3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r>
      <w:tr w14:paraId="75642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FC1FF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B011B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无线高压核相仪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6A11A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r>
      <w:tr w14:paraId="4D007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781D3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AA148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相位测试仪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FC4EB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r>
      <w:tr w14:paraId="74806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825A4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66F28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相位转向指示器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B755F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r>
      <w:tr w14:paraId="4F66F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BDFF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CDDC9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光功率计</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B3BF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4026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BC0DD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814D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光纤熔接机</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66674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5220D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6B514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8458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变频串联谐振装置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3F129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3500</w:t>
            </w:r>
          </w:p>
        </w:tc>
      </w:tr>
      <w:tr w14:paraId="58E1C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8739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022A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超轻型电缆测试电源</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1C2C1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r>
      <w:tr w14:paraId="6F97B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EE74E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224B6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电缆路径测试仪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A6C40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r>
      <w:tr w14:paraId="2030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D5D93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81B2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电缆识别仪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A028E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r>
      <w:tr w14:paraId="6AA5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DA323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AFC68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网络自动测试仪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BECF1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4246C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97B5E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D640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B7025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531AC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3FA52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D0679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超声波局放测试仪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D8B9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79077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68F0B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0B209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多功能局放</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58E69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A873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AE3EE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833F4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特高频局放</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28D24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51DED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8303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846DF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开关柜局放测试仪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645E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03F6E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315BF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AC52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钳型相位伏安表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8884A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1DE31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AD6A3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B0833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三相多功能数字伏安相位表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610EE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43B52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15B11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5AD5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试验变压器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FA467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7769B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93A4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F3BC3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励磁变压器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FEE19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2DCD8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8CC15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78536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蓄电池活化仪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608F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6A47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E83F7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47F43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2M误码测试仪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573EE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r>
      <w:tr w14:paraId="4E7D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C1D88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A62D5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交流耐压成套装置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A4624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2470C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123D4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B4C1C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变压器短路阻抗测试仪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7EF6F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r>
      <w:tr w14:paraId="41290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B851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90635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激光测距仪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9DE9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1F86B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44CA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6C975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测距望远镜</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1F259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658FC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4CF2A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80FF6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超声波线缆测高仪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59ED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0E614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42FC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951C2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变压器绕组变形测试仪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4A79D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r>
      <w:tr w14:paraId="663A4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65EAB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62DC2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直流断路器安秒特性测试仪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28DA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76112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945F5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90D16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断路器综合测试仪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41A62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5C4A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B64F2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A412B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OTDR</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47730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r>
      <w:tr w14:paraId="6B3D4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0AA75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4171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变压器参数测试仪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824A4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50A26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3E17F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EA840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变压器容量测试仪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7BBD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32DF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6043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A7EC9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光源光功率一体</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C7EA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51344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4ED28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D9371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手持光时域反射仪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20D2B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1900</w:t>
            </w:r>
          </w:p>
        </w:tc>
      </w:tr>
      <w:tr w14:paraId="4CF2D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BB9BA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2854A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激光异物清除仪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C3712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CA18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3EFFF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4A946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直流接地探测器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EB244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9C76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5E72D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91CBD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蓄电池内阻测试仪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B5F81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5F75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D8F5F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B5DE8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一体式语音数显回弹仪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B94D6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4D340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80538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DB35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复合绝缘子憎水性带电检测仪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72F7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05C7B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6E2F1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F41BC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变压器铭牌拍摄仪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3B2B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51790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F6B45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3FAC7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绝缘油微水测试仪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17616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1750</w:t>
            </w:r>
          </w:p>
        </w:tc>
      </w:tr>
      <w:tr w14:paraId="108D9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B56A3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B7EA5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直流保护级差配合测试仪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F8DB9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r>
      <w:tr w14:paraId="586AF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8C176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695F7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直流绝缘监测装置效验仪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67795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107FB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76A8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1ED70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盐密测试仪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E108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02CDE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60A54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46654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直读式盐密仪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11A8C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5FD08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8F0B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E154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紫外线成像仪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95D47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58202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D6F67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1BB7F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综合自动化系统校验仪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58F5C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r>
      <w:tr w14:paraId="7AC96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67AFA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0CCE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便携式开关柜带电检测综合测试仪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E36A9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074D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562A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9F717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三相保护校验仪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5B72D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w:t>
            </w:r>
          </w:p>
        </w:tc>
      </w:tr>
      <w:tr w14:paraId="1D2F2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7A571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0E198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金属探测仪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F63F7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4F77B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2235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A1B0F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升流器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B2237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69446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7857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738A5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箱式升流器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8BA7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51D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6AB10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26953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全站仪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02A76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1900</w:t>
            </w:r>
          </w:p>
        </w:tc>
      </w:tr>
      <w:tr w14:paraId="0EDA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8A1E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0B6AB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数显绝缘子测试仪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16E1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6C0B3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51FB1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B9283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铁芯接地电流检测仪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F90DD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18E57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7F23E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ABA51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交流采样测试仪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56A1B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r>
      <w:tr w14:paraId="33FE7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185EC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3A2DB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变压器智能消磁分析仪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42C9E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r>
      <w:tr w14:paraId="69E92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284C9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A782C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消谐电阻参数测试仪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B912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17A4B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35326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A7D20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高压电抗器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1F050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1915E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D2FC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BC4E5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互感器三倍频感应耐压装置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217E8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20366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2E581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E5C1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复合式多气体检测仪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7D3B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7CCA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47725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6FB12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绝缘子电阻带电测试仪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EA0D1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55329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8FB72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8C215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经纬仪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B4D6D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r>
      <w:tr w14:paraId="65C2A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4EBA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D52C3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电能质量分析仪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237ED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6777F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6D3C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7A66C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三相交直流指示仪表检定装置（一套）</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E707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r>
      <w:tr w14:paraId="2A2CD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9F125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5ADD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兆欧表检定装置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B027E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6586A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C123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5DEC9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统计型电压监测仪检定装置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6C13F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r>
      <w:tr w14:paraId="4AF63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774C1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5880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非接触型验相器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8F11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1E403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21021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98B15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多功能全自动振荡仪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871E7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1432B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9C67A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DC656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变送器检定装置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5AB40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r>
      <w:tr w14:paraId="6933D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AAB59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FE77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电力谐波测试仪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A60B8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4F983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7C10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5E18A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电导率测量仪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E05AC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6A7A6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623B8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A8B7B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绝缘子故障测试仪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51A8E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6BA46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2CCF4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B4F04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脉冲发生器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CC84E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44E42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61972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54155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光纤故障测试仪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6ADE7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36E8D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061A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EB4C6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2M线缆测试仪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F2C16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r>
      <w:tr w14:paraId="10496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8DD0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69F77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选频表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349C5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r>
      <w:tr w14:paraId="318D8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E258D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BA241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直流环网检测仪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21EDB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r>
      <w:tr w14:paraId="7578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832F7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E4CB6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直流电源专用带电解环仪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3D6B2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r>
      <w:tr w14:paraId="0228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7F4DA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D57FD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接触电阻测试仪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5CC4D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r>
      <w:tr w14:paraId="5A0D0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7145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B648D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数维智能测试仪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25832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4354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45244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299A7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手持高精度数据采集仪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EA45B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r>
      <w:tr w14:paraId="3D41B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48D42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0F2C1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绝缘剪树器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07956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r>
      <w:tr w14:paraId="35C90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AF3D9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1A26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电压检测仪检定装置</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12844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r>
      <w:tr w14:paraId="171A0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6FD9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C5CBA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定点测试仪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5E021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196F9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A4F91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388B8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多次脉冲产生器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BE87B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3260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B6609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6D58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一体化高频电源</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A3A16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697C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D61CF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20C95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三相电流不平衡记录仪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EFCA8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26170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3F563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F731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10kV智能相序电子检测显示仪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4DD2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3D27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4AEC7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0FE8E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电容分压器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AD69A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7F430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9DCCF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A2AB1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补偿电容</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568A5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3500</w:t>
            </w:r>
          </w:p>
        </w:tc>
      </w:tr>
      <w:tr w14:paraId="0C505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A155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76E9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绝缘油介电强度自动测试仪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8BFC2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2C9B1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A3742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38357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变压器油专用气相色谱仪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F950A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2300</w:t>
            </w:r>
          </w:p>
        </w:tc>
      </w:tr>
      <w:tr w14:paraId="5F6B5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1E0F8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0E7C7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变压器油凝点试验测试仪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94400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5BD6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4719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79E1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变压器油界面张力测试仪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9713C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4FE2B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A8853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E395E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绝缘油闪点测试仪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8B71D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5860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79ABA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1B6F7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CT伏安特性测试仪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9EB8B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3F925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A5697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FF0A0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日全盲紫外电晕检测仪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FEB1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3D4D2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AA33C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66BBCA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GIS超声波</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E367D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r>
      <w:tr w14:paraId="0DE01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94996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37E17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多倍频感应耐压测试仪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E6A5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5FBF4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4B0CB9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1D01D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合并单元测试仪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5989F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6C21C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BFDEA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6BD85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直流电源充电特性测试仪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B165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r>
      <w:tr w14:paraId="2EC79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AEC6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E040B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手持式光数字测试仪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26AE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691A2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C35F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7A751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定位电源</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9E5E6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r>
      <w:tr w14:paraId="70C79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ACB6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6A1F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数字低电阻表0.1-1000</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5C1A05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r>
      <w:tr w14:paraId="27DA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D68D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FB7E1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高压工频发生器</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F9983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3500</w:t>
            </w:r>
          </w:p>
        </w:tc>
      </w:tr>
      <w:tr w14:paraId="625A6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9DF62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1742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回填土密实度检测仪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4353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r>
      <w:tr w14:paraId="5E999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F4D23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2DFD5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振动测量仪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E5B6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r>
      <w:tr w14:paraId="5C93E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27400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7E7756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绝缘子电压分布测量仪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D423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7279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7F079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1FF9B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水阻仪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3D24C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469BE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A10C0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2D7C5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污秽测试仪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EA29C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0DB14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1C8F7D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5BD86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涂覆层测厚仪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2BE20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r>
      <w:tr w14:paraId="1972B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F981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FC2B0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钢筋锈蚀检测仪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51FFA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14:paraId="7FC1D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B126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94561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镀锌层测试仪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D918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r>
      <w:tr w14:paraId="73FE2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522E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C5F42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光缆巡线仪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CE316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263DD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3D7E94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E5CDC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单一气体检测仪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360E3F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r>
      <w:tr w14:paraId="056F4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36607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14A96E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光缆普查仪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67B8F2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35AE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6A7C42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041C4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热相仪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9B77C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02059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67A67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DD55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非制冷焦平面热像仪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57366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743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23086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8C0F7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架空线路接地故障查找仪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22B288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r w14:paraId="42631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3A514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451D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SF6定量检漏仪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FA834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7EA55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B650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54ACC7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SF6纯度测试仪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49D5B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14:paraId="78BA7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744E2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2453AD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SF6气体分解物测试仪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47699B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r>
      <w:tr w14:paraId="568B4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2C6B89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31ECE5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SF6电气故障测试仪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048926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3500</w:t>
            </w:r>
          </w:p>
        </w:tc>
      </w:tr>
      <w:tr w14:paraId="6EB0E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0FF679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473429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SF6气体泄露成像仪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18B48E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r>
      <w:tr w14:paraId="3D413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6" w:type="pct"/>
            <w:tcBorders>
              <w:top w:val="single" w:color="000000" w:sz="4" w:space="0"/>
              <w:left w:val="single" w:color="000000" w:sz="4" w:space="0"/>
              <w:bottom w:val="single" w:color="000000" w:sz="4" w:space="0"/>
              <w:right w:val="single" w:color="000000" w:sz="4" w:space="0"/>
            </w:tcBorders>
            <w:noWrap/>
            <w:vAlign w:val="center"/>
          </w:tcPr>
          <w:p w14:paraId="558309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3367" w:type="pct"/>
            <w:tcBorders>
              <w:top w:val="single" w:color="000000" w:sz="4" w:space="0"/>
              <w:left w:val="single" w:color="000000" w:sz="4" w:space="0"/>
              <w:bottom w:val="single" w:color="000000" w:sz="4" w:space="0"/>
              <w:right w:val="single" w:color="000000" w:sz="4" w:space="0"/>
            </w:tcBorders>
            <w:noWrap/>
            <w:vAlign w:val="center"/>
          </w:tcPr>
          <w:p w14:paraId="0FC3C1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SF6混合气体测试仪</w:t>
            </w:r>
          </w:p>
        </w:tc>
        <w:tc>
          <w:tcPr>
            <w:tcW w:w="816" w:type="pct"/>
            <w:tcBorders>
              <w:top w:val="single" w:color="000000" w:sz="4" w:space="0"/>
              <w:left w:val="single" w:color="000000" w:sz="4" w:space="0"/>
              <w:bottom w:val="single" w:color="000000" w:sz="4" w:space="0"/>
              <w:right w:val="single" w:color="000000" w:sz="4" w:space="0"/>
            </w:tcBorders>
            <w:noWrap/>
            <w:vAlign w:val="center"/>
          </w:tcPr>
          <w:p w14:paraId="7BCE0D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3500</w:t>
            </w:r>
          </w:p>
        </w:tc>
      </w:tr>
    </w:tbl>
    <w:p w14:paraId="62EC4991">
      <w:pPr>
        <w:shd w:val="clear" w:color="auto" w:fill="FFFFFF"/>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bCs/>
          <w:sz w:val="24"/>
          <w:szCs w:val="24"/>
        </w:rPr>
        <w:t>附件一：</w:t>
      </w:r>
    </w:p>
    <w:bookmarkEnd w:id="26"/>
    <w:p w14:paraId="19D1EEB7">
      <w:pPr>
        <w:pStyle w:val="11"/>
        <w:spacing w:line="360" w:lineRule="auto"/>
        <w:ind w:firstLine="482"/>
        <w:rPr>
          <w:rFonts w:hint="eastAsia" w:ascii="宋体" w:hAnsi="宋体" w:eastAsia="宋体" w:cs="宋体"/>
          <w:b/>
          <w:i/>
          <w:sz w:val="28"/>
          <w:szCs w:val="28"/>
        </w:rPr>
      </w:pPr>
      <w:bookmarkStart w:id="27" w:name="_Toc2927"/>
      <w:bookmarkStart w:id="28" w:name="_Toc43897770"/>
      <w:bookmarkStart w:id="29" w:name="_Toc22316"/>
      <w:bookmarkStart w:id="30" w:name="_Toc1541"/>
      <w:r>
        <w:rPr>
          <w:rFonts w:hint="eastAsia" w:ascii="宋体" w:hAnsi="宋体" w:eastAsia="宋体" w:cs="宋体"/>
          <w:b/>
          <w:sz w:val="28"/>
          <w:szCs w:val="28"/>
        </w:rPr>
        <w:t>法定代表人身份证明</w:t>
      </w:r>
      <w:bookmarkEnd w:id="27"/>
      <w:bookmarkEnd w:id="28"/>
      <w:bookmarkEnd w:id="29"/>
      <w:bookmarkEnd w:id="30"/>
    </w:p>
    <w:p w14:paraId="7D942178">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1F6873F9">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3F2EC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2DCCFFD5">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12B17732">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2E0207D4">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1BCDE8BC">
      <w:pPr>
        <w:pStyle w:val="1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50D3262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1382657D">
      <w:pPr>
        <w:pStyle w:val="18"/>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7362328D">
      <w:pPr>
        <w:pStyle w:val="18"/>
        <w:wordWrap w:val="0"/>
        <w:spacing w:line="360" w:lineRule="auto"/>
        <w:ind w:firstLine="1320"/>
        <w:rPr>
          <w:rFonts w:hint="eastAsia" w:ascii="宋体" w:hAnsi="宋体" w:eastAsia="宋体" w:cs="宋体"/>
          <w:sz w:val="24"/>
          <w:szCs w:val="24"/>
        </w:rPr>
      </w:pPr>
    </w:p>
    <w:p w14:paraId="41E5B276">
      <w:pPr>
        <w:pStyle w:val="18"/>
        <w:wordWrap w:val="0"/>
        <w:spacing w:line="360" w:lineRule="auto"/>
        <w:ind w:firstLine="360"/>
        <w:jc w:val="right"/>
        <w:rPr>
          <w:rFonts w:hint="eastAsia" w:ascii="宋体" w:hAnsi="宋体" w:eastAsia="宋体" w:cs="宋体"/>
          <w:sz w:val="24"/>
          <w:szCs w:val="24"/>
        </w:rPr>
      </w:pPr>
    </w:p>
    <w:p w14:paraId="0E00FAC7">
      <w:pPr>
        <w:pStyle w:val="18"/>
        <w:wordWrap w:val="0"/>
        <w:spacing w:line="360" w:lineRule="auto"/>
        <w:ind w:firstLine="360"/>
        <w:jc w:val="right"/>
        <w:rPr>
          <w:rFonts w:hint="eastAsia" w:ascii="宋体" w:hAnsi="宋体" w:eastAsia="宋体" w:cs="宋体"/>
          <w:sz w:val="24"/>
          <w:szCs w:val="24"/>
        </w:rPr>
      </w:pPr>
    </w:p>
    <w:p w14:paraId="2487FE5E">
      <w:pPr>
        <w:pStyle w:val="18"/>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0EA91A62">
      <w:pPr>
        <w:pStyle w:val="18"/>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7CD4EE4">
      <w:pPr>
        <w:pStyle w:val="18"/>
        <w:wordWrap w:val="0"/>
        <w:spacing w:line="360" w:lineRule="auto"/>
        <w:rPr>
          <w:rFonts w:hint="eastAsia" w:ascii="宋体" w:hAnsi="宋体" w:eastAsia="宋体" w:cs="宋体"/>
          <w:sz w:val="24"/>
          <w:szCs w:val="24"/>
        </w:rPr>
      </w:pPr>
    </w:p>
    <w:p w14:paraId="7E8A2A65">
      <w:pPr>
        <w:spacing w:line="360" w:lineRule="auto"/>
        <w:rPr>
          <w:rFonts w:hint="eastAsia" w:ascii="宋体" w:hAnsi="宋体" w:eastAsia="宋体" w:cs="宋体"/>
          <w:szCs w:val="21"/>
        </w:rPr>
      </w:pPr>
    </w:p>
    <w:p w14:paraId="418DEFE7">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注：如供应商是由法定代表人参加投标，则不需提供法定代表人授权委托书</w:t>
      </w:r>
    </w:p>
    <w:p w14:paraId="5344D703">
      <w:pPr>
        <w:spacing w:line="360" w:lineRule="auto"/>
        <w:rPr>
          <w:rFonts w:hint="eastAsia" w:ascii="宋体" w:hAnsi="宋体" w:eastAsia="宋体" w:cs="宋体"/>
          <w:sz w:val="28"/>
          <w:szCs w:val="28"/>
        </w:rPr>
      </w:pPr>
    </w:p>
    <w:p w14:paraId="510DEF7A">
      <w:pPr>
        <w:spacing w:line="360" w:lineRule="auto"/>
        <w:rPr>
          <w:rFonts w:hint="eastAsia" w:ascii="宋体" w:hAnsi="宋体" w:eastAsia="宋体" w:cs="宋体"/>
          <w:sz w:val="28"/>
          <w:szCs w:val="28"/>
        </w:rPr>
      </w:pPr>
    </w:p>
    <w:p w14:paraId="263BCEC2">
      <w:pPr>
        <w:spacing w:line="360" w:lineRule="auto"/>
        <w:rPr>
          <w:rFonts w:hint="eastAsia" w:ascii="宋体" w:hAnsi="宋体" w:eastAsia="宋体" w:cs="宋体"/>
          <w:sz w:val="28"/>
          <w:szCs w:val="28"/>
        </w:rPr>
      </w:pPr>
    </w:p>
    <w:p w14:paraId="5E3F210D">
      <w:pPr>
        <w:spacing w:line="360" w:lineRule="auto"/>
        <w:rPr>
          <w:rFonts w:hint="eastAsia" w:ascii="宋体" w:hAnsi="宋体" w:eastAsia="宋体" w:cs="宋体"/>
          <w:sz w:val="28"/>
          <w:szCs w:val="28"/>
        </w:rPr>
      </w:pPr>
    </w:p>
    <w:p w14:paraId="734391BC">
      <w:pPr>
        <w:spacing w:line="360" w:lineRule="auto"/>
        <w:rPr>
          <w:rFonts w:hint="eastAsia" w:ascii="宋体" w:hAnsi="宋体" w:eastAsia="宋体" w:cs="宋体"/>
          <w:sz w:val="28"/>
          <w:szCs w:val="28"/>
        </w:rPr>
      </w:pPr>
    </w:p>
    <w:p w14:paraId="07F910DC">
      <w:pPr>
        <w:spacing w:line="360" w:lineRule="auto"/>
        <w:rPr>
          <w:rFonts w:hint="eastAsia" w:ascii="宋体" w:hAnsi="宋体" w:eastAsia="宋体" w:cs="宋体"/>
          <w:sz w:val="28"/>
          <w:szCs w:val="28"/>
        </w:rPr>
      </w:pPr>
    </w:p>
    <w:p w14:paraId="2B4A556C">
      <w:pPr>
        <w:spacing w:line="360" w:lineRule="auto"/>
        <w:rPr>
          <w:rFonts w:hint="eastAsia" w:ascii="宋体" w:hAnsi="宋体" w:eastAsia="宋体" w:cs="宋体"/>
          <w:sz w:val="28"/>
          <w:szCs w:val="28"/>
        </w:rPr>
      </w:pPr>
    </w:p>
    <w:p w14:paraId="41A0FC05">
      <w:pPr>
        <w:spacing w:line="360" w:lineRule="auto"/>
        <w:jc w:val="center"/>
        <w:rPr>
          <w:rFonts w:hint="eastAsia" w:ascii="宋体" w:hAnsi="宋体" w:eastAsia="宋体" w:cs="宋体"/>
          <w:b/>
          <w:bCs/>
          <w:sz w:val="28"/>
          <w:szCs w:val="28"/>
        </w:rPr>
      </w:pPr>
      <w:bookmarkStart w:id="31" w:name="_Toc448174023"/>
      <w:bookmarkStart w:id="32" w:name="_Toc22717"/>
      <w:bookmarkStart w:id="33" w:name="_Toc8704"/>
      <w:bookmarkStart w:id="34" w:name="_Toc19392"/>
      <w:r>
        <w:rPr>
          <w:rFonts w:hint="eastAsia" w:ascii="宋体" w:hAnsi="宋体" w:eastAsia="宋体" w:cs="宋体"/>
          <w:b/>
          <w:bCs/>
          <w:sz w:val="28"/>
          <w:szCs w:val="28"/>
        </w:rPr>
        <w:t>法定代表人授权委托书</w:t>
      </w:r>
      <w:bookmarkEnd w:id="31"/>
      <w:bookmarkEnd w:id="32"/>
      <w:bookmarkEnd w:id="33"/>
      <w:bookmarkEnd w:id="34"/>
    </w:p>
    <w:p w14:paraId="38974459">
      <w:pPr>
        <w:spacing w:line="360" w:lineRule="auto"/>
        <w:ind w:firstLine="600" w:firstLineChars="250"/>
        <w:rPr>
          <w:rFonts w:hint="eastAsia" w:ascii="宋体" w:hAnsi="宋体" w:eastAsia="宋体" w:cs="宋体"/>
          <w:sz w:val="24"/>
        </w:rPr>
      </w:pPr>
    </w:p>
    <w:p w14:paraId="0658C625">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49DE1D76">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27B53765">
      <w:pPr>
        <w:spacing w:line="360" w:lineRule="auto"/>
        <w:rPr>
          <w:rFonts w:hint="eastAsia" w:ascii="宋体" w:hAnsi="宋体" w:eastAsia="宋体" w:cs="宋体"/>
          <w:sz w:val="24"/>
          <w:szCs w:val="24"/>
        </w:rPr>
      </w:pPr>
    </w:p>
    <w:p w14:paraId="61D1C983">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343DEFDF">
      <w:pPr>
        <w:spacing w:line="360" w:lineRule="auto"/>
        <w:rPr>
          <w:rFonts w:hint="eastAsia" w:ascii="宋体" w:hAnsi="宋体" w:eastAsia="宋体" w:cs="宋体"/>
          <w:sz w:val="24"/>
          <w:szCs w:val="24"/>
        </w:rPr>
      </w:pPr>
    </w:p>
    <w:p w14:paraId="6177B7C7">
      <w:pPr>
        <w:spacing w:line="360" w:lineRule="auto"/>
        <w:ind w:firstLine="3570"/>
        <w:rPr>
          <w:rFonts w:hint="eastAsia" w:ascii="宋体" w:hAnsi="宋体" w:eastAsia="宋体" w:cs="宋体"/>
          <w:sz w:val="24"/>
          <w:szCs w:val="24"/>
        </w:rPr>
      </w:pPr>
    </w:p>
    <w:p w14:paraId="59A089E0">
      <w:pPr>
        <w:spacing w:line="360" w:lineRule="auto"/>
        <w:ind w:firstLine="3570"/>
        <w:rPr>
          <w:rFonts w:hint="eastAsia" w:ascii="宋体" w:hAnsi="宋体" w:eastAsia="宋体" w:cs="宋体"/>
          <w:sz w:val="24"/>
          <w:szCs w:val="24"/>
        </w:rPr>
      </w:pPr>
    </w:p>
    <w:p w14:paraId="3299700E">
      <w:pPr>
        <w:spacing w:line="360" w:lineRule="auto"/>
        <w:ind w:firstLine="3570"/>
        <w:rPr>
          <w:rFonts w:hint="eastAsia" w:ascii="宋体" w:hAnsi="宋体" w:eastAsia="宋体" w:cs="宋体"/>
          <w:sz w:val="24"/>
          <w:szCs w:val="24"/>
        </w:rPr>
      </w:pPr>
    </w:p>
    <w:p w14:paraId="52D1557D">
      <w:pPr>
        <w:spacing w:line="360" w:lineRule="auto"/>
        <w:ind w:firstLine="3570"/>
        <w:rPr>
          <w:rFonts w:hint="eastAsia" w:ascii="宋体" w:hAnsi="宋体" w:eastAsia="宋体" w:cs="宋体"/>
          <w:sz w:val="24"/>
          <w:szCs w:val="24"/>
        </w:rPr>
      </w:pPr>
    </w:p>
    <w:p w14:paraId="37163F53">
      <w:pPr>
        <w:spacing w:line="360" w:lineRule="auto"/>
        <w:ind w:firstLine="3570"/>
        <w:rPr>
          <w:rFonts w:hint="eastAsia" w:ascii="宋体" w:hAnsi="宋体" w:eastAsia="宋体" w:cs="宋体"/>
          <w:sz w:val="24"/>
          <w:szCs w:val="24"/>
        </w:rPr>
      </w:pPr>
    </w:p>
    <w:p w14:paraId="17F8878C">
      <w:pPr>
        <w:spacing w:line="360" w:lineRule="auto"/>
        <w:ind w:firstLine="3570"/>
        <w:rPr>
          <w:rFonts w:hint="eastAsia" w:ascii="宋体" w:hAnsi="宋体" w:eastAsia="宋体" w:cs="宋体"/>
          <w:sz w:val="24"/>
          <w:szCs w:val="24"/>
        </w:rPr>
      </w:pPr>
    </w:p>
    <w:p w14:paraId="162387B1">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6203E98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03D87E79">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224A3A3F">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74F3D3D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62D94974">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5AE95FD2">
      <w:pPr>
        <w:spacing w:line="360" w:lineRule="auto"/>
        <w:ind w:right="360" w:firstLine="2160" w:firstLineChars="900"/>
        <w:jc w:val="right"/>
        <w:rPr>
          <w:rFonts w:hint="eastAsia" w:ascii="宋体" w:hAnsi="宋体" w:eastAsia="宋体" w:cs="宋体"/>
          <w:sz w:val="24"/>
          <w:szCs w:val="24"/>
        </w:rPr>
      </w:pPr>
    </w:p>
    <w:p w14:paraId="1832A67F">
      <w:pPr>
        <w:spacing w:line="360" w:lineRule="auto"/>
        <w:ind w:right="360" w:firstLine="2160" w:firstLineChars="900"/>
        <w:jc w:val="right"/>
        <w:rPr>
          <w:rFonts w:hint="eastAsia" w:ascii="宋体" w:hAnsi="宋体" w:eastAsia="宋体" w:cs="宋体"/>
          <w:sz w:val="24"/>
          <w:szCs w:val="24"/>
        </w:rPr>
      </w:pPr>
    </w:p>
    <w:p w14:paraId="712E875B">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4C64CA3B">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76AD3874">
      <w:pPr>
        <w:rPr>
          <w:rFonts w:hint="eastAsia" w:ascii="宋体" w:hAnsi="宋体" w:eastAsia="宋体" w:cs="宋体"/>
        </w:rPr>
      </w:pPr>
    </w:p>
    <w:p w14:paraId="3EB314FD">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59079DBB">
      <w:pPr>
        <w:spacing w:line="360" w:lineRule="auto"/>
        <w:jc w:val="center"/>
        <w:rPr>
          <w:rFonts w:hint="eastAsia" w:ascii="宋体" w:hAnsi="宋体" w:eastAsia="宋体" w:cs="宋体"/>
          <w:b/>
          <w:bCs/>
          <w:sz w:val="28"/>
          <w:szCs w:val="28"/>
        </w:rPr>
      </w:pPr>
    </w:p>
    <w:p w14:paraId="68D48AA0">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51C87446">
      <w:pPr>
        <w:spacing w:line="360" w:lineRule="auto"/>
        <w:rPr>
          <w:rFonts w:hint="eastAsia" w:ascii="宋体" w:hAnsi="宋体" w:eastAsia="宋体" w:cs="宋体"/>
          <w:sz w:val="24"/>
        </w:rPr>
      </w:pPr>
    </w:p>
    <w:p w14:paraId="1A215337">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0FBC219E">
      <w:pPr>
        <w:pStyle w:val="18"/>
        <w:wordWrap w:val="0"/>
        <w:spacing w:line="360" w:lineRule="auto"/>
        <w:ind w:firstLine="360"/>
        <w:jc w:val="right"/>
        <w:rPr>
          <w:rFonts w:hint="eastAsia" w:ascii="宋体" w:hAnsi="宋体" w:eastAsia="宋体" w:cs="宋体"/>
          <w:sz w:val="24"/>
          <w:szCs w:val="24"/>
        </w:rPr>
      </w:pPr>
    </w:p>
    <w:p w14:paraId="61DECF00">
      <w:pPr>
        <w:pStyle w:val="18"/>
        <w:spacing w:line="360" w:lineRule="auto"/>
        <w:ind w:firstLine="360"/>
        <w:jc w:val="right"/>
        <w:rPr>
          <w:rFonts w:hint="eastAsia" w:ascii="宋体" w:hAnsi="宋体" w:eastAsia="宋体" w:cs="宋体"/>
          <w:sz w:val="24"/>
          <w:szCs w:val="24"/>
        </w:rPr>
      </w:pPr>
    </w:p>
    <w:p w14:paraId="4711D469">
      <w:pPr>
        <w:pStyle w:val="18"/>
        <w:spacing w:line="360" w:lineRule="auto"/>
        <w:ind w:firstLine="360"/>
        <w:jc w:val="right"/>
        <w:rPr>
          <w:rFonts w:hint="eastAsia" w:ascii="宋体" w:hAnsi="宋体" w:eastAsia="宋体" w:cs="宋体"/>
          <w:sz w:val="24"/>
          <w:szCs w:val="24"/>
        </w:rPr>
      </w:pPr>
    </w:p>
    <w:p w14:paraId="705EDBF5">
      <w:pPr>
        <w:pStyle w:val="18"/>
        <w:spacing w:line="360" w:lineRule="auto"/>
        <w:ind w:firstLine="360"/>
        <w:jc w:val="right"/>
        <w:rPr>
          <w:rFonts w:hint="eastAsia" w:ascii="宋体" w:hAnsi="宋体" w:eastAsia="宋体" w:cs="宋体"/>
          <w:sz w:val="24"/>
          <w:szCs w:val="24"/>
        </w:rPr>
      </w:pPr>
    </w:p>
    <w:p w14:paraId="165D78CB">
      <w:pPr>
        <w:pStyle w:val="18"/>
        <w:spacing w:line="360" w:lineRule="auto"/>
        <w:ind w:firstLine="360"/>
        <w:jc w:val="right"/>
        <w:rPr>
          <w:rFonts w:hint="eastAsia" w:ascii="宋体" w:hAnsi="宋体" w:eastAsia="宋体" w:cs="宋体"/>
          <w:sz w:val="24"/>
          <w:szCs w:val="24"/>
        </w:rPr>
      </w:pPr>
    </w:p>
    <w:p w14:paraId="522D1B4F">
      <w:pPr>
        <w:pStyle w:val="18"/>
        <w:spacing w:line="360" w:lineRule="auto"/>
        <w:ind w:firstLine="360"/>
        <w:jc w:val="right"/>
        <w:rPr>
          <w:rFonts w:hint="eastAsia" w:ascii="宋体" w:hAnsi="宋体" w:eastAsia="宋体" w:cs="宋体"/>
          <w:sz w:val="24"/>
          <w:szCs w:val="24"/>
        </w:rPr>
      </w:pPr>
    </w:p>
    <w:p w14:paraId="6677E6BD">
      <w:pPr>
        <w:pStyle w:val="18"/>
        <w:spacing w:line="360" w:lineRule="auto"/>
        <w:ind w:firstLine="360"/>
        <w:jc w:val="right"/>
        <w:rPr>
          <w:rFonts w:hint="eastAsia" w:ascii="宋体" w:hAnsi="宋体" w:eastAsia="宋体" w:cs="宋体"/>
          <w:sz w:val="24"/>
          <w:szCs w:val="24"/>
        </w:rPr>
      </w:pPr>
    </w:p>
    <w:p w14:paraId="5E8689AF">
      <w:pPr>
        <w:pStyle w:val="18"/>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16BDEF0B">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F071A3B">
      <w:pPr>
        <w:spacing w:line="360" w:lineRule="auto"/>
        <w:jc w:val="left"/>
        <w:outlineLvl w:val="1"/>
        <w:rPr>
          <w:rFonts w:hint="eastAsia" w:ascii="宋体" w:hAnsi="宋体" w:eastAsia="宋体" w:cs="宋体"/>
          <w:b/>
          <w:kern w:val="0"/>
          <w:sz w:val="24"/>
          <w:szCs w:val="24"/>
        </w:rPr>
      </w:pPr>
      <w:r>
        <w:rPr>
          <w:rFonts w:hint="eastAsia" w:ascii="宋体" w:hAnsi="宋体" w:eastAsia="宋体" w:cs="宋体"/>
          <w:sz w:val="24"/>
          <w:szCs w:val="24"/>
        </w:rPr>
        <w:br w:type="page"/>
      </w:r>
      <w:bookmarkStart w:id="35" w:name="_Toc4580"/>
      <w:bookmarkStart w:id="36" w:name="_Toc1965"/>
      <w:r>
        <w:rPr>
          <w:rFonts w:hint="eastAsia" w:ascii="宋体" w:hAnsi="宋体" w:eastAsia="宋体" w:cs="宋体"/>
          <w:b/>
          <w:kern w:val="0"/>
          <w:sz w:val="24"/>
          <w:szCs w:val="24"/>
        </w:rPr>
        <w:t>附件三：</w:t>
      </w:r>
      <w:bookmarkEnd w:id="35"/>
      <w:bookmarkEnd w:id="36"/>
    </w:p>
    <w:p w14:paraId="708A9883">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7D77CFA0">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07FC05DE">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5F5B231A">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21560CF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0249736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48D4F008">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253623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28C25753">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3624F45">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02F4D53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258577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1E2E1A1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0A4C0F39">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14D3EFE8">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604A0F84">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5115A97A">
      <w:pPr>
        <w:spacing w:after="240" w:afterLines="100" w:line="360" w:lineRule="auto"/>
        <w:ind w:firstLine="1920" w:firstLineChars="800"/>
        <w:jc w:val="left"/>
        <w:rPr>
          <w:rFonts w:hint="eastAsia" w:ascii="宋体" w:hAnsi="宋体" w:eastAsia="宋体" w:cs="宋体"/>
          <w:kern w:val="0"/>
          <w:sz w:val="24"/>
          <w:szCs w:val="24"/>
        </w:rPr>
      </w:pPr>
    </w:p>
    <w:p w14:paraId="54C64AD8">
      <w:pPr>
        <w:spacing w:after="240" w:afterLines="100" w:line="360" w:lineRule="auto"/>
        <w:ind w:firstLine="1920" w:firstLineChars="800"/>
        <w:jc w:val="left"/>
        <w:rPr>
          <w:rFonts w:hint="eastAsia" w:ascii="宋体" w:hAnsi="宋体" w:eastAsia="宋体" w:cs="宋体"/>
          <w:kern w:val="0"/>
          <w:sz w:val="24"/>
          <w:szCs w:val="24"/>
        </w:rPr>
      </w:pPr>
      <w:bookmarkStart w:id="37" w:name="_GoBack"/>
      <w:bookmarkEnd w:id="37"/>
    </w:p>
    <w:p w14:paraId="2F56AEC7">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54C5FCC6">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2E7C59EA">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152C254B">
      <w:pPr>
        <w:spacing w:line="360" w:lineRule="auto"/>
        <w:ind w:firstLine="420" w:firstLineChars="200"/>
        <w:rPr>
          <w:rFonts w:hint="eastAsia" w:ascii="宋体" w:hAnsi="宋体" w:eastAsia="宋体" w:cs="宋体"/>
          <w:color w:val="FF0000"/>
          <w:kern w:val="0"/>
          <w:sz w:val="21"/>
          <w:szCs w:val="21"/>
        </w:rPr>
      </w:pPr>
    </w:p>
    <w:p w14:paraId="309ACEE0">
      <w:pPr>
        <w:spacing w:line="276" w:lineRule="auto"/>
        <w:ind w:firstLine="420" w:firstLineChars="200"/>
        <w:rPr>
          <w:rFonts w:hint="eastAsia" w:ascii="宋体" w:hAnsi="宋体" w:eastAsia="宋体" w:cs="宋体"/>
          <w:color w:val="FF0000"/>
          <w:kern w:val="0"/>
          <w:sz w:val="21"/>
          <w:szCs w:val="21"/>
        </w:rPr>
      </w:pPr>
    </w:p>
    <w:p w14:paraId="2C31AD7D">
      <w:pPr>
        <w:spacing w:line="220" w:lineRule="atLeast"/>
        <w:ind w:firstLine="482"/>
        <w:rPr>
          <w:rFonts w:hint="eastAsia" w:ascii="宋体" w:hAnsi="宋体" w:eastAsia="宋体" w:cs="宋体"/>
          <w:b/>
          <w:sz w:val="24"/>
          <w:szCs w:val="24"/>
        </w:rPr>
      </w:pPr>
    </w:p>
    <w:p w14:paraId="4B3C8065">
      <w:pPr>
        <w:spacing w:line="220" w:lineRule="atLeas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附件四：</w:t>
      </w:r>
    </w:p>
    <w:p w14:paraId="7C365765">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747F3B12">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C735676">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5DD34DE1">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D9BF2C1">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1D9EAFF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5B993BB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127F46E4">
      <w:pPr>
        <w:adjustRightInd w:val="0"/>
        <w:snapToGrid w:val="0"/>
        <w:spacing w:line="360" w:lineRule="auto"/>
        <w:ind w:firstLine="480" w:firstLineChars="200"/>
        <w:rPr>
          <w:rFonts w:hint="eastAsia" w:ascii="宋体" w:hAnsi="宋体" w:eastAsia="宋体" w:cs="宋体"/>
          <w:sz w:val="24"/>
          <w:szCs w:val="24"/>
        </w:rPr>
      </w:pPr>
    </w:p>
    <w:p w14:paraId="3F03009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299BCC19">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6B79F78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4B6A59D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21290854">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3BAA4611">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86769A1">
                            <w:pPr>
                              <w:ind w:firstLine="420"/>
                              <w:jc w:val="center"/>
                              <w:rPr>
                                <w:rFonts w:ascii="Times New Roman"/>
                                <w:sz w:val="21"/>
                              </w:rPr>
                            </w:pPr>
                          </w:p>
                          <w:p w14:paraId="5752A08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186769A1">
                      <w:pPr>
                        <w:ind w:firstLine="420"/>
                        <w:jc w:val="center"/>
                        <w:rPr>
                          <w:rFonts w:ascii="Times New Roman"/>
                          <w:sz w:val="21"/>
                        </w:rPr>
                      </w:pPr>
                    </w:p>
                    <w:p w14:paraId="5752A08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0B1F8D6">
                            <w:pPr>
                              <w:ind w:firstLine="420"/>
                              <w:jc w:val="center"/>
                              <w:rPr>
                                <w:rFonts w:ascii="Times New Roman"/>
                                <w:sz w:val="21"/>
                              </w:rPr>
                            </w:pPr>
                          </w:p>
                          <w:p w14:paraId="19CAE450">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30B1F8D6">
                      <w:pPr>
                        <w:ind w:firstLine="420"/>
                        <w:jc w:val="center"/>
                        <w:rPr>
                          <w:rFonts w:ascii="Times New Roman"/>
                          <w:sz w:val="21"/>
                        </w:rPr>
                      </w:pPr>
                    </w:p>
                    <w:p w14:paraId="19CAE450">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1922C4F0">
      <w:pPr>
        <w:spacing w:line="360" w:lineRule="auto"/>
        <w:ind w:firstLine="420" w:firstLineChars="200"/>
        <w:rPr>
          <w:rFonts w:hint="eastAsia" w:ascii="宋体" w:hAnsi="宋体" w:eastAsia="宋体" w:cs="宋体"/>
          <w:sz w:val="21"/>
          <w:szCs w:val="21"/>
        </w:rPr>
      </w:pPr>
    </w:p>
    <w:p w14:paraId="65A88F08">
      <w:pPr>
        <w:spacing w:line="360" w:lineRule="auto"/>
        <w:ind w:firstLine="420" w:firstLineChars="200"/>
        <w:rPr>
          <w:rFonts w:hint="eastAsia" w:ascii="宋体" w:hAnsi="宋体" w:eastAsia="宋体" w:cs="宋体"/>
          <w:sz w:val="21"/>
          <w:szCs w:val="21"/>
        </w:rPr>
      </w:pPr>
    </w:p>
    <w:p w14:paraId="3E3DD8DD">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70444F6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70444F62">
                      <w:pPr>
                        <w:rPr>
                          <w:rFonts w:ascii="Times New Roman"/>
                          <w:sz w:val="21"/>
                        </w:rPr>
                      </w:pPr>
                    </w:p>
                  </w:txbxContent>
                </v:textbox>
              </v:shape>
            </w:pict>
          </mc:Fallback>
        </mc:AlternateContent>
      </w:r>
    </w:p>
    <w:p w14:paraId="224F93A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72EF9D24">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72EF9D24">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4CC332E6">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2DFB05">
                            <w:pPr>
                              <w:ind w:firstLine="420"/>
                              <w:jc w:val="center"/>
                              <w:rPr>
                                <w:rFonts w:ascii="Times New Roman"/>
                                <w:sz w:val="21"/>
                              </w:rPr>
                            </w:pPr>
                          </w:p>
                          <w:p w14:paraId="3CF41026">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082DFB05">
                      <w:pPr>
                        <w:ind w:firstLine="420"/>
                        <w:jc w:val="center"/>
                        <w:rPr>
                          <w:rFonts w:ascii="Times New Roman"/>
                          <w:sz w:val="21"/>
                        </w:rPr>
                      </w:pPr>
                    </w:p>
                    <w:p w14:paraId="3CF41026">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7F46ED3">
                            <w:pPr>
                              <w:ind w:firstLine="420"/>
                              <w:jc w:val="center"/>
                              <w:rPr>
                                <w:rFonts w:ascii="Times New Roman"/>
                                <w:sz w:val="21"/>
                              </w:rPr>
                            </w:pPr>
                          </w:p>
                          <w:p w14:paraId="00D3157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47F46ED3">
                      <w:pPr>
                        <w:ind w:firstLine="420"/>
                        <w:jc w:val="center"/>
                        <w:rPr>
                          <w:rFonts w:ascii="Times New Roman"/>
                          <w:sz w:val="21"/>
                        </w:rPr>
                      </w:pPr>
                    </w:p>
                    <w:p w14:paraId="00D3157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1808B012">
      <w:pPr>
        <w:spacing w:line="360" w:lineRule="auto"/>
        <w:ind w:firstLine="420" w:firstLineChars="200"/>
        <w:rPr>
          <w:rFonts w:hint="eastAsia" w:ascii="宋体" w:hAnsi="宋体" w:eastAsia="宋体" w:cs="宋体"/>
          <w:sz w:val="21"/>
          <w:szCs w:val="21"/>
        </w:rPr>
      </w:pPr>
    </w:p>
    <w:p w14:paraId="2BA2D08C">
      <w:pPr>
        <w:spacing w:line="220" w:lineRule="atLeast"/>
        <w:ind w:firstLine="482"/>
        <w:rPr>
          <w:rFonts w:hint="eastAsia" w:ascii="宋体" w:hAnsi="宋体" w:eastAsia="宋体" w:cs="宋体"/>
          <w:b/>
          <w:sz w:val="24"/>
          <w:szCs w:val="24"/>
        </w:rPr>
      </w:pPr>
    </w:p>
    <w:p w14:paraId="1C449AE9">
      <w:pPr>
        <w:spacing w:line="220" w:lineRule="atLeast"/>
        <w:ind w:firstLine="482"/>
        <w:rPr>
          <w:rFonts w:hint="eastAsia" w:ascii="宋体" w:hAnsi="宋体" w:eastAsia="宋体" w:cs="宋体"/>
          <w:b/>
          <w:sz w:val="24"/>
          <w:szCs w:val="24"/>
        </w:rPr>
      </w:pPr>
    </w:p>
    <w:p w14:paraId="378B4AFB">
      <w:pPr>
        <w:spacing w:line="220" w:lineRule="atLeast"/>
        <w:ind w:firstLine="482"/>
        <w:rPr>
          <w:rFonts w:hint="eastAsia" w:ascii="宋体" w:hAnsi="宋体" w:eastAsia="宋体" w:cs="宋体"/>
          <w:b/>
          <w:sz w:val="24"/>
          <w:szCs w:val="24"/>
        </w:rPr>
      </w:pPr>
    </w:p>
    <w:p w14:paraId="522CE346">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附件五：</w:t>
      </w:r>
    </w:p>
    <w:p w14:paraId="19A38EF4">
      <w:pPr>
        <w:spacing w:line="220" w:lineRule="atLeast"/>
        <w:ind w:firstLine="643"/>
        <w:jc w:val="center"/>
        <w:rPr>
          <w:rFonts w:hint="eastAsia" w:ascii="宋体" w:hAnsi="宋体" w:eastAsia="宋体" w:cs="宋体"/>
          <w:b/>
          <w:sz w:val="32"/>
          <w:szCs w:val="24"/>
        </w:rPr>
      </w:pPr>
    </w:p>
    <w:p w14:paraId="07D97BF5">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2D9692D2">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51047E3">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312A0279">
      <w:pPr>
        <w:adjustRightInd w:val="0"/>
        <w:snapToGrid w:val="0"/>
        <w:spacing w:line="360" w:lineRule="auto"/>
        <w:ind w:firstLine="480" w:firstLineChars="200"/>
        <w:rPr>
          <w:rFonts w:hint="eastAsia" w:ascii="宋体" w:hAnsi="宋体" w:eastAsia="宋体" w:cs="宋体"/>
          <w:sz w:val="24"/>
          <w:szCs w:val="24"/>
        </w:rPr>
      </w:pPr>
    </w:p>
    <w:p w14:paraId="69022FE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7CBA82B">
      <w:pPr>
        <w:adjustRightInd w:val="0"/>
        <w:snapToGrid w:val="0"/>
        <w:spacing w:line="360" w:lineRule="auto"/>
        <w:ind w:firstLine="720" w:firstLineChars="300"/>
        <w:rPr>
          <w:rFonts w:hint="eastAsia" w:ascii="宋体" w:hAnsi="宋体" w:eastAsia="宋体" w:cs="宋体"/>
          <w:sz w:val="24"/>
          <w:szCs w:val="24"/>
        </w:rPr>
      </w:pPr>
    </w:p>
    <w:p w14:paraId="59A5DEB8">
      <w:pPr>
        <w:adjustRightInd w:val="0"/>
        <w:snapToGrid w:val="0"/>
        <w:spacing w:line="360" w:lineRule="auto"/>
        <w:ind w:firstLine="720" w:firstLineChars="300"/>
        <w:rPr>
          <w:rFonts w:hint="eastAsia" w:ascii="宋体" w:hAnsi="宋体" w:eastAsia="宋体" w:cs="宋体"/>
          <w:sz w:val="24"/>
          <w:szCs w:val="24"/>
        </w:rPr>
      </w:pPr>
    </w:p>
    <w:p w14:paraId="0033E47C">
      <w:pPr>
        <w:adjustRightInd w:val="0"/>
        <w:snapToGrid w:val="0"/>
        <w:spacing w:line="360" w:lineRule="auto"/>
        <w:ind w:firstLine="720" w:firstLineChars="300"/>
        <w:rPr>
          <w:rFonts w:hint="eastAsia" w:ascii="宋体" w:hAnsi="宋体" w:eastAsia="宋体" w:cs="宋体"/>
          <w:sz w:val="24"/>
          <w:szCs w:val="24"/>
        </w:rPr>
      </w:pPr>
    </w:p>
    <w:p w14:paraId="490F5673">
      <w:pPr>
        <w:adjustRightInd w:val="0"/>
        <w:snapToGrid w:val="0"/>
        <w:spacing w:line="360" w:lineRule="auto"/>
        <w:ind w:firstLine="720" w:firstLineChars="300"/>
        <w:rPr>
          <w:rFonts w:hint="eastAsia" w:ascii="宋体" w:hAnsi="宋体" w:eastAsia="宋体" w:cs="宋体"/>
          <w:sz w:val="24"/>
          <w:szCs w:val="24"/>
        </w:rPr>
      </w:pPr>
    </w:p>
    <w:p w14:paraId="32498B67">
      <w:pPr>
        <w:adjustRightInd w:val="0"/>
        <w:snapToGrid w:val="0"/>
        <w:spacing w:line="360" w:lineRule="auto"/>
        <w:ind w:firstLine="720" w:firstLineChars="300"/>
        <w:rPr>
          <w:rFonts w:hint="eastAsia" w:ascii="宋体" w:hAnsi="宋体" w:eastAsia="宋体" w:cs="宋体"/>
          <w:sz w:val="24"/>
          <w:szCs w:val="24"/>
        </w:rPr>
      </w:pPr>
    </w:p>
    <w:p w14:paraId="2D5D1039">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7804F9F0">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2D04B0D3">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2FC0A559">
      <w:pPr>
        <w:adjustRightInd w:val="0"/>
        <w:snapToGrid w:val="0"/>
        <w:spacing w:line="360" w:lineRule="auto"/>
        <w:ind w:firstLine="5280" w:firstLineChars="2200"/>
        <w:rPr>
          <w:rFonts w:hint="eastAsia" w:ascii="宋体" w:hAnsi="宋体" w:eastAsia="宋体" w:cs="宋体"/>
          <w:sz w:val="24"/>
          <w:szCs w:val="24"/>
        </w:rPr>
      </w:pPr>
    </w:p>
    <w:p w14:paraId="40AD1AD2">
      <w:r>
        <w:rPr>
          <w:rFonts w:hint="eastAsia"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4E4FE3"/>
    <w:rsid w:val="794F403A"/>
    <w:rsid w:val="7F774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4"/>
    <w:qFormat/>
    <w:uiPriority w:val="0"/>
    <w:pPr>
      <w:spacing w:after="120"/>
    </w:pPr>
    <w:rPr>
      <w:rFonts w:ascii="Times New Roman" w:eastAsia="宋体"/>
      <w:kern w:val="0"/>
      <w:sz w:val="21"/>
      <w:szCs w:val="24"/>
    </w:rPr>
  </w:style>
  <w:style w:type="paragraph" w:customStyle="1" w:styleId="4">
    <w:name w:val="p15"/>
    <w:basedOn w:val="1"/>
    <w:next w:val="5"/>
    <w:qFormat/>
    <w:uiPriority w:val="0"/>
    <w:pPr>
      <w:widowControl/>
      <w:spacing w:before="100" w:after="100"/>
      <w:jc w:val="left"/>
    </w:pPr>
    <w:rPr>
      <w:rFonts w:ascii="宋体" w:hAnsi="宋体" w:cs="宋体"/>
      <w:kern w:val="0"/>
      <w:sz w:val="24"/>
    </w:rPr>
  </w:style>
  <w:style w:type="paragraph" w:customStyle="1" w:styleId="5">
    <w:name w:val="Char Char Char Char Char Char"/>
    <w:basedOn w:val="1"/>
    <w:next w:val="6"/>
    <w:semiHidden/>
    <w:qFormat/>
    <w:uiPriority w:val="0"/>
    <w:rPr>
      <w:szCs w:val="20"/>
    </w:rPr>
  </w:style>
  <w:style w:type="paragraph" w:styleId="6">
    <w:name w:val="Body Text First Indent"/>
    <w:basedOn w:val="3"/>
    <w:next w:val="7"/>
    <w:semiHidden/>
    <w:qFormat/>
    <w:uiPriority w:val="0"/>
    <w:pPr>
      <w:ind w:firstLine="420"/>
    </w:pPr>
    <w:rPr>
      <w:kern w:val="2"/>
      <w:sz w:val="28"/>
    </w:rPr>
  </w:style>
  <w:style w:type="paragraph" w:customStyle="1" w:styleId="7">
    <w:name w:val="Char Char Char"/>
    <w:basedOn w:val="1"/>
    <w:next w:val="8"/>
    <w:semiHidden/>
    <w:qFormat/>
    <w:uiPriority w:val="0"/>
  </w:style>
  <w:style w:type="paragraph" w:styleId="8">
    <w:name w:val="Balloon Text"/>
    <w:basedOn w:val="1"/>
    <w:next w:val="9"/>
    <w:semiHidden/>
    <w:qFormat/>
    <w:uiPriority w:val="0"/>
    <w:rPr>
      <w:rFonts w:ascii="Times New Roman" w:eastAsia="宋体"/>
      <w:sz w:val="18"/>
      <w:szCs w:val="18"/>
    </w:rPr>
  </w:style>
  <w:style w:type="paragraph" w:styleId="9">
    <w:name w:val="Date"/>
    <w:basedOn w:val="1"/>
    <w:next w:val="1"/>
    <w:qFormat/>
    <w:uiPriority w:val="0"/>
    <w:pPr>
      <w:ind w:left="100" w:leftChars="2500"/>
    </w:pPr>
    <w:rPr>
      <w:rFonts w:ascii="宋体" w:hAnsi="Courier New" w:eastAsia="宋体"/>
      <w:kern w:val="0"/>
      <w:sz w:val="21"/>
      <w:szCs w:val="21"/>
    </w:rPr>
  </w:style>
  <w:style w:type="paragraph" w:styleId="10">
    <w:name w:val="footer"/>
    <w:basedOn w:val="1"/>
    <w:next w:val="3"/>
    <w:qFormat/>
    <w:uiPriority w:val="99"/>
    <w:pPr>
      <w:tabs>
        <w:tab w:val="center" w:pos="4153"/>
        <w:tab w:val="right" w:pos="8306"/>
      </w:tabs>
      <w:snapToGrid w:val="0"/>
      <w:jc w:val="left"/>
    </w:pPr>
    <w:rPr>
      <w:rFonts w:ascii="Times New Roman" w:eastAsia="宋体"/>
      <w:kern w:val="0"/>
      <w:sz w:val="18"/>
      <w:szCs w:val="18"/>
    </w:rPr>
  </w:style>
  <w:style w:type="paragraph" w:styleId="11">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character" w:styleId="15">
    <w:name w:val="Hyperlink"/>
    <w:basedOn w:val="14"/>
    <w:uiPriority w:val="0"/>
    <w:rPr>
      <w:color w:val="0000FF"/>
      <w:u w:val="single"/>
    </w:rPr>
  </w:style>
  <w:style w:type="paragraph" w:customStyle="1" w:styleId="16">
    <w:name w:val="列出段落11"/>
    <w:basedOn w:val="1"/>
    <w:qFormat/>
    <w:uiPriority w:val="0"/>
    <w:pPr>
      <w:ind w:firstLine="420" w:firstLineChars="200"/>
    </w:pPr>
    <w:rPr>
      <w:rFonts w:ascii="Calibri" w:hAnsi="Calibri" w:cs="黑体"/>
      <w:szCs w:val="22"/>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4413</Words>
  <Characters>4925</Characters>
  <Lines>0</Lines>
  <Paragraphs>0</Paragraphs>
  <TotalTime>0</TotalTime>
  <ScaleCrop>false</ScaleCrop>
  <LinksUpToDate>false</LinksUpToDate>
  <CharactersWithSpaces>5325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法正项目管理集团有限公司</cp:lastModifiedBy>
  <dcterms:modified xsi:type="dcterms:W3CDTF">2025-06-27T07:30:48Z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eyJoZGlkIjoiYjNmNzRmYmJmMDY3ODI4NjQ4ZGVkMTFiYzM1ZThiOTAiLCJ1c2VySWQiOiIxMTIxMzkwNzE3In0=</vt:lpwstr>
  </property>
  <property fmtid="{D5CDD505-2E9C-101B-9397-08002B2CF9AE}" pid="4" name="ICV">
    <vt:lpwstr>8F4E1B28E2754B9CBE736C3A737D90AC_12</vt:lpwstr>
  </property>
</Properties>
</file>