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22DB2">
      <w:pPr>
        <w:pStyle w:val="16"/>
        <w:rPr>
          <w:rFonts w:hint="default" w:ascii="宋体" w:hAnsi="宋体" w:eastAsia="宋体"/>
          <w:sz w:val="24"/>
          <w:szCs w:val="24"/>
          <w:lang w:val="en-US"/>
        </w:rPr>
      </w:pPr>
      <w:r>
        <w:rPr>
          <w:rFonts w:hint="eastAsia" w:ascii="宋体" w:hAnsi="宋体" w:eastAsia="宋体"/>
          <w:sz w:val="24"/>
          <w:szCs w:val="24"/>
        </w:rPr>
        <w:t>附件一：</w:t>
      </w:r>
      <w:r>
        <w:rPr>
          <w:rFonts w:hint="eastAsia" w:ascii="宋体" w:hAnsi="宋体"/>
          <w:sz w:val="24"/>
          <w:szCs w:val="24"/>
          <w:lang w:val="en-US" w:eastAsia="zh-CN"/>
        </w:rPr>
        <w:t>采购公告明细表</w:t>
      </w:r>
    </w:p>
    <w:p w14:paraId="4ED7DB76">
      <w:pPr>
        <w:pStyle w:val="16"/>
        <w:rPr>
          <w:rFonts w:hint="eastAsia" w:ascii="宋体" w:hAnsi="宋体"/>
          <w:sz w:val="24"/>
          <w:szCs w:val="24"/>
          <w:lang w:val="en-US" w:eastAsia="zh-CN"/>
        </w:rPr>
      </w:pPr>
    </w:p>
    <w:tbl>
      <w:tblPr>
        <w:tblStyle w:val="12"/>
        <w:tblW w:w="10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7"/>
        <w:gridCol w:w="1265"/>
        <w:gridCol w:w="972"/>
        <w:gridCol w:w="688"/>
        <w:gridCol w:w="1308"/>
        <w:gridCol w:w="1009"/>
        <w:gridCol w:w="1249"/>
        <w:gridCol w:w="2024"/>
        <w:gridCol w:w="818"/>
      </w:tblGrid>
      <w:tr w14:paraId="759A4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2"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29238AEE">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标段</w:t>
            </w:r>
            <w:r>
              <w:rPr>
                <w:rFonts w:hint="eastAsia" w:ascii="宋体" w:hAnsi="宋体" w:cs="宋体"/>
                <w:b/>
                <w:bCs/>
                <w:i w:val="0"/>
                <w:iCs w:val="0"/>
                <w:color w:val="000000"/>
                <w:kern w:val="0"/>
                <w:sz w:val="21"/>
                <w:szCs w:val="21"/>
                <w:u w:val="none"/>
                <w:lang w:val="en-US" w:eastAsia="zh-CN" w:bidi="ar"/>
              </w:rPr>
              <w:t>编</w:t>
            </w:r>
            <w:r>
              <w:rPr>
                <w:rFonts w:hint="eastAsia" w:ascii="宋体" w:hAnsi="宋体" w:eastAsia="宋体" w:cs="宋体"/>
                <w:b/>
                <w:bCs/>
                <w:i w:val="0"/>
                <w:iCs w:val="0"/>
                <w:color w:val="000000"/>
                <w:kern w:val="0"/>
                <w:sz w:val="21"/>
                <w:szCs w:val="21"/>
                <w:u w:val="none"/>
                <w:lang w:val="en-US" w:eastAsia="zh-CN" w:bidi="ar"/>
              </w:rPr>
              <w:t>号</w:t>
            </w:r>
          </w:p>
        </w:tc>
        <w:tc>
          <w:tcPr>
            <w:tcW w:w="1265" w:type="dxa"/>
            <w:tcBorders>
              <w:top w:val="single" w:color="auto" w:sz="4" w:space="0"/>
              <w:left w:val="single" w:color="auto" w:sz="4" w:space="0"/>
              <w:bottom w:val="single" w:color="auto" w:sz="4" w:space="0"/>
              <w:right w:val="single" w:color="000000" w:sz="4" w:space="0"/>
            </w:tcBorders>
            <w:shd w:val="clear" w:color="auto" w:fill="auto"/>
            <w:vAlign w:val="center"/>
          </w:tcPr>
          <w:p w14:paraId="22CCDB7C">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标段名称</w:t>
            </w:r>
          </w:p>
        </w:tc>
        <w:tc>
          <w:tcPr>
            <w:tcW w:w="972" w:type="dxa"/>
            <w:tcBorders>
              <w:top w:val="single" w:color="auto" w:sz="4" w:space="0"/>
              <w:left w:val="nil"/>
              <w:bottom w:val="single" w:color="auto" w:sz="4" w:space="0"/>
              <w:right w:val="single" w:color="000000" w:sz="4" w:space="0"/>
            </w:tcBorders>
            <w:shd w:val="clear" w:color="auto" w:fill="auto"/>
            <w:vAlign w:val="center"/>
          </w:tcPr>
          <w:p w14:paraId="1600A46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单位名称</w:t>
            </w:r>
          </w:p>
        </w:tc>
        <w:tc>
          <w:tcPr>
            <w:tcW w:w="688" w:type="dxa"/>
            <w:tcBorders>
              <w:top w:val="single" w:color="auto" w:sz="4" w:space="0"/>
              <w:left w:val="nil"/>
              <w:bottom w:val="single" w:color="auto" w:sz="4" w:space="0"/>
              <w:right w:val="single" w:color="000000" w:sz="4" w:space="0"/>
            </w:tcBorders>
            <w:shd w:val="clear" w:color="auto" w:fill="auto"/>
            <w:vAlign w:val="center"/>
          </w:tcPr>
          <w:p w14:paraId="078D62DB">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项目类别</w:t>
            </w:r>
          </w:p>
        </w:tc>
        <w:tc>
          <w:tcPr>
            <w:tcW w:w="1308" w:type="dxa"/>
            <w:tcBorders>
              <w:top w:val="single" w:color="auto" w:sz="4" w:space="0"/>
              <w:left w:val="nil"/>
              <w:bottom w:val="single" w:color="auto" w:sz="4" w:space="0"/>
              <w:right w:val="single" w:color="000000" w:sz="4" w:space="0"/>
            </w:tcBorders>
            <w:shd w:val="clear" w:color="auto" w:fill="auto"/>
            <w:vAlign w:val="center"/>
          </w:tcPr>
          <w:p w14:paraId="4081C0FF">
            <w:pPr>
              <w:keepNext w:val="0"/>
              <w:keepLines w:val="0"/>
              <w:widowControl/>
              <w:suppressLineNumbers w:val="0"/>
              <w:spacing w:line="240" w:lineRule="auto"/>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项目名称</w:t>
            </w:r>
          </w:p>
        </w:tc>
        <w:tc>
          <w:tcPr>
            <w:tcW w:w="1009" w:type="dxa"/>
            <w:tcBorders>
              <w:top w:val="single" w:color="auto" w:sz="4" w:space="0"/>
              <w:left w:val="single" w:color="000000" w:sz="4" w:space="0"/>
              <w:bottom w:val="single" w:color="auto" w:sz="4" w:space="0"/>
              <w:right w:val="single" w:color="000000" w:sz="4" w:space="0"/>
            </w:tcBorders>
            <w:shd w:val="clear" w:color="auto" w:fill="auto"/>
            <w:vAlign w:val="center"/>
          </w:tcPr>
          <w:p w14:paraId="035FB45F">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cs="宋体"/>
                <w:b/>
                <w:bCs/>
                <w:i w:val="0"/>
                <w:iCs w:val="0"/>
                <w:color w:val="000000"/>
                <w:kern w:val="0"/>
                <w:sz w:val="21"/>
                <w:szCs w:val="21"/>
                <w:highlight w:val="none"/>
                <w:u w:val="none"/>
                <w:lang w:val="en-US" w:eastAsia="zh-CN" w:bidi="ar"/>
              </w:rPr>
              <w:t>预估金额</w:t>
            </w:r>
            <w:r>
              <w:rPr>
                <w:rFonts w:hint="eastAsia" w:ascii="宋体" w:hAnsi="宋体" w:eastAsia="宋体" w:cs="宋体"/>
                <w:b/>
                <w:bCs/>
                <w:i w:val="0"/>
                <w:iCs w:val="0"/>
                <w:color w:val="000000"/>
                <w:kern w:val="0"/>
                <w:sz w:val="21"/>
                <w:szCs w:val="21"/>
                <w:highlight w:val="none"/>
                <w:u w:val="none"/>
                <w:lang w:val="en-US" w:eastAsia="zh-CN" w:bidi="ar"/>
              </w:rPr>
              <w:t>（</w:t>
            </w:r>
            <w:r>
              <w:rPr>
                <w:rFonts w:hint="eastAsia" w:ascii="宋体" w:hAnsi="宋体" w:cs="宋体"/>
                <w:b/>
                <w:bCs/>
                <w:i w:val="0"/>
                <w:iCs w:val="0"/>
                <w:color w:val="000000"/>
                <w:kern w:val="0"/>
                <w:sz w:val="21"/>
                <w:szCs w:val="21"/>
                <w:highlight w:val="none"/>
                <w:u w:val="none"/>
                <w:lang w:val="en-US" w:eastAsia="zh-CN" w:bidi="ar"/>
              </w:rPr>
              <w:t>万</w:t>
            </w:r>
            <w:r>
              <w:rPr>
                <w:rFonts w:hint="eastAsia" w:ascii="宋体" w:hAnsi="宋体" w:eastAsia="宋体" w:cs="宋体"/>
                <w:b/>
                <w:bCs/>
                <w:i w:val="0"/>
                <w:iCs w:val="0"/>
                <w:color w:val="000000"/>
                <w:kern w:val="0"/>
                <w:sz w:val="21"/>
                <w:szCs w:val="21"/>
                <w:highlight w:val="none"/>
                <w:u w:val="none"/>
                <w:lang w:val="en-US" w:eastAsia="zh-CN" w:bidi="ar"/>
              </w:rPr>
              <w:t>元）</w:t>
            </w:r>
          </w:p>
        </w:tc>
        <w:tc>
          <w:tcPr>
            <w:tcW w:w="1249" w:type="dxa"/>
            <w:tcBorders>
              <w:top w:val="single" w:color="auto" w:sz="4" w:space="0"/>
              <w:left w:val="single" w:color="000000" w:sz="4" w:space="0"/>
              <w:bottom w:val="single" w:color="auto" w:sz="4" w:space="0"/>
              <w:right w:val="single" w:color="auto" w:sz="4" w:space="0"/>
            </w:tcBorders>
            <w:shd w:val="clear" w:color="auto" w:fill="auto"/>
            <w:vAlign w:val="center"/>
          </w:tcPr>
          <w:p w14:paraId="29713712">
            <w:pPr>
              <w:keepNext w:val="0"/>
              <w:keepLines w:val="0"/>
              <w:widowControl/>
              <w:suppressLineNumbers w:val="0"/>
              <w:spacing w:line="240" w:lineRule="auto"/>
              <w:jc w:val="center"/>
              <w:textAlignment w:val="center"/>
              <w:rPr>
                <w:rFonts w:hint="default" w:ascii="宋体" w:hAnsi="宋体" w:eastAsia="宋体" w:cs="宋体"/>
                <w:b/>
                <w:bCs/>
                <w:i w:val="0"/>
                <w:iCs w:val="0"/>
                <w:color w:val="000000"/>
                <w:sz w:val="21"/>
                <w:szCs w:val="21"/>
                <w:highlight w:val="yellow"/>
                <w:u w:val="none"/>
                <w:lang w:val="en-US"/>
              </w:rPr>
            </w:pPr>
            <w:r>
              <w:rPr>
                <w:rFonts w:hint="eastAsia" w:ascii="宋体" w:hAnsi="宋体" w:cs="宋体"/>
                <w:b/>
                <w:bCs/>
                <w:i w:val="0"/>
                <w:iCs w:val="0"/>
                <w:color w:val="000000"/>
                <w:kern w:val="0"/>
                <w:sz w:val="21"/>
                <w:szCs w:val="21"/>
                <w:highlight w:val="none"/>
                <w:u w:val="none"/>
                <w:lang w:val="en-US" w:eastAsia="zh-CN" w:bidi="ar"/>
              </w:rPr>
              <w:t>服务期</w:t>
            </w:r>
          </w:p>
        </w:tc>
        <w:tc>
          <w:tcPr>
            <w:tcW w:w="2024" w:type="dxa"/>
            <w:tcBorders>
              <w:top w:val="single" w:color="auto" w:sz="4" w:space="0"/>
              <w:left w:val="single" w:color="000000" w:sz="4" w:space="0"/>
              <w:bottom w:val="single" w:color="auto" w:sz="4" w:space="0"/>
              <w:right w:val="single" w:color="auto" w:sz="4" w:space="0"/>
            </w:tcBorders>
            <w:shd w:val="clear" w:color="auto" w:fill="auto"/>
            <w:vAlign w:val="center"/>
          </w:tcPr>
          <w:p w14:paraId="0FEB94EF">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cs="宋体"/>
                <w:b/>
                <w:bCs/>
                <w:i w:val="0"/>
                <w:iCs w:val="0"/>
                <w:color w:val="000000"/>
                <w:kern w:val="0"/>
                <w:sz w:val="21"/>
                <w:szCs w:val="21"/>
                <w:highlight w:val="none"/>
                <w:u w:val="none"/>
                <w:lang w:val="en-US" w:eastAsia="zh-CN" w:bidi="ar"/>
              </w:rPr>
              <w:t>专用资格要求</w:t>
            </w:r>
          </w:p>
        </w:tc>
        <w:tc>
          <w:tcPr>
            <w:tcW w:w="818" w:type="dxa"/>
            <w:tcBorders>
              <w:top w:val="single" w:color="auto" w:sz="4" w:space="0"/>
              <w:left w:val="single" w:color="000000" w:sz="4" w:space="0"/>
              <w:bottom w:val="single" w:color="auto" w:sz="4" w:space="0"/>
              <w:right w:val="single" w:color="auto" w:sz="4" w:space="0"/>
            </w:tcBorders>
            <w:shd w:val="clear" w:color="auto" w:fill="auto"/>
            <w:vAlign w:val="center"/>
          </w:tcPr>
          <w:p w14:paraId="41000FC9">
            <w:pPr>
              <w:keepNext w:val="0"/>
              <w:keepLines w:val="0"/>
              <w:widowControl/>
              <w:suppressLineNumbers w:val="0"/>
              <w:spacing w:line="240" w:lineRule="auto"/>
              <w:jc w:val="center"/>
              <w:textAlignment w:val="center"/>
              <w:rPr>
                <w:rFonts w:hint="default" w:ascii="宋体" w:hAnsi="宋体" w:cs="宋体"/>
                <w:b/>
                <w:bCs/>
                <w:i w:val="0"/>
                <w:iCs w:val="0"/>
                <w:color w:val="000000"/>
                <w:kern w:val="0"/>
                <w:sz w:val="21"/>
                <w:szCs w:val="21"/>
                <w:highlight w:val="none"/>
                <w:u w:val="none"/>
                <w:lang w:val="en-US" w:eastAsia="zh-CN" w:bidi="ar"/>
              </w:rPr>
            </w:pPr>
            <w:r>
              <w:rPr>
                <w:rFonts w:hint="eastAsia" w:ascii="宋体" w:hAnsi="宋体" w:cs="宋体"/>
                <w:b/>
                <w:bCs/>
                <w:i w:val="0"/>
                <w:iCs w:val="0"/>
                <w:color w:val="000000"/>
                <w:kern w:val="0"/>
                <w:sz w:val="21"/>
                <w:szCs w:val="21"/>
                <w:highlight w:val="none"/>
                <w:u w:val="none"/>
                <w:lang w:val="en-US" w:eastAsia="zh-CN" w:bidi="ar"/>
              </w:rPr>
              <w:t>备注</w:t>
            </w:r>
          </w:p>
        </w:tc>
      </w:tr>
      <w:tr w14:paraId="70F30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7"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73D09CB1">
            <w:pPr>
              <w:keepNext w:val="0"/>
              <w:keepLines w:val="0"/>
              <w:widowControl/>
              <w:suppressLineNumbers w:val="0"/>
              <w:spacing w:line="240" w:lineRule="auto"/>
              <w:jc w:val="center"/>
              <w:textAlignment w:val="center"/>
              <w:rPr>
                <w:rFonts w:hint="default" w:ascii="宋体" w:hAnsi="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1</w:t>
            </w:r>
          </w:p>
        </w:tc>
        <w:tc>
          <w:tcPr>
            <w:tcW w:w="1265" w:type="dxa"/>
            <w:tcBorders>
              <w:top w:val="single" w:color="auto" w:sz="4" w:space="0"/>
              <w:left w:val="single" w:color="auto" w:sz="4" w:space="0"/>
              <w:bottom w:val="single" w:color="auto" w:sz="4" w:space="0"/>
              <w:right w:val="single" w:color="auto" w:sz="4" w:space="0"/>
            </w:tcBorders>
            <w:shd w:val="clear" w:color="auto" w:fill="auto"/>
            <w:vAlign w:val="center"/>
          </w:tcPr>
          <w:p w14:paraId="3FACD6D0">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包头供电公司巡检系统相关数据服务</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225848AB">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包头供电公司</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2AD1A29B">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服务</w:t>
            </w:r>
          </w:p>
        </w:tc>
        <w:tc>
          <w:tcPr>
            <w:tcW w:w="13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CF35B9">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包头供电公司巡检系统相关数据服务</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742D6875">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25</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14:paraId="385FF67F">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框架协议签订之日起三年</w:t>
            </w:r>
          </w:p>
        </w:tc>
        <w:tc>
          <w:tcPr>
            <w:tcW w:w="2024" w:type="dxa"/>
            <w:tcBorders>
              <w:top w:val="single" w:color="auto" w:sz="4" w:space="0"/>
              <w:left w:val="single" w:color="auto" w:sz="4" w:space="0"/>
              <w:bottom w:val="single" w:color="auto" w:sz="4" w:space="0"/>
              <w:right w:val="single" w:color="auto" w:sz="4" w:space="0"/>
            </w:tcBorders>
            <w:shd w:val="clear" w:color="auto" w:fill="auto"/>
            <w:vAlign w:val="center"/>
          </w:tcPr>
          <w:p w14:paraId="248510E4">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1、</w:t>
            </w:r>
            <w:r>
              <w:rPr>
                <w:rFonts w:hint="eastAsia" w:ascii="宋体" w:hAnsi="宋体" w:eastAsia="宋体" w:cs="宋体"/>
                <w:b w:val="0"/>
                <w:bCs w:val="0"/>
                <w:i w:val="0"/>
                <w:iCs w:val="0"/>
                <w:color w:val="000000"/>
                <w:kern w:val="0"/>
                <w:sz w:val="21"/>
                <w:szCs w:val="21"/>
                <w:highlight w:val="none"/>
                <w:u w:val="none"/>
                <w:lang w:val="en-US" w:eastAsia="zh-CN" w:bidi="ar"/>
              </w:rPr>
              <w:t>供应商须具有基础电信业务经营许可证与增值电信业务经营许可证且在有效期内；</w:t>
            </w:r>
          </w:p>
        </w:tc>
        <w:tc>
          <w:tcPr>
            <w:tcW w:w="818" w:type="dxa"/>
            <w:tcBorders>
              <w:top w:val="single" w:color="auto" w:sz="4" w:space="0"/>
              <w:left w:val="single" w:color="auto" w:sz="4" w:space="0"/>
              <w:bottom w:val="single" w:color="auto" w:sz="4" w:space="0"/>
              <w:right w:val="single" w:color="auto" w:sz="4" w:space="0"/>
            </w:tcBorders>
            <w:shd w:val="clear" w:color="auto" w:fill="auto"/>
            <w:vAlign w:val="center"/>
          </w:tcPr>
          <w:p w14:paraId="4670D70A">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34214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3"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38F871B4">
            <w:pPr>
              <w:keepNext w:val="0"/>
              <w:keepLines w:val="0"/>
              <w:widowControl/>
              <w:suppressLineNumbers w:val="0"/>
              <w:spacing w:line="240" w:lineRule="auto"/>
              <w:jc w:val="center"/>
              <w:textAlignment w:val="center"/>
              <w:rPr>
                <w:rFonts w:hint="default" w:ascii="宋体" w:hAnsi="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2</w:t>
            </w:r>
          </w:p>
        </w:tc>
        <w:tc>
          <w:tcPr>
            <w:tcW w:w="1265" w:type="dxa"/>
            <w:tcBorders>
              <w:top w:val="single" w:color="auto" w:sz="4" w:space="0"/>
              <w:left w:val="single" w:color="auto" w:sz="4" w:space="0"/>
              <w:bottom w:val="single" w:color="auto" w:sz="4" w:space="0"/>
              <w:right w:val="single" w:color="auto" w:sz="4" w:space="0"/>
            </w:tcBorders>
            <w:shd w:val="clear" w:color="auto" w:fill="auto"/>
            <w:vAlign w:val="center"/>
          </w:tcPr>
          <w:p w14:paraId="7D4C8A0E">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包头供电公司智能巡检定位数据服务</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69AAF1A8">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包头供电公司</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5EB90BE7">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服务</w:t>
            </w:r>
          </w:p>
        </w:tc>
        <w:tc>
          <w:tcPr>
            <w:tcW w:w="13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4325BA">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包头供电公司智能巡检定位数据服务</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66920BAD">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 xml:space="preserve">25 </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14:paraId="6AEF331B">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eastAsia="宋体" w:cs="宋体"/>
                <w:b w:val="0"/>
                <w:bCs w:val="0"/>
                <w:i w:val="0"/>
                <w:iCs w:val="0"/>
                <w:color w:val="000000"/>
                <w:kern w:val="0"/>
                <w:sz w:val="21"/>
                <w:szCs w:val="21"/>
                <w:highlight w:val="none"/>
                <w:u w:val="none"/>
                <w:lang w:val="en-US" w:eastAsia="zh-CN" w:bidi="ar"/>
              </w:rPr>
              <w:t>框架协议签订之日起三年</w:t>
            </w:r>
          </w:p>
        </w:tc>
        <w:tc>
          <w:tcPr>
            <w:tcW w:w="2024" w:type="dxa"/>
            <w:tcBorders>
              <w:top w:val="single" w:color="auto" w:sz="4" w:space="0"/>
              <w:left w:val="single" w:color="auto" w:sz="4" w:space="0"/>
              <w:bottom w:val="single" w:color="auto" w:sz="4" w:space="0"/>
              <w:right w:val="single" w:color="auto" w:sz="4" w:space="0"/>
            </w:tcBorders>
            <w:shd w:val="clear" w:color="auto" w:fill="auto"/>
            <w:vAlign w:val="center"/>
          </w:tcPr>
          <w:p w14:paraId="63968B23">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r>
              <w:rPr>
                <w:rFonts w:hint="eastAsia" w:ascii="宋体" w:hAnsi="宋体" w:cs="宋体"/>
                <w:b w:val="0"/>
                <w:bCs w:val="0"/>
                <w:i w:val="0"/>
                <w:iCs w:val="0"/>
                <w:color w:val="000000"/>
                <w:kern w:val="0"/>
                <w:sz w:val="21"/>
                <w:szCs w:val="21"/>
                <w:highlight w:val="none"/>
                <w:u w:val="none"/>
                <w:lang w:val="en-US" w:eastAsia="zh-CN" w:bidi="ar"/>
              </w:rPr>
              <w:t>1、</w:t>
            </w:r>
            <w:r>
              <w:rPr>
                <w:rFonts w:hint="eastAsia" w:ascii="宋体" w:hAnsi="宋体" w:eastAsia="宋体" w:cs="宋体"/>
                <w:b w:val="0"/>
                <w:bCs w:val="0"/>
                <w:i w:val="0"/>
                <w:iCs w:val="0"/>
                <w:color w:val="000000"/>
                <w:kern w:val="0"/>
                <w:sz w:val="21"/>
                <w:szCs w:val="21"/>
                <w:highlight w:val="none"/>
                <w:u w:val="none"/>
                <w:lang w:val="en-US" w:eastAsia="zh-CN" w:bidi="ar"/>
              </w:rPr>
              <w:t>供应商须具有基础电信业务经营许可证与增值电信业务经营许可证且在有效期内；</w:t>
            </w:r>
          </w:p>
        </w:tc>
        <w:tc>
          <w:tcPr>
            <w:tcW w:w="818" w:type="dxa"/>
            <w:tcBorders>
              <w:top w:val="single" w:color="auto" w:sz="4" w:space="0"/>
              <w:left w:val="single" w:color="auto" w:sz="4" w:space="0"/>
              <w:bottom w:val="single" w:color="auto" w:sz="4" w:space="0"/>
              <w:right w:val="single" w:color="auto" w:sz="4" w:space="0"/>
            </w:tcBorders>
            <w:shd w:val="clear" w:color="auto" w:fill="auto"/>
            <w:vAlign w:val="center"/>
          </w:tcPr>
          <w:p w14:paraId="088AB4FF">
            <w:pPr>
              <w:keepNext w:val="0"/>
              <w:keepLines w:val="0"/>
              <w:widowControl/>
              <w:suppressLineNumbers w:val="0"/>
              <w:spacing w:line="240" w:lineRule="auto"/>
              <w:jc w:val="left"/>
              <w:textAlignment w:val="center"/>
              <w:rPr>
                <w:rFonts w:hint="eastAsia" w:ascii="宋体" w:hAnsi="宋体" w:cs="宋体"/>
                <w:b w:val="0"/>
                <w:bCs w:val="0"/>
                <w:i w:val="0"/>
                <w:iCs w:val="0"/>
                <w:color w:val="000000"/>
                <w:kern w:val="0"/>
                <w:sz w:val="21"/>
                <w:szCs w:val="21"/>
                <w:highlight w:val="none"/>
                <w:u w:val="none"/>
                <w:lang w:val="en-US" w:eastAsia="zh-CN" w:bidi="ar"/>
              </w:rPr>
            </w:pPr>
          </w:p>
        </w:tc>
      </w:tr>
      <w:tr w14:paraId="6FE0A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7"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auto"/>
            <w:vAlign w:val="center"/>
          </w:tcPr>
          <w:p w14:paraId="73F821C4">
            <w:pPr>
              <w:keepNext w:val="0"/>
              <w:keepLines w:val="0"/>
              <w:widowControl/>
              <w:suppressLineNumbers w:val="0"/>
              <w:spacing w:line="240" w:lineRule="auto"/>
              <w:jc w:val="center"/>
              <w:textAlignment w:val="center"/>
              <w:rPr>
                <w:rFonts w:hint="default" w:ascii="宋体" w:hAnsi="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3</w:t>
            </w:r>
          </w:p>
        </w:tc>
        <w:tc>
          <w:tcPr>
            <w:tcW w:w="1265" w:type="dxa"/>
            <w:tcBorders>
              <w:top w:val="single" w:color="auto" w:sz="4" w:space="0"/>
              <w:left w:val="single" w:color="auto" w:sz="4" w:space="0"/>
              <w:bottom w:val="single" w:color="auto" w:sz="4" w:space="0"/>
              <w:right w:val="single" w:color="auto" w:sz="4" w:space="0"/>
            </w:tcBorders>
            <w:shd w:val="clear" w:color="auto" w:fill="auto"/>
            <w:vAlign w:val="center"/>
          </w:tcPr>
          <w:p w14:paraId="14A3B1E4">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sz w:val="21"/>
                <w:szCs w:val="21"/>
                <w:u w:val="none"/>
                <w:lang w:eastAsia="zh-CN"/>
              </w:rPr>
              <w:t>包头供电公司房屋结构鉴定服务</w:t>
            </w:r>
          </w:p>
        </w:tc>
        <w:tc>
          <w:tcPr>
            <w:tcW w:w="972" w:type="dxa"/>
            <w:tcBorders>
              <w:top w:val="single" w:color="auto" w:sz="4" w:space="0"/>
              <w:left w:val="single" w:color="auto" w:sz="4" w:space="0"/>
              <w:bottom w:val="single" w:color="auto" w:sz="4" w:space="0"/>
              <w:right w:val="single" w:color="auto" w:sz="4" w:space="0"/>
            </w:tcBorders>
            <w:shd w:val="clear" w:color="auto" w:fill="auto"/>
            <w:vAlign w:val="center"/>
          </w:tcPr>
          <w:p w14:paraId="0013EAC7">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综合事务中心</w:t>
            </w:r>
          </w:p>
        </w:tc>
        <w:tc>
          <w:tcPr>
            <w:tcW w:w="688" w:type="dxa"/>
            <w:tcBorders>
              <w:top w:val="single" w:color="auto" w:sz="4" w:space="0"/>
              <w:left w:val="single" w:color="auto" w:sz="4" w:space="0"/>
              <w:bottom w:val="single" w:color="auto" w:sz="4" w:space="0"/>
              <w:right w:val="single" w:color="auto" w:sz="4" w:space="0"/>
            </w:tcBorders>
            <w:shd w:val="clear" w:color="auto" w:fill="auto"/>
            <w:vAlign w:val="center"/>
          </w:tcPr>
          <w:p w14:paraId="33A62641">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咨询服务类</w:t>
            </w:r>
          </w:p>
        </w:tc>
        <w:tc>
          <w:tcPr>
            <w:tcW w:w="130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606AEB">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sz w:val="21"/>
                <w:szCs w:val="21"/>
                <w:u w:val="none"/>
                <w:lang w:eastAsia="zh-CN"/>
              </w:rPr>
              <w:t>包头供电公司房屋结构鉴定服务</w:t>
            </w:r>
          </w:p>
        </w:tc>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14:paraId="4C470EC9">
            <w:pPr>
              <w:keepNext w:val="0"/>
              <w:keepLines w:val="0"/>
              <w:widowControl/>
              <w:suppressLineNumbers w:val="0"/>
              <w:spacing w:line="240" w:lineRule="auto"/>
              <w:jc w:val="center"/>
              <w:textAlignment w:val="center"/>
              <w:rPr>
                <w:rFonts w:hint="default"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sz w:val="21"/>
                <w:szCs w:val="21"/>
                <w:u w:val="none"/>
                <w:lang w:val="en-US" w:eastAsia="zh-CN"/>
              </w:rPr>
              <w:t>75</w:t>
            </w:r>
          </w:p>
        </w:tc>
        <w:tc>
          <w:tcPr>
            <w:tcW w:w="1249" w:type="dxa"/>
            <w:tcBorders>
              <w:top w:val="single" w:color="auto" w:sz="4" w:space="0"/>
              <w:left w:val="single" w:color="auto" w:sz="4" w:space="0"/>
              <w:bottom w:val="single" w:color="auto" w:sz="4" w:space="0"/>
              <w:right w:val="single" w:color="auto" w:sz="4" w:space="0"/>
            </w:tcBorders>
            <w:shd w:val="clear" w:color="auto" w:fill="auto"/>
            <w:vAlign w:val="center"/>
          </w:tcPr>
          <w:p w14:paraId="606FD6A2">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sz w:val="21"/>
                <w:szCs w:val="21"/>
                <w:u w:val="none"/>
                <w:lang w:val="en-US" w:eastAsia="zh-CN"/>
              </w:rPr>
              <w:t>框架协议合同签订之日起至2026年12月31日</w:t>
            </w:r>
          </w:p>
        </w:tc>
        <w:tc>
          <w:tcPr>
            <w:tcW w:w="2024" w:type="dxa"/>
            <w:tcBorders>
              <w:top w:val="single" w:color="auto" w:sz="4" w:space="0"/>
              <w:left w:val="single" w:color="auto" w:sz="4" w:space="0"/>
              <w:bottom w:val="single" w:color="auto" w:sz="4" w:space="0"/>
              <w:right w:val="single" w:color="auto" w:sz="4" w:space="0"/>
            </w:tcBorders>
            <w:shd w:val="clear" w:color="auto" w:fill="auto"/>
            <w:vAlign w:val="center"/>
          </w:tcPr>
          <w:p w14:paraId="1D89B89B">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cs="宋体"/>
                <w:b w:val="0"/>
                <w:bCs w:val="0"/>
                <w:i w:val="0"/>
                <w:iCs w:val="0"/>
                <w:color w:val="000000"/>
                <w:kern w:val="0"/>
                <w:sz w:val="21"/>
                <w:szCs w:val="21"/>
                <w:u w:val="none"/>
                <w:lang w:val="en-US" w:eastAsia="zh-CN" w:bidi="ar"/>
              </w:rPr>
              <w:t>1.</w:t>
            </w:r>
            <w:r>
              <w:rPr>
                <w:rFonts w:hint="eastAsia" w:ascii="宋体" w:hAnsi="宋体" w:eastAsia="宋体" w:cs="宋体"/>
                <w:b w:val="0"/>
                <w:bCs w:val="0"/>
                <w:i w:val="0"/>
                <w:iCs w:val="0"/>
                <w:color w:val="000000"/>
                <w:kern w:val="0"/>
                <w:sz w:val="21"/>
                <w:szCs w:val="21"/>
                <w:u w:val="none"/>
                <w:lang w:val="en-US" w:eastAsia="zh-CN" w:bidi="ar"/>
              </w:rPr>
              <w:t>供应商具有建设行政主管部门颁发的有效期内的建设工程质量检测机构资质证书，且检测范围包含（主体结构检测）。</w:t>
            </w:r>
          </w:p>
          <w:p w14:paraId="2DFBB1AE">
            <w:pPr>
              <w:keepNext w:val="0"/>
              <w:keepLines w:val="0"/>
              <w:widowControl/>
              <w:suppressLineNumbers w:val="0"/>
              <w:spacing w:line="240" w:lineRule="auto"/>
              <w:jc w:val="left"/>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2、供应商具有行政主管部门颁发CMA 检验检测资质认定证书。</w:t>
            </w:r>
          </w:p>
          <w:p w14:paraId="189062D8">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c>
          <w:tcPr>
            <w:tcW w:w="818" w:type="dxa"/>
            <w:tcBorders>
              <w:top w:val="single" w:color="auto" w:sz="4" w:space="0"/>
              <w:left w:val="single" w:color="auto" w:sz="4" w:space="0"/>
              <w:bottom w:val="single" w:color="auto" w:sz="4" w:space="0"/>
              <w:right w:val="single" w:color="auto" w:sz="4" w:space="0"/>
            </w:tcBorders>
            <w:shd w:val="clear" w:color="auto" w:fill="auto"/>
            <w:vAlign w:val="center"/>
          </w:tcPr>
          <w:p w14:paraId="39F0388A">
            <w:pPr>
              <w:keepNext w:val="0"/>
              <w:keepLines w:val="0"/>
              <w:widowControl/>
              <w:suppressLineNumbers w:val="0"/>
              <w:spacing w:line="240" w:lineRule="auto"/>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i w:val="0"/>
                <w:iCs w:val="0"/>
                <w:color w:val="000000"/>
                <w:sz w:val="21"/>
                <w:szCs w:val="21"/>
                <w:u w:val="none"/>
                <w:lang w:val="en-US" w:eastAsia="zh-CN"/>
              </w:rPr>
              <w:t>结构鉴定费包含因鉴定产生的房屋面积测量费</w:t>
            </w:r>
          </w:p>
        </w:tc>
      </w:tr>
    </w:tbl>
    <w:p w14:paraId="5827BFDB"/>
    <w:p w14:paraId="479990C4">
      <w:pPr>
        <w:pStyle w:val="14"/>
      </w:pPr>
    </w:p>
    <w:p w14:paraId="5D1E9D6C">
      <w:pPr>
        <w:pStyle w:val="14"/>
        <w:jc w:val="center"/>
        <w:rPr>
          <w:rFonts w:hint="eastAsia"/>
          <w:lang w:val="en-US" w:eastAsia="zh-CN"/>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14:paraId="6FBB4A23">
      <w:pPr>
        <w:pStyle w:val="14"/>
        <w:jc w:val="center"/>
        <w:rPr>
          <w:rFonts w:hint="eastAsia"/>
          <w:sz w:val="28"/>
          <w:szCs w:val="24"/>
          <w:lang w:val="en-US" w:eastAsia="zh-CN"/>
        </w:rPr>
      </w:pPr>
      <w:r>
        <w:rPr>
          <w:rFonts w:hint="eastAsia"/>
          <w:sz w:val="28"/>
          <w:szCs w:val="24"/>
          <w:lang w:val="en-US" w:eastAsia="zh-CN"/>
        </w:rPr>
        <w:t>1标段：包头供电公司巡检系统相关数据服务分项明细表</w:t>
      </w:r>
    </w:p>
    <w:tbl>
      <w:tblPr>
        <w:tblStyle w:val="12"/>
        <w:tblpPr w:leftFromText="180" w:rightFromText="180" w:vertAnchor="text" w:tblpXSpec="center" w:tblpY="1"/>
        <w:tblOverlap w:val="never"/>
        <w:tblW w:w="108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6"/>
        <w:gridCol w:w="1869"/>
        <w:gridCol w:w="1854"/>
        <w:gridCol w:w="1023"/>
        <w:gridCol w:w="654"/>
        <w:gridCol w:w="655"/>
        <w:gridCol w:w="966"/>
        <w:gridCol w:w="763"/>
        <w:gridCol w:w="1013"/>
        <w:gridCol w:w="1013"/>
      </w:tblGrid>
      <w:tr w14:paraId="7974F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jc w:val="center"/>
        </w:trPr>
        <w:tc>
          <w:tcPr>
            <w:tcW w:w="1066" w:type="dxa"/>
            <w:tcBorders>
              <w:top w:val="single" w:color="000000" w:sz="4" w:space="0"/>
              <w:left w:val="single" w:color="000000" w:sz="4" w:space="0"/>
              <w:bottom w:val="single" w:color="000000" w:sz="4" w:space="0"/>
              <w:right w:val="single" w:color="000000" w:sz="4" w:space="0"/>
            </w:tcBorders>
            <w:noWrap w:val="0"/>
            <w:vAlign w:val="center"/>
          </w:tcPr>
          <w:p w14:paraId="29D8CEAD">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cs="宋体"/>
                <w:b/>
                <w:bCs/>
                <w:i w:val="0"/>
                <w:iCs w:val="0"/>
                <w:color w:val="000000"/>
                <w:kern w:val="0"/>
                <w:sz w:val="21"/>
                <w:szCs w:val="21"/>
                <w:u w:val="none"/>
                <w:lang w:val="en-US" w:eastAsia="zh-CN" w:bidi="ar"/>
              </w:rPr>
              <w:t>标段名称</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2AB1B8A5">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highlight w:val="none"/>
                <w:u w:val="none"/>
                <w:lang w:val="en-US" w:eastAsia="zh-CN" w:bidi="ar"/>
              </w:rPr>
              <w:t>服务</w:t>
            </w:r>
            <w:r>
              <w:rPr>
                <w:rFonts w:hint="default" w:ascii="宋体" w:hAnsi="宋体" w:eastAsia="宋体" w:cs="宋体"/>
                <w:b/>
                <w:bCs/>
                <w:i w:val="0"/>
                <w:iCs w:val="0"/>
                <w:color w:val="000000"/>
                <w:kern w:val="0"/>
                <w:sz w:val="21"/>
                <w:szCs w:val="21"/>
                <w:highlight w:val="none"/>
                <w:u w:val="none"/>
                <w:lang w:val="en-US" w:eastAsia="zh-CN" w:bidi="ar"/>
              </w:rPr>
              <w:t>类型</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14:paraId="04464865">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服务内容</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661809AB">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报价方式</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14:paraId="59D54C5D">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数量</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1D486BBF">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单位</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40DBB1EB">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最高投标限价</w:t>
            </w:r>
            <w:r>
              <w:rPr>
                <w:rFonts w:hint="eastAsia" w:ascii="宋体" w:hAnsi="宋体" w:cs="宋体"/>
                <w:b/>
                <w:bCs/>
                <w:i w:val="0"/>
                <w:iCs w:val="0"/>
                <w:color w:val="000000"/>
                <w:sz w:val="21"/>
                <w:szCs w:val="21"/>
                <w:u w:val="none"/>
                <w:lang w:val="en-US" w:eastAsia="zh-CN"/>
              </w:rPr>
              <w:t>（元）</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14:paraId="5F822AA5">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入围家数</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377FC436">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服务</w:t>
            </w:r>
            <w:r>
              <w:rPr>
                <w:rFonts w:hint="eastAsia" w:ascii="宋体" w:hAnsi="宋体" w:eastAsia="宋体" w:cs="宋体"/>
                <w:b/>
                <w:bCs/>
                <w:i w:val="0"/>
                <w:iCs w:val="0"/>
                <w:color w:val="000000"/>
                <w:sz w:val="21"/>
                <w:szCs w:val="21"/>
                <w:u w:val="none"/>
                <w:lang w:val="en-US" w:eastAsia="zh-CN"/>
              </w:rPr>
              <w:t>期</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14:paraId="172549BF">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备注</w:t>
            </w:r>
          </w:p>
        </w:tc>
      </w:tr>
      <w:tr w14:paraId="07D95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6" w:hRule="atLeast"/>
          <w:jc w:val="center"/>
        </w:trPr>
        <w:tc>
          <w:tcPr>
            <w:tcW w:w="1066" w:type="dxa"/>
            <w:vMerge w:val="restart"/>
            <w:tcBorders>
              <w:top w:val="single" w:color="000000" w:sz="4" w:space="0"/>
              <w:left w:val="single" w:color="000000" w:sz="4" w:space="0"/>
              <w:right w:val="single" w:color="000000" w:sz="4" w:space="0"/>
            </w:tcBorders>
            <w:noWrap w:val="0"/>
            <w:vAlign w:val="center"/>
          </w:tcPr>
          <w:p w14:paraId="168F8409">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包头供电公司巡检系统相关数据服务</w:t>
            </w: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085CE52E">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输电和配电巡检系统数据流量池流量卡（大流量卡）</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14:paraId="46BADCAF">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100G/月/张计算，流量计费按35元/月/张计算，超套费用按照5元/G计算</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2C44D6C9">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单价报价</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14:paraId="2174CC21">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38BE8000">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/卡/月</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6E43822E">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w:t>
            </w:r>
          </w:p>
        </w:tc>
        <w:tc>
          <w:tcPr>
            <w:tcW w:w="763" w:type="dxa"/>
            <w:vMerge w:val="restart"/>
            <w:tcBorders>
              <w:top w:val="single" w:color="000000" w:sz="4" w:space="0"/>
              <w:left w:val="single" w:color="000000" w:sz="4" w:space="0"/>
              <w:right w:val="single" w:color="000000" w:sz="4" w:space="0"/>
            </w:tcBorders>
            <w:noWrap w:val="0"/>
            <w:vAlign w:val="center"/>
          </w:tcPr>
          <w:p w14:paraId="4649C70C">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013" w:type="dxa"/>
            <w:vMerge w:val="restart"/>
            <w:tcBorders>
              <w:top w:val="single" w:color="000000" w:sz="4" w:space="0"/>
              <w:left w:val="single" w:color="000000" w:sz="4" w:space="0"/>
              <w:right w:val="single" w:color="000000" w:sz="4" w:space="0"/>
            </w:tcBorders>
            <w:noWrap w:val="0"/>
            <w:vAlign w:val="center"/>
          </w:tcPr>
          <w:p w14:paraId="588989C2">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框</w:t>
            </w:r>
            <w:bookmarkStart w:id="0" w:name="_GoBack"/>
            <w:bookmarkEnd w:id="0"/>
            <w:r>
              <w:rPr>
                <w:rFonts w:hint="eastAsia" w:ascii="宋体" w:hAnsi="宋体" w:eastAsia="宋体" w:cs="宋体"/>
                <w:b w:val="0"/>
                <w:bCs w:val="0"/>
                <w:i w:val="0"/>
                <w:iCs w:val="0"/>
                <w:color w:val="000000"/>
                <w:kern w:val="0"/>
                <w:sz w:val="21"/>
                <w:szCs w:val="21"/>
                <w:highlight w:val="none"/>
                <w:u w:val="none"/>
                <w:lang w:val="en-US" w:eastAsia="zh-CN" w:bidi="ar"/>
              </w:rPr>
              <w:t>架协议签订之日起三年</w:t>
            </w:r>
          </w:p>
        </w:tc>
        <w:tc>
          <w:tcPr>
            <w:tcW w:w="1013" w:type="dxa"/>
            <w:vMerge w:val="restart"/>
            <w:tcBorders>
              <w:top w:val="single" w:color="000000" w:sz="4" w:space="0"/>
              <w:left w:val="single" w:color="000000" w:sz="4" w:space="0"/>
              <w:right w:val="single" w:color="000000" w:sz="4" w:space="0"/>
            </w:tcBorders>
            <w:noWrap w:val="0"/>
            <w:vAlign w:val="center"/>
          </w:tcPr>
          <w:p w14:paraId="4EC74A69">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r w14:paraId="522D1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6" w:hRule="atLeast"/>
          <w:jc w:val="center"/>
        </w:trPr>
        <w:tc>
          <w:tcPr>
            <w:tcW w:w="1066" w:type="dxa"/>
            <w:vMerge w:val="continue"/>
            <w:tcBorders>
              <w:left w:val="single" w:color="000000" w:sz="4" w:space="0"/>
              <w:bottom w:val="single" w:color="000000" w:sz="4" w:space="0"/>
              <w:right w:val="single" w:color="000000" w:sz="4" w:space="0"/>
            </w:tcBorders>
            <w:noWrap w:val="0"/>
            <w:vAlign w:val="center"/>
          </w:tcPr>
          <w:p w14:paraId="659831C3">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5FECAB68">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随身WiFi</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14:paraId="40D0EE81">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无限流量</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738FFAC3">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单价报价</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14:paraId="3CE9FF77">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7922CF40">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元/卡/年</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2C84874C">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199</w:t>
            </w:r>
          </w:p>
        </w:tc>
        <w:tc>
          <w:tcPr>
            <w:tcW w:w="763" w:type="dxa"/>
            <w:vMerge w:val="continue"/>
            <w:tcBorders>
              <w:left w:val="single" w:color="000000" w:sz="4" w:space="0"/>
              <w:bottom w:val="single" w:color="000000" w:sz="4" w:space="0"/>
              <w:right w:val="single" w:color="000000" w:sz="4" w:space="0"/>
            </w:tcBorders>
            <w:noWrap w:val="0"/>
            <w:vAlign w:val="center"/>
          </w:tcPr>
          <w:p w14:paraId="6EA49971">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i w:val="0"/>
                <w:iCs w:val="0"/>
                <w:color w:val="000000"/>
                <w:sz w:val="21"/>
                <w:szCs w:val="21"/>
                <w:u w:val="none"/>
                <w:lang w:val="en-US" w:eastAsia="zh-CN"/>
              </w:rPr>
            </w:pPr>
          </w:p>
        </w:tc>
        <w:tc>
          <w:tcPr>
            <w:tcW w:w="1013" w:type="dxa"/>
            <w:vMerge w:val="continue"/>
            <w:tcBorders>
              <w:left w:val="single" w:color="000000" w:sz="4" w:space="0"/>
              <w:bottom w:val="single" w:color="000000" w:sz="4" w:space="0"/>
              <w:right w:val="single" w:color="000000" w:sz="4" w:space="0"/>
            </w:tcBorders>
            <w:noWrap w:val="0"/>
            <w:vAlign w:val="center"/>
          </w:tcPr>
          <w:p w14:paraId="57D4E405">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p>
        </w:tc>
        <w:tc>
          <w:tcPr>
            <w:tcW w:w="1013" w:type="dxa"/>
            <w:vMerge w:val="continue"/>
            <w:tcBorders>
              <w:left w:val="single" w:color="000000" w:sz="4" w:space="0"/>
              <w:bottom w:val="single" w:color="000000" w:sz="4" w:space="0"/>
              <w:right w:val="single" w:color="000000" w:sz="4" w:space="0"/>
            </w:tcBorders>
            <w:noWrap w:val="0"/>
            <w:vAlign w:val="center"/>
          </w:tcPr>
          <w:p w14:paraId="2DB522DA">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bl>
    <w:p w14:paraId="69B2452B">
      <w:pPr>
        <w:pStyle w:val="14"/>
        <w:jc w:val="center"/>
        <w:rPr>
          <w:rFonts w:hint="eastAsia"/>
          <w:sz w:val="28"/>
          <w:szCs w:val="24"/>
          <w:lang w:val="en-US" w:eastAsia="zh-CN"/>
        </w:rPr>
      </w:pPr>
    </w:p>
    <w:p w14:paraId="266455C0">
      <w:pPr>
        <w:pStyle w:val="14"/>
        <w:jc w:val="center"/>
        <w:rPr>
          <w:rFonts w:hint="eastAsia"/>
          <w:sz w:val="28"/>
          <w:szCs w:val="24"/>
          <w:lang w:val="en-US" w:eastAsia="zh-CN"/>
        </w:rPr>
      </w:pPr>
    </w:p>
    <w:p w14:paraId="1E7E6125">
      <w:pPr>
        <w:pStyle w:val="14"/>
        <w:jc w:val="center"/>
        <w:rPr>
          <w:rFonts w:hint="eastAsia"/>
          <w:sz w:val="28"/>
          <w:szCs w:val="24"/>
          <w:lang w:val="en-US" w:eastAsia="zh-CN"/>
        </w:rPr>
      </w:pPr>
      <w:r>
        <w:rPr>
          <w:rFonts w:hint="eastAsia"/>
          <w:sz w:val="28"/>
          <w:szCs w:val="24"/>
          <w:lang w:val="en-US" w:eastAsia="zh-CN"/>
        </w:rPr>
        <w:t>2标段：包头供电公司智能巡检定位数据服务分项明细表</w:t>
      </w:r>
    </w:p>
    <w:tbl>
      <w:tblPr>
        <w:tblStyle w:val="12"/>
        <w:tblpPr w:leftFromText="180" w:rightFromText="180" w:vertAnchor="text" w:tblpXSpec="center" w:tblpY="1"/>
        <w:tblOverlap w:val="never"/>
        <w:tblW w:w="108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6"/>
        <w:gridCol w:w="1869"/>
        <w:gridCol w:w="1854"/>
        <w:gridCol w:w="1023"/>
        <w:gridCol w:w="654"/>
        <w:gridCol w:w="655"/>
        <w:gridCol w:w="966"/>
        <w:gridCol w:w="763"/>
        <w:gridCol w:w="1013"/>
        <w:gridCol w:w="1013"/>
      </w:tblGrid>
      <w:tr w14:paraId="6C88E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jc w:val="center"/>
        </w:trPr>
        <w:tc>
          <w:tcPr>
            <w:tcW w:w="1066" w:type="dxa"/>
            <w:tcBorders>
              <w:top w:val="single" w:color="000000" w:sz="4" w:space="0"/>
              <w:left w:val="single" w:color="000000" w:sz="4" w:space="0"/>
              <w:bottom w:val="single" w:color="auto" w:sz="4" w:space="0"/>
              <w:right w:val="single" w:color="000000" w:sz="4" w:space="0"/>
            </w:tcBorders>
            <w:noWrap w:val="0"/>
            <w:vAlign w:val="center"/>
          </w:tcPr>
          <w:p w14:paraId="46632522">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cs="宋体"/>
                <w:b/>
                <w:bCs/>
                <w:i w:val="0"/>
                <w:iCs w:val="0"/>
                <w:color w:val="000000"/>
                <w:kern w:val="0"/>
                <w:sz w:val="21"/>
                <w:szCs w:val="21"/>
                <w:u w:val="none"/>
                <w:lang w:val="en-US" w:eastAsia="zh-CN" w:bidi="ar"/>
              </w:rPr>
              <w:t>标段名称</w:t>
            </w:r>
          </w:p>
        </w:tc>
        <w:tc>
          <w:tcPr>
            <w:tcW w:w="1869" w:type="dxa"/>
            <w:tcBorders>
              <w:top w:val="single" w:color="000000" w:sz="4" w:space="0"/>
              <w:left w:val="single" w:color="000000" w:sz="4" w:space="0"/>
              <w:bottom w:val="single" w:color="auto" w:sz="4" w:space="0"/>
              <w:right w:val="single" w:color="000000" w:sz="4" w:space="0"/>
            </w:tcBorders>
            <w:noWrap w:val="0"/>
            <w:vAlign w:val="center"/>
          </w:tcPr>
          <w:p w14:paraId="2EE5FCAA">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highlight w:val="none"/>
                <w:u w:val="none"/>
                <w:lang w:val="en-US" w:eastAsia="zh-CN" w:bidi="ar"/>
              </w:rPr>
              <w:t>服务</w:t>
            </w:r>
            <w:r>
              <w:rPr>
                <w:rFonts w:hint="default" w:ascii="宋体" w:hAnsi="宋体" w:eastAsia="宋体" w:cs="宋体"/>
                <w:b/>
                <w:bCs/>
                <w:i w:val="0"/>
                <w:iCs w:val="0"/>
                <w:color w:val="000000"/>
                <w:kern w:val="0"/>
                <w:sz w:val="21"/>
                <w:szCs w:val="21"/>
                <w:highlight w:val="none"/>
                <w:u w:val="none"/>
                <w:lang w:val="en-US" w:eastAsia="zh-CN" w:bidi="ar"/>
              </w:rPr>
              <w:t>类型</w:t>
            </w:r>
          </w:p>
        </w:tc>
        <w:tc>
          <w:tcPr>
            <w:tcW w:w="1854" w:type="dxa"/>
            <w:tcBorders>
              <w:top w:val="single" w:color="000000" w:sz="4" w:space="0"/>
              <w:left w:val="single" w:color="000000" w:sz="4" w:space="0"/>
              <w:bottom w:val="single" w:color="auto" w:sz="4" w:space="0"/>
              <w:right w:val="single" w:color="000000" w:sz="4" w:space="0"/>
            </w:tcBorders>
            <w:noWrap w:val="0"/>
            <w:vAlign w:val="center"/>
          </w:tcPr>
          <w:p w14:paraId="65E340CF">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服务内容</w:t>
            </w:r>
          </w:p>
        </w:tc>
        <w:tc>
          <w:tcPr>
            <w:tcW w:w="1023" w:type="dxa"/>
            <w:tcBorders>
              <w:top w:val="single" w:color="000000" w:sz="4" w:space="0"/>
              <w:left w:val="single" w:color="000000" w:sz="4" w:space="0"/>
              <w:bottom w:val="single" w:color="auto" w:sz="4" w:space="0"/>
              <w:right w:val="single" w:color="000000" w:sz="4" w:space="0"/>
            </w:tcBorders>
            <w:noWrap w:val="0"/>
            <w:vAlign w:val="center"/>
          </w:tcPr>
          <w:p w14:paraId="05C509F4">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报价方式</w:t>
            </w:r>
          </w:p>
        </w:tc>
        <w:tc>
          <w:tcPr>
            <w:tcW w:w="654" w:type="dxa"/>
            <w:tcBorders>
              <w:top w:val="single" w:color="000000" w:sz="4" w:space="0"/>
              <w:left w:val="single" w:color="000000" w:sz="4" w:space="0"/>
              <w:bottom w:val="single" w:color="auto" w:sz="4" w:space="0"/>
              <w:right w:val="single" w:color="000000" w:sz="4" w:space="0"/>
            </w:tcBorders>
            <w:noWrap w:val="0"/>
            <w:vAlign w:val="center"/>
          </w:tcPr>
          <w:p w14:paraId="5574B734">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数量</w:t>
            </w:r>
          </w:p>
        </w:tc>
        <w:tc>
          <w:tcPr>
            <w:tcW w:w="655" w:type="dxa"/>
            <w:tcBorders>
              <w:top w:val="single" w:color="000000" w:sz="4" w:space="0"/>
              <w:left w:val="single" w:color="000000" w:sz="4" w:space="0"/>
              <w:bottom w:val="single" w:color="auto" w:sz="4" w:space="0"/>
              <w:right w:val="single" w:color="000000" w:sz="4" w:space="0"/>
            </w:tcBorders>
            <w:noWrap w:val="0"/>
            <w:vAlign w:val="center"/>
          </w:tcPr>
          <w:p w14:paraId="48496871">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单位</w:t>
            </w:r>
          </w:p>
        </w:tc>
        <w:tc>
          <w:tcPr>
            <w:tcW w:w="966" w:type="dxa"/>
            <w:tcBorders>
              <w:top w:val="single" w:color="000000" w:sz="4" w:space="0"/>
              <w:left w:val="single" w:color="000000" w:sz="4" w:space="0"/>
              <w:bottom w:val="single" w:color="auto" w:sz="4" w:space="0"/>
              <w:right w:val="single" w:color="000000" w:sz="4" w:space="0"/>
            </w:tcBorders>
            <w:noWrap w:val="0"/>
            <w:vAlign w:val="center"/>
          </w:tcPr>
          <w:p w14:paraId="6E7D3F3F">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最高投标限价</w:t>
            </w:r>
            <w:r>
              <w:rPr>
                <w:rFonts w:hint="eastAsia" w:ascii="宋体" w:hAnsi="宋体" w:cs="宋体"/>
                <w:b/>
                <w:bCs/>
                <w:i w:val="0"/>
                <w:iCs w:val="0"/>
                <w:color w:val="000000"/>
                <w:sz w:val="21"/>
                <w:szCs w:val="21"/>
                <w:u w:val="none"/>
                <w:lang w:val="en-US" w:eastAsia="zh-CN"/>
              </w:rPr>
              <w:t>（元）</w:t>
            </w:r>
          </w:p>
        </w:tc>
        <w:tc>
          <w:tcPr>
            <w:tcW w:w="763" w:type="dxa"/>
            <w:tcBorders>
              <w:top w:val="single" w:color="000000" w:sz="4" w:space="0"/>
              <w:left w:val="single" w:color="000000" w:sz="4" w:space="0"/>
              <w:bottom w:val="single" w:color="auto" w:sz="4" w:space="0"/>
              <w:right w:val="single" w:color="000000" w:sz="4" w:space="0"/>
            </w:tcBorders>
            <w:noWrap w:val="0"/>
            <w:vAlign w:val="center"/>
          </w:tcPr>
          <w:p w14:paraId="704CC574">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入围家数</w:t>
            </w:r>
          </w:p>
        </w:tc>
        <w:tc>
          <w:tcPr>
            <w:tcW w:w="1013" w:type="dxa"/>
            <w:tcBorders>
              <w:top w:val="single" w:color="000000" w:sz="4" w:space="0"/>
              <w:left w:val="single" w:color="000000" w:sz="4" w:space="0"/>
              <w:bottom w:val="single" w:color="auto" w:sz="4" w:space="0"/>
              <w:right w:val="single" w:color="000000" w:sz="4" w:space="0"/>
            </w:tcBorders>
            <w:noWrap w:val="0"/>
            <w:vAlign w:val="center"/>
          </w:tcPr>
          <w:p w14:paraId="3B11EE92">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服务</w:t>
            </w:r>
            <w:r>
              <w:rPr>
                <w:rFonts w:hint="eastAsia" w:ascii="宋体" w:hAnsi="宋体" w:eastAsia="宋体" w:cs="宋体"/>
                <w:b/>
                <w:bCs/>
                <w:i w:val="0"/>
                <w:iCs w:val="0"/>
                <w:color w:val="000000"/>
                <w:sz w:val="21"/>
                <w:szCs w:val="21"/>
                <w:u w:val="none"/>
                <w:lang w:val="en-US" w:eastAsia="zh-CN"/>
              </w:rPr>
              <w:t>期</w:t>
            </w:r>
          </w:p>
        </w:tc>
        <w:tc>
          <w:tcPr>
            <w:tcW w:w="1013" w:type="dxa"/>
            <w:tcBorders>
              <w:top w:val="single" w:color="000000" w:sz="4" w:space="0"/>
              <w:left w:val="single" w:color="000000" w:sz="4" w:space="0"/>
              <w:bottom w:val="single" w:color="auto" w:sz="4" w:space="0"/>
              <w:right w:val="single" w:color="000000" w:sz="4" w:space="0"/>
            </w:tcBorders>
            <w:noWrap w:val="0"/>
            <w:vAlign w:val="center"/>
          </w:tcPr>
          <w:p w14:paraId="2982966F">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备注</w:t>
            </w:r>
          </w:p>
        </w:tc>
      </w:tr>
      <w:tr w14:paraId="2DEE2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5" w:hRule="atLeast"/>
          <w:jc w:val="center"/>
        </w:trPr>
        <w:tc>
          <w:tcPr>
            <w:tcW w:w="1066" w:type="dxa"/>
            <w:vMerge w:val="restart"/>
            <w:tcBorders>
              <w:top w:val="single" w:color="auto" w:sz="4" w:space="0"/>
              <w:left w:val="single" w:color="auto" w:sz="4" w:space="0"/>
              <w:bottom w:val="single" w:color="auto" w:sz="4" w:space="0"/>
              <w:right w:val="single" w:color="000000" w:sz="4" w:space="0"/>
            </w:tcBorders>
            <w:noWrap w:val="0"/>
            <w:vAlign w:val="center"/>
          </w:tcPr>
          <w:p w14:paraId="21934A23">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包头供电公司智能巡检定位数据服务</w:t>
            </w:r>
          </w:p>
        </w:tc>
        <w:tc>
          <w:tcPr>
            <w:tcW w:w="1869" w:type="dxa"/>
            <w:tcBorders>
              <w:top w:val="single" w:color="auto" w:sz="4" w:space="0"/>
              <w:left w:val="single" w:color="000000" w:sz="4" w:space="0"/>
              <w:bottom w:val="single" w:color="auto" w:sz="4" w:space="0"/>
              <w:right w:val="single" w:color="000000" w:sz="4" w:space="0"/>
            </w:tcBorders>
            <w:noWrap w:val="0"/>
            <w:vAlign w:val="center"/>
          </w:tcPr>
          <w:p w14:paraId="401AF60D">
            <w:pPr>
              <w:keepNext w:val="0"/>
              <w:keepLines w:val="0"/>
              <w:widowControl/>
              <w:suppressLineNumbers w:val="0"/>
              <w:spacing w:line="240" w:lineRule="auto"/>
              <w:jc w:val="both"/>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智能巡视系统数据流量池流量卡（大流量卡）</w:t>
            </w:r>
          </w:p>
        </w:tc>
        <w:tc>
          <w:tcPr>
            <w:tcW w:w="1854" w:type="dxa"/>
            <w:tcBorders>
              <w:top w:val="single" w:color="auto" w:sz="4" w:space="0"/>
              <w:left w:val="single" w:color="000000" w:sz="4" w:space="0"/>
              <w:bottom w:val="single" w:color="auto" w:sz="4" w:space="0"/>
              <w:right w:val="single" w:color="000000" w:sz="4" w:space="0"/>
            </w:tcBorders>
            <w:noWrap w:val="0"/>
            <w:vAlign w:val="center"/>
          </w:tcPr>
          <w:p w14:paraId="7487CCE4">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0.5元/G（按照卡的数量和流量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据实结算）</w:t>
            </w:r>
          </w:p>
        </w:tc>
        <w:tc>
          <w:tcPr>
            <w:tcW w:w="1023" w:type="dxa"/>
            <w:tcBorders>
              <w:top w:val="single" w:color="auto" w:sz="4" w:space="0"/>
              <w:left w:val="single" w:color="000000" w:sz="4" w:space="0"/>
              <w:bottom w:val="single" w:color="auto" w:sz="4" w:space="0"/>
              <w:right w:val="single" w:color="000000" w:sz="4" w:space="0"/>
            </w:tcBorders>
            <w:noWrap w:val="0"/>
            <w:vAlign w:val="center"/>
          </w:tcPr>
          <w:p w14:paraId="74F40F0B">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单价报价</w:t>
            </w:r>
          </w:p>
        </w:tc>
        <w:tc>
          <w:tcPr>
            <w:tcW w:w="654" w:type="dxa"/>
            <w:tcBorders>
              <w:top w:val="single" w:color="auto" w:sz="4" w:space="0"/>
              <w:left w:val="single" w:color="000000" w:sz="4" w:space="0"/>
              <w:bottom w:val="single" w:color="auto" w:sz="4" w:space="0"/>
              <w:right w:val="single" w:color="000000" w:sz="4" w:space="0"/>
            </w:tcBorders>
            <w:noWrap w:val="0"/>
            <w:vAlign w:val="center"/>
          </w:tcPr>
          <w:p w14:paraId="375AB32B">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w:t>
            </w:r>
          </w:p>
        </w:tc>
        <w:tc>
          <w:tcPr>
            <w:tcW w:w="655" w:type="dxa"/>
            <w:tcBorders>
              <w:top w:val="single" w:color="auto" w:sz="4" w:space="0"/>
              <w:left w:val="single" w:color="000000" w:sz="4" w:space="0"/>
              <w:bottom w:val="single" w:color="auto" w:sz="4" w:space="0"/>
              <w:right w:val="single" w:color="000000" w:sz="4" w:space="0"/>
            </w:tcBorders>
            <w:noWrap w:val="0"/>
            <w:vAlign w:val="center"/>
          </w:tcPr>
          <w:p w14:paraId="35E6F34F">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/卡/月</w:t>
            </w:r>
          </w:p>
        </w:tc>
        <w:tc>
          <w:tcPr>
            <w:tcW w:w="966" w:type="dxa"/>
            <w:tcBorders>
              <w:top w:val="single" w:color="auto" w:sz="4" w:space="0"/>
              <w:left w:val="single" w:color="000000" w:sz="4" w:space="0"/>
              <w:bottom w:val="single" w:color="auto" w:sz="4" w:space="0"/>
              <w:right w:val="single" w:color="000000" w:sz="4" w:space="0"/>
            </w:tcBorders>
            <w:noWrap w:val="0"/>
            <w:vAlign w:val="center"/>
          </w:tcPr>
          <w:p w14:paraId="29E7C7E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763" w:type="dxa"/>
            <w:vMerge w:val="restart"/>
            <w:tcBorders>
              <w:top w:val="single" w:color="auto" w:sz="4" w:space="0"/>
              <w:left w:val="single" w:color="000000" w:sz="4" w:space="0"/>
              <w:bottom w:val="single" w:color="auto" w:sz="4" w:space="0"/>
              <w:right w:val="single" w:color="000000" w:sz="4" w:space="0"/>
            </w:tcBorders>
            <w:noWrap w:val="0"/>
            <w:vAlign w:val="center"/>
          </w:tcPr>
          <w:p w14:paraId="092FDE22">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p w14:paraId="6513878A">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s="宋体"/>
                <w:i w:val="0"/>
                <w:iCs w:val="0"/>
                <w:color w:val="000000"/>
                <w:sz w:val="21"/>
                <w:szCs w:val="21"/>
                <w:u w:val="none"/>
                <w:lang w:val="en-US" w:eastAsia="zh-CN"/>
              </w:rPr>
            </w:pPr>
          </w:p>
        </w:tc>
        <w:tc>
          <w:tcPr>
            <w:tcW w:w="1013" w:type="dxa"/>
            <w:vMerge w:val="restart"/>
            <w:tcBorders>
              <w:top w:val="single" w:color="auto" w:sz="4" w:space="0"/>
              <w:left w:val="single" w:color="000000" w:sz="4" w:space="0"/>
              <w:bottom w:val="single" w:color="auto" w:sz="4" w:space="0"/>
              <w:right w:val="single" w:color="000000" w:sz="4" w:space="0"/>
            </w:tcBorders>
            <w:noWrap w:val="0"/>
            <w:vAlign w:val="center"/>
          </w:tcPr>
          <w:p w14:paraId="1692E1B5">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highlight w:val="none"/>
                <w:u w:val="none"/>
                <w:lang w:val="en-US" w:eastAsia="zh-CN" w:bidi="ar"/>
              </w:rPr>
              <w:t>框架协议签订之日起三年</w:t>
            </w:r>
          </w:p>
        </w:tc>
        <w:tc>
          <w:tcPr>
            <w:tcW w:w="1013" w:type="dxa"/>
            <w:tcBorders>
              <w:top w:val="single" w:color="auto" w:sz="4" w:space="0"/>
              <w:left w:val="single" w:color="000000" w:sz="4" w:space="0"/>
              <w:bottom w:val="single" w:color="auto" w:sz="4" w:space="0"/>
              <w:right w:val="single" w:color="auto" w:sz="4" w:space="0"/>
            </w:tcBorders>
            <w:noWrap w:val="0"/>
            <w:vAlign w:val="bottom"/>
          </w:tcPr>
          <w:p w14:paraId="361326C6">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p>
          <w:p w14:paraId="2424376A">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不足1G按1G计算。</w:t>
            </w:r>
          </w:p>
        </w:tc>
      </w:tr>
      <w:tr w14:paraId="3E949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2" w:hRule="atLeast"/>
          <w:jc w:val="center"/>
        </w:trPr>
        <w:tc>
          <w:tcPr>
            <w:tcW w:w="1066" w:type="dxa"/>
            <w:vMerge w:val="continue"/>
            <w:tcBorders>
              <w:top w:val="single" w:color="auto" w:sz="4" w:space="0"/>
              <w:left w:val="single" w:color="auto" w:sz="4" w:space="0"/>
              <w:right w:val="single" w:color="000000" w:sz="4" w:space="0"/>
            </w:tcBorders>
            <w:noWrap w:val="0"/>
            <w:vAlign w:val="center"/>
          </w:tcPr>
          <w:p w14:paraId="00EF78C6">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869" w:type="dxa"/>
            <w:tcBorders>
              <w:top w:val="single" w:color="auto" w:sz="4" w:space="0"/>
              <w:left w:val="single" w:color="000000" w:sz="4" w:space="0"/>
              <w:bottom w:val="single" w:color="000000" w:sz="4" w:space="0"/>
              <w:right w:val="single" w:color="000000" w:sz="4" w:space="0"/>
            </w:tcBorders>
            <w:noWrap w:val="0"/>
            <w:vAlign w:val="center"/>
          </w:tcPr>
          <w:p w14:paraId="0E9055C3">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随身WiFi</w:t>
            </w:r>
          </w:p>
        </w:tc>
        <w:tc>
          <w:tcPr>
            <w:tcW w:w="1854" w:type="dxa"/>
            <w:tcBorders>
              <w:top w:val="single" w:color="auto" w:sz="4" w:space="0"/>
              <w:left w:val="single" w:color="000000" w:sz="4" w:space="0"/>
              <w:bottom w:val="single" w:color="000000" w:sz="4" w:space="0"/>
              <w:right w:val="single" w:color="000000" w:sz="4" w:space="0"/>
            </w:tcBorders>
            <w:noWrap w:val="0"/>
            <w:vAlign w:val="center"/>
          </w:tcPr>
          <w:p w14:paraId="03978897">
            <w:pPr>
              <w:keepNext w:val="0"/>
              <w:keepLines w:val="0"/>
              <w:widowControl/>
              <w:suppressLineNumbers w:val="0"/>
              <w:spacing w:line="240" w:lineRule="auto"/>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100G/卡/月（流量超出后当月断网）</w:t>
            </w:r>
          </w:p>
        </w:tc>
        <w:tc>
          <w:tcPr>
            <w:tcW w:w="1023" w:type="dxa"/>
            <w:tcBorders>
              <w:top w:val="single" w:color="auto" w:sz="4" w:space="0"/>
              <w:left w:val="single" w:color="000000" w:sz="4" w:space="0"/>
              <w:bottom w:val="single" w:color="000000" w:sz="4" w:space="0"/>
              <w:right w:val="single" w:color="000000" w:sz="4" w:space="0"/>
            </w:tcBorders>
            <w:noWrap w:val="0"/>
            <w:vAlign w:val="center"/>
          </w:tcPr>
          <w:p w14:paraId="1A11A349">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单价报价</w:t>
            </w:r>
          </w:p>
        </w:tc>
        <w:tc>
          <w:tcPr>
            <w:tcW w:w="654" w:type="dxa"/>
            <w:tcBorders>
              <w:top w:val="single" w:color="auto" w:sz="4" w:space="0"/>
              <w:left w:val="single" w:color="000000" w:sz="4" w:space="0"/>
              <w:bottom w:val="single" w:color="000000" w:sz="4" w:space="0"/>
              <w:right w:val="single" w:color="000000" w:sz="4" w:space="0"/>
            </w:tcBorders>
            <w:noWrap w:val="0"/>
            <w:vAlign w:val="center"/>
          </w:tcPr>
          <w:p w14:paraId="1D4F5E53">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w:t>
            </w:r>
          </w:p>
        </w:tc>
        <w:tc>
          <w:tcPr>
            <w:tcW w:w="655" w:type="dxa"/>
            <w:tcBorders>
              <w:top w:val="single" w:color="auto" w:sz="4" w:space="0"/>
              <w:left w:val="single" w:color="000000" w:sz="4" w:space="0"/>
              <w:bottom w:val="single" w:color="000000" w:sz="4" w:space="0"/>
              <w:right w:val="single" w:color="000000" w:sz="4" w:space="0"/>
            </w:tcBorders>
            <w:noWrap w:val="0"/>
            <w:vAlign w:val="center"/>
          </w:tcPr>
          <w:p w14:paraId="43CFD702">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w:t>
            </w:r>
            <w:r>
              <w:rPr>
                <w:rFonts w:hint="eastAsia" w:ascii="宋体" w:hAnsi="宋体" w:eastAsia="宋体" w:cs="宋体"/>
                <w:i w:val="0"/>
                <w:iCs w:val="0"/>
                <w:color w:val="000000"/>
                <w:sz w:val="21"/>
                <w:szCs w:val="21"/>
                <w:u w:val="none"/>
                <w:lang w:val="en-US" w:eastAsia="zh-CN"/>
              </w:rPr>
              <w:t>卡/年</w:t>
            </w:r>
          </w:p>
        </w:tc>
        <w:tc>
          <w:tcPr>
            <w:tcW w:w="966" w:type="dxa"/>
            <w:tcBorders>
              <w:top w:val="single" w:color="auto" w:sz="4" w:space="0"/>
              <w:left w:val="single" w:color="000000" w:sz="4" w:space="0"/>
              <w:bottom w:val="single" w:color="000000" w:sz="4" w:space="0"/>
              <w:right w:val="single" w:color="000000" w:sz="4" w:space="0"/>
            </w:tcBorders>
            <w:noWrap w:val="0"/>
            <w:vAlign w:val="center"/>
          </w:tcPr>
          <w:p w14:paraId="7BA3C9AE">
            <w:pPr>
              <w:keepNext w:val="0"/>
              <w:keepLines w:val="0"/>
              <w:widowControl/>
              <w:suppressLineNumbers w:val="0"/>
              <w:spacing w:line="240" w:lineRule="auto"/>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240</w:t>
            </w:r>
          </w:p>
        </w:tc>
        <w:tc>
          <w:tcPr>
            <w:tcW w:w="763" w:type="dxa"/>
            <w:vMerge w:val="continue"/>
            <w:tcBorders>
              <w:top w:val="single" w:color="auto" w:sz="4" w:space="0"/>
              <w:left w:val="single" w:color="000000" w:sz="4" w:space="0"/>
              <w:right w:val="single" w:color="000000" w:sz="4" w:space="0"/>
            </w:tcBorders>
            <w:noWrap w:val="0"/>
            <w:vAlign w:val="center"/>
          </w:tcPr>
          <w:p w14:paraId="4CF1F7A1">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i w:val="0"/>
                <w:iCs w:val="0"/>
                <w:color w:val="000000"/>
                <w:sz w:val="21"/>
                <w:szCs w:val="21"/>
                <w:u w:val="none"/>
                <w:lang w:val="en-US" w:eastAsia="zh-CN"/>
              </w:rPr>
            </w:pPr>
          </w:p>
        </w:tc>
        <w:tc>
          <w:tcPr>
            <w:tcW w:w="1013" w:type="dxa"/>
            <w:vMerge w:val="continue"/>
            <w:tcBorders>
              <w:top w:val="single" w:color="auto" w:sz="4" w:space="0"/>
              <w:left w:val="single" w:color="000000" w:sz="4" w:space="0"/>
              <w:right w:val="single" w:color="000000" w:sz="4" w:space="0"/>
            </w:tcBorders>
            <w:noWrap w:val="0"/>
            <w:vAlign w:val="center"/>
          </w:tcPr>
          <w:p w14:paraId="4654E3A6">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p>
        </w:tc>
        <w:tc>
          <w:tcPr>
            <w:tcW w:w="1013" w:type="dxa"/>
            <w:tcBorders>
              <w:top w:val="single" w:color="auto" w:sz="4" w:space="0"/>
              <w:left w:val="single" w:color="000000" w:sz="4" w:space="0"/>
              <w:right w:val="single" w:color="000000" w:sz="4" w:space="0"/>
            </w:tcBorders>
            <w:noWrap w:val="0"/>
            <w:vAlign w:val="center"/>
          </w:tcPr>
          <w:p w14:paraId="2C9684F3">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p>
        </w:tc>
      </w:tr>
      <w:tr w14:paraId="54B06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6" w:hRule="atLeast"/>
          <w:jc w:val="center"/>
        </w:trPr>
        <w:tc>
          <w:tcPr>
            <w:tcW w:w="1066" w:type="dxa"/>
            <w:tcBorders>
              <w:left w:val="single" w:color="000000" w:sz="4" w:space="0"/>
              <w:bottom w:val="single" w:color="000000" w:sz="4" w:space="0"/>
              <w:right w:val="single" w:color="000000" w:sz="4" w:space="0"/>
            </w:tcBorders>
            <w:noWrap w:val="0"/>
            <w:vAlign w:val="center"/>
          </w:tcPr>
          <w:p w14:paraId="1F79B66B">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869" w:type="dxa"/>
            <w:tcBorders>
              <w:top w:val="single" w:color="000000" w:sz="4" w:space="0"/>
              <w:left w:val="single" w:color="000000" w:sz="4" w:space="0"/>
              <w:bottom w:val="single" w:color="000000" w:sz="4" w:space="0"/>
              <w:right w:val="single" w:color="000000" w:sz="4" w:space="0"/>
            </w:tcBorders>
            <w:noWrap w:val="0"/>
            <w:vAlign w:val="center"/>
          </w:tcPr>
          <w:p w14:paraId="141E650D">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厘米级RTK定位服务</w:t>
            </w:r>
          </w:p>
        </w:tc>
        <w:tc>
          <w:tcPr>
            <w:tcW w:w="1854" w:type="dxa"/>
            <w:tcBorders>
              <w:top w:val="single" w:color="000000" w:sz="4" w:space="0"/>
              <w:left w:val="single" w:color="000000" w:sz="4" w:space="0"/>
              <w:bottom w:val="single" w:color="000000" w:sz="4" w:space="0"/>
              <w:right w:val="single" w:color="000000" w:sz="4" w:space="0"/>
            </w:tcBorders>
            <w:noWrap w:val="0"/>
            <w:vAlign w:val="center"/>
          </w:tcPr>
          <w:p w14:paraId="0CE47AE7">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全年定位服务</w:t>
            </w:r>
          </w:p>
        </w:tc>
        <w:tc>
          <w:tcPr>
            <w:tcW w:w="1023" w:type="dxa"/>
            <w:tcBorders>
              <w:top w:val="single" w:color="000000" w:sz="4" w:space="0"/>
              <w:left w:val="single" w:color="000000" w:sz="4" w:space="0"/>
              <w:bottom w:val="single" w:color="000000" w:sz="4" w:space="0"/>
              <w:right w:val="single" w:color="000000" w:sz="4" w:space="0"/>
            </w:tcBorders>
            <w:noWrap w:val="0"/>
            <w:vAlign w:val="center"/>
          </w:tcPr>
          <w:p w14:paraId="3BF1C4A2">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单价报价</w:t>
            </w:r>
          </w:p>
        </w:tc>
        <w:tc>
          <w:tcPr>
            <w:tcW w:w="654" w:type="dxa"/>
            <w:tcBorders>
              <w:top w:val="single" w:color="000000" w:sz="4" w:space="0"/>
              <w:left w:val="single" w:color="000000" w:sz="4" w:space="0"/>
              <w:bottom w:val="single" w:color="000000" w:sz="4" w:space="0"/>
              <w:right w:val="single" w:color="000000" w:sz="4" w:space="0"/>
            </w:tcBorders>
            <w:noWrap w:val="0"/>
            <w:vAlign w:val="center"/>
          </w:tcPr>
          <w:p w14:paraId="71F6BAD5">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w:t>
            </w:r>
          </w:p>
        </w:tc>
        <w:tc>
          <w:tcPr>
            <w:tcW w:w="655" w:type="dxa"/>
            <w:tcBorders>
              <w:top w:val="single" w:color="000000" w:sz="4" w:space="0"/>
              <w:left w:val="single" w:color="000000" w:sz="4" w:space="0"/>
              <w:bottom w:val="single" w:color="000000" w:sz="4" w:space="0"/>
              <w:right w:val="single" w:color="000000" w:sz="4" w:space="0"/>
            </w:tcBorders>
            <w:noWrap w:val="0"/>
            <w:vAlign w:val="center"/>
          </w:tcPr>
          <w:p w14:paraId="362A16A4">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w:t>
            </w:r>
            <w:r>
              <w:rPr>
                <w:rFonts w:hint="eastAsia" w:ascii="宋体" w:hAnsi="宋体" w:eastAsia="宋体" w:cs="宋体"/>
                <w:i w:val="0"/>
                <w:iCs w:val="0"/>
                <w:color w:val="000000"/>
                <w:sz w:val="21"/>
                <w:szCs w:val="21"/>
                <w:u w:val="none"/>
                <w:lang w:val="en-US" w:eastAsia="zh-CN"/>
              </w:rPr>
              <w:t>卡/年</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04AFF2CA">
            <w:pPr>
              <w:keepNext w:val="0"/>
              <w:keepLines w:val="0"/>
              <w:widowControl/>
              <w:suppressLineNumbers w:val="0"/>
              <w:spacing w:line="240" w:lineRule="auto"/>
              <w:jc w:val="center"/>
              <w:textAlignment w:val="center"/>
              <w:rPr>
                <w:rFonts w:hint="eastAsia" w:ascii="宋体" w:hAnsi="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916</w:t>
            </w:r>
          </w:p>
        </w:tc>
        <w:tc>
          <w:tcPr>
            <w:tcW w:w="763" w:type="dxa"/>
            <w:vMerge w:val="continue"/>
            <w:tcBorders>
              <w:left w:val="single" w:color="000000" w:sz="4" w:space="0"/>
              <w:bottom w:val="single" w:color="000000" w:sz="4" w:space="0"/>
              <w:right w:val="single" w:color="000000" w:sz="4" w:space="0"/>
            </w:tcBorders>
            <w:noWrap w:val="0"/>
            <w:vAlign w:val="center"/>
          </w:tcPr>
          <w:p w14:paraId="510219CF">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s="宋体"/>
                <w:i w:val="0"/>
                <w:iCs w:val="0"/>
                <w:color w:val="000000"/>
                <w:sz w:val="21"/>
                <w:szCs w:val="21"/>
                <w:u w:val="none"/>
                <w:lang w:val="en-US" w:eastAsia="zh-CN"/>
              </w:rPr>
            </w:pPr>
          </w:p>
        </w:tc>
        <w:tc>
          <w:tcPr>
            <w:tcW w:w="1013" w:type="dxa"/>
            <w:vMerge w:val="continue"/>
            <w:tcBorders>
              <w:left w:val="single" w:color="000000" w:sz="4" w:space="0"/>
              <w:bottom w:val="single" w:color="000000" w:sz="4" w:space="0"/>
              <w:right w:val="single" w:color="000000" w:sz="4" w:space="0"/>
            </w:tcBorders>
            <w:noWrap w:val="0"/>
            <w:vAlign w:val="center"/>
          </w:tcPr>
          <w:p w14:paraId="279C6783">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c>
          <w:tcPr>
            <w:tcW w:w="1013" w:type="dxa"/>
            <w:tcBorders>
              <w:left w:val="single" w:color="000000" w:sz="4" w:space="0"/>
              <w:bottom w:val="single" w:color="000000" w:sz="4" w:space="0"/>
              <w:right w:val="single" w:color="000000" w:sz="4" w:space="0"/>
            </w:tcBorders>
            <w:noWrap w:val="0"/>
            <w:vAlign w:val="center"/>
          </w:tcPr>
          <w:p w14:paraId="2F8A1B46">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val="0"/>
                <w:bCs w:val="0"/>
                <w:i w:val="0"/>
                <w:iCs w:val="0"/>
                <w:color w:val="000000"/>
                <w:kern w:val="0"/>
                <w:sz w:val="21"/>
                <w:szCs w:val="21"/>
                <w:highlight w:val="none"/>
                <w:u w:val="none"/>
                <w:lang w:val="en-US" w:eastAsia="zh-CN" w:bidi="ar"/>
              </w:rPr>
            </w:pPr>
          </w:p>
        </w:tc>
      </w:tr>
    </w:tbl>
    <w:p w14:paraId="229100F1">
      <w:pPr>
        <w:pStyle w:val="14"/>
        <w:jc w:val="center"/>
        <w:rPr>
          <w:rFonts w:hint="eastAsia"/>
          <w:sz w:val="28"/>
          <w:szCs w:val="24"/>
          <w:lang w:val="en-US" w:eastAsia="zh-CN"/>
        </w:rPr>
      </w:pPr>
    </w:p>
    <w:p w14:paraId="18D3B967">
      <w:pPr>
        <w:pStyle w:val="14"/>
        <w:jc w:val="center"/>
        <w:rPr>
          <w:rFonts w:hint="eastAsia"/>
          <w:sz w:val="28"/>
          <w:szCs w:val="24"/>
          <w:lang w:val="en-US" w:eastAsia="zh-CN"/>
        </w:rPr>
      </w:pPr>
    </w:p>
    <w:p w14:paraId="1A96ADB8">
      <w:pPr>
        <w:pStyle w:val="14"/>
        <w:jc w:val="center"/>
        <w:rPr>
          <w:rFonts w:hint="eastAsia"/>
          <w:sz w:val="28"/>
          <w:szCs w:val="24"/>
          <w:lang w:val="en-US" w:eastAsia="zh-CN"/>
        </w:rPr>
      </w:pPr>
    </w:p>
    <w:p w14:paraId="747BADB6">
      <w:pPr>
        <w:pStyle w:val="14"/>
        <w:jc w:val="center"/>
        <w:rPr>
          <w:rFonts w:hint="eastAsia"/>
          <w:sz w:val="28"/>
          <w:szCs w:val="24"/>
          <w:lang w:val="en-US" w:eastAsia="zh-CN"/>
        </w:rPr>
      </w:pPr>
    </w:p>
    <w:p w14:paraId="73E5CEE9">
      <w:pPr>
        <w:pStyle w:val="14"/>
        <w:jc w:val="center"/>
        <w:rPr>
          <w:rFonts w:hint="eastAsia"/>
          <w:sz w:val="28"/>
          <w:szCs w:val="24"/>
          <w:lang w:val="en-US" w:eastAsia="zh-CN"/>
        </w:rPr>
      </w:pPr>
    </w:p>
    <w:p w14:paraId="6FA56E19">
      <w:pPr>
        <w:pStyle w:val="14"/>
        <w:jc w:val="center"/>
        <w:rPr>
          <w:rFonts w:hint="eastAsia"/>
          <w:sz w:val="28"/>
          <w:szCs w:val="24"/>
          <w:lang w:val="en-US" w:eastAsia="zh-CN"/>
        </w:rPr>
      </w:pPr>
      <w:r>
        <w:rPr>
          <w:rFonts w:hint="eastAsia"/>
          <w:sz w:val="28"/>
          <w:szCs w:val="24"/>
          <w:lang w:val="en-US" w:eastAsia="zh-CN"/>
        </w:rPr>
        <w:t>3标段：包头供电公司房屋结构鉴定服务分项明细表</w:t>
      </w:r>
    </w:p>
    <w:tbl>
      <w:tblPr>
        <w:tblStyle w:val="12"/>
        <w:tblpPr w:leftFromText="180" w:rightFromText="180" w:vertAnchor="text" w:tblpXSpec="center" w:tblpY="1"/>
        <w:tblOverlap w:val="never"/>
        <w:tblW w:w="98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82"/>
        <w:gridCol w:w="1118"/>
        <w:gridCol w:w="791"/>
        <w:gridCol w:w="831"/>
        <w:gridCol w:w="1200"/>
        <w:gridCol w:w="1159"/>
        <w:gridCol w:w="1214"/>
        <w:gridCol w:w="2207"/>
      </w:tblGrid>
      <w:tr w14:paraId="02A43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A934188">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cs="宋体"/>
                <w:b/>
                <w:bCs/>
                <w:i w:val="0"/>
                <w:iCs w:val="0"/>
                <w:color w:val="000000"/>
                <w:kern w:val="0"/>
                <w:sz w:val="21"/>
                <w:szCs w:val="21"/>
                <w:u w:val="none"/>
                <w:lang w:val="en-US" w:eastAsia="zh-CN" w:bidi="ar"/>
              </w:rPr>
              <w:t>标段名称</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474CE98D">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报价方式</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458BFAF5">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数量</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60DFBD74">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单位</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F48305">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最高投标限价</w:t>
            </w:r>
            <w:r>
              <w:rPr>
                <w:rFonts w:hint="eastAsia" w:ascii="宋体" w:hAnsi="宋体" w:cs="宋体"/>
                <w:b/>
                <w:bCs/>
                <w:i w:val="0"/>
                <w:iCs w:val="0"/>
                <w:color w:val="000000"/>
                <w:sz w:val="21"/>
                <w:szCs w:val="21"/>
                <w:u w:val="none"/>
                <w:lang w:val="en-US" w:eastAsia="zh-CN"/>
              </w:rPr>
              <w:t>（元）</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73434D6F">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入围家数</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04955CE1">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服务</w:t>
            </w:r>
            <w:r>
              <w:rPr>
                <w:rFonts w:hint="eastAsia" w:ascii="宋体" w:hAnsi="宋体" w:eastAsia="宋体" w:cs="宋体"/>
                <w:b/>
                <w:bCs/>
                <w:i w:val="0"/>
                <w:iCs w:val="0"/>
                <w:color w:val="000000"/>
                <w:sz w:val="21"/>
                <w:szCs w:val="21"/>
                <w:u w:val="none"/>
                <w:lang w:val="en-US" w:eastAsia="zh-CN"/>
              </w:rPr>
              <w:t>期</w:t>
            </w:r>
          </w:p>
        </w:tc>
        <w:tc>
          <w:tcPr>
            <w:tcW w:w="2207" w:type="dxa"/>
            <w:tcBorders>
              <w:top w:val="single" w:color="000000" w:sz="4" w:space="0"/>
              <w:left w:val="single" w:color="000000" w:sz="4" w:space="0"/>
              <w:bottom w:val="single" w:color="000000" w:sz="4" w:space="0"/>
              <w:right w:val="single" w:color="000000" w:sz="4" w:space="0"/>
            </w:tcBorders>
            <w:noWrap w:val="0"/>
            <w:vAlign w:val="center"/>
          </w:tcPr>
          <w:p w14:paraId="3AC1A68C">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备注</w:t>
            </w:r>
          </w:p>
        </w:tc>
      </w:tr>
      <w:tr w14:paraId="28434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5" w:hRule="atLeast"/>
          <w:jc w:val="center"/>
        </w:trPr>
        <w:tc>
          <w:tcPr>
            <w:tcW w:w="1282" w:type="dxa"/>
            <w:tcBorders>
              <w:top w:val="single" w:color="000000" w:sz="4" w:space="0"/>
              <w:left w:val="single" w:color="000000" w:sz="4" w:space="0"/>
              <w:bottom w:val="single" w:color="000000" w:sz="4" w:space="0"/>
              <w:right w:val="single" w:color="000000" w:sz="4" w:space="0"/>
            </w:tcBorders>
            <w:noWrap w:val="0"/>
            <w:vAlign w:val="center"/>
          </w:tcPr>
          <w:p w14:paraId="7E8BB873">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eastAsia="zh-CN"/>
              </w:rPr>
              <w:t>包头供电公司房屋结构鉴定服务</w:t>
            </w:r>
          </w:p>
        </w:tc>
        <w:tc>
          <w:tcPr>
            <w:tcW w:w="1118" w:type="dxa"/>
            <w:tcBorders>
              <w:top w:val="single" w:color="000000" w:sz="4" w:space="0"/>
              <w:left w:val="single" w:color="000000" w:sz="4" w:space="0"/>
              <w:bottom w:val="single" w:color="000000" w:sz="4" w:space="0"/>
              <w:right w:val="single" w:color="000000" w:sz="4" w:space="0"/>
            </w:tcBorders>
            <w:noWrap w:val="0"/>
            <w:vAlign w:val="center"/>
          </w:tcPr>
          <w:p w14:paraId="5D069318">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单价报价</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51BE8E35">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02541362">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E576B56">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17</w:t>
            </w:r>
          </w:p>
        </w:tc>
        <w:tc>
          <w:tcPr>
            <w:tcW w:w="1159" w:type="dxa"/>
            <w:tcBorders>
              <w:top w:val="single" w:color="000000" w:sz="4" w:space="0"/>
              <w:left w:val="single" w:color="000000" w:sz="4" w:space="0"/>
              <w:bottom w:val="single" w:color="000000" w:sz="4" w:space="0"/>
              <w:right w:val="single" w:color="000000" w:sz="4" w:space="0"/>
            </w:tcBorders>
            <w:noWrap w:val="0"/>
            <w:vAlign w:val="center"/>
          </w:tcPr>
          <w:p w14:paraId="51CAEC7B">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1214" w:type="dxa"/>
            <w:tcBorders>
              <w:top w:val="single" w:color="000000" w:sz="4" w:space="0"/>
              <w:left w:val="single" w:color="000000" w:sz="4" w:space="0"/>
              <w:bottom w:val="single" w:color="000000" w:sz="4" w:space="0"/>
              <w:right w:val="single" w:color="000000" w:sz="4" w:space="0"/>
            </w:tcBorders>
            <w:noWrap w:val="0"/>
            <w:vAlign w:val="center"/>
          </w:tcPr>
          <w:p w14:paraId="16B6E6F2">
            <w:pPr>
              <w:keepNext w:val="0"/>
              <w:keepLines w:val="0"/>
              <w:widowControl/>
              <w:suppressLineNumbers w:val="0"/>
              <w:spacing w:before="0" w:beforeAutospacing="0" w:after="0" w:afterAutospacing="0" w:line="240" w:lineRule="auto"/>
              <w:ind w:left="0" w:right="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框架协议合同签订之日起至2026年12月31日</w:t>
            </w:r>
          </w:p>
        </w:tc>
        <w:tc>
          <w:tcPr>
            <w:tcW w:w="2207" w:type="dxa"/>
            <w:tcBorders>
              <w:top w:val="single" w:color="000000" w:sz="4" w:space="0"/>
              <w:left w:val="single" w:color="000000" w:sz="4" w:space="0"/>
              <w:bottom w:val="single" w:color="000000" w:sz="4" w:space="0"/>
              <w:right w:val="single" w:color="000000" w:sz="4" w:space="0"/>
            </w:tcBorders>
            <w:noWrap w:val="0"/>
            <w:vAlign w:val="center"/>
          </w:tcPr>
          <w:p w14:paraId="0F0FD481">
            <w:pPr>
              <w:keepNext w:val="0"/>
              <w:keepLines w:val="0"/>
              <w:widowControl/>
              <w:suppressLineNumbers w:val="0"/>
              <w:spacing w:before="0" w:beforeAutospacing="0" w:after="0" w:afterAutospacing="0" w:line="240" w:lineRule="auto"/>
              <w:ind w:left="0" w:right="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结构鉴定费包含因鉴定产生的房屋面积测量费</w:t>
            </w:r>
          </w:p>
        </w:tc>
      </w:tr>
    </w:tbl>
    <w:p w14:paraId="17ED8C54">
      <w:pPr>
        <w:pStyle w:val="14"/>
        <w:jc w:val="cente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G Times">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2070"/>
      <w:docPartObj>
        <w:docPartGallery w:val="autotext"/>
      </w:docPartObj>
    </w:sdtPr>
    <w:sdtContent>
      <w:p w14:paraId="1F3A1320">
        <w:pPr>
          <w:pStyle w:val="7"/>
          <w:ind w:firstLine="210"/>
          <w:jc w:val="center"/>
        </w:pPr>
        <w:r>
          <w:fldChar w:fldCharType="begin"/>
        </w:r>
        <w:r>
          <w:instrText xml:space="preserve">PAGE   \* MERGEFORMAT</w:instrText>
        </w:r>
        <w:r>
          <w:fldChar w:fldCharType="separate"/>
        </w:r>
        <w:r>
          <w:rPr>
            <w:lang w:val="zh-CN"/>
          </w:rPr>
          <w:t>2</w:t>
        </w:r>
        <w:r>
          <w:fldChar w:fldCharType="end"/>
        </w:r>
      </w:p>
    </w:sdtContent>
  </w:sdt>
  <w:p w14:paraId="294CB15F">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C8501">
    <w:pPr>
      <w:pStyle w:val="8"/>
      <w:jc w:val="right"/>
      <w:rPr>
        <w:rFonts w:ascii="宋体" w:hAnsi="宋体"/>
        <w:sz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766480"/>
    <w:rsid w:val="005A161D"/>
    <w:rsid w:val="02247ACE"/>
    <w:rsid w:val="03383B03"/>
    <w:rsid w:val="048C4B4C"/>
    <w:rsid w:val="07107A01"/>
    <w:rsid w:val="08670714"/>
    <w:rsid w:val="092B4FD8"/>
    <w:rsid w:val="0C767178"/>
    <w:rsid w:val="0F124079"/>
    <w:rsid w:val="104D26F9"/>
    <w:rsid w:val="1062740E"/>
    <w:rsid w:val="110D6172"/>
    <w:rsid w:val="11AC2651"/>
    <w:rsid w:val="11B748D3"/>
    <w:rsid w:val="14861CDF"/>
    <w:rsid w:val="16361726"/>
    <w:rsid w:val="16D36F75"/>
    <w:rsid w:val="188B7D88"/>
    <w:rsid w:val="19CE0BFB"/>
    <w:rsid w:val="1BEB412A"/>
    <w:rsid w:val="1CCD6AD3"/>
    <w:rsid w:val="1D4A1917"/>
    <w:rsid w:val="1D8B3C7E"/>
    <w:rsid w:val="1DD40345"/>
    <w:rsid w:val="1E340928"/>
    <w:rsid w:val="1FC61EAC"/>
    <w:rsid w:val="20E66819"/>
    <w:rsid w:val="24077749"/>
    <w:rsid w:val="262C5AAB"/>
    <w:rsid w:val="27383550"/>
    <w:rsid w:val="275D6B12"/>
    <w:rsid w:val="27C2539A"/>
    <w:rsid w:val="281C4C20"/>
    <w:rsid w:val="290A2F43"/>
    <w:rsid w:val="29417EE1"/>
    <w:rsid w:val="294A756A"/>
    <w:rsid w:val="2A375015"/>
    <w:rsid w:val="2B1A2428"/>
    <w:rsid w:val="2B1F4C69"/>
    <w:rsid w:val="2C414C55"/>
    <w:rsid w:val="2C506B58"/>
    <w:rsid w:val="2D687AB5"/>
    <w:rsid w:val="2E2C46F6"/>
    <w:rsid w:val="305B3A07"/>
    <w:rsid w:val="3207249C"/>
    <w:rsid w:val="34AE2FBC"/>
    <w:rsid w:val="360C2E3B"/>
    <w:rsid w:val="367221BD"/>
    <w:rsid w:val="3676003E"/>
    <w:rsid w:val="36EC753C"/>
    <w:rsid w:val="38A40870"/>
    <w:rsid w:val="38B44330"/>
    <w:rsid w:val="39BE5C60"/>
    <w:rsid w:val="3B4348D9"/>
    <w:rsid w:val="3E9E240D"/>
    <w:rsid w:val="3EB2553E"/>
    <w:rsid w:val="400C04CA"/>
    <w:rsid w:val="40854AA1"/>
    <w:rsid w:val="4193006A"/>
    <w:rsid w:val="41D10B3C"/>
    <w:rsid w:val="430F7596"/>
    <w:rsid w:val="44033358"/>
    <w:rsid w:val="44CB178D"/>
    <w:rsid w:val="456164D6"/>
    <w:rsid w:val="45A33137"/>
    <w:rsid w:val="464B1C3F"/>
    <w:rsid w:val="47172FCE"/>
    <w:rsid w:val="47683A8C"/>
    <w:rsid w:val="48766480"/>
    <w:rsid w:val="4B125CE2"/>
    <w:rsid w:val="4B3927DE"/>
    <w:rsid w:val="4BC4112F"/>
    <w:rsid w:val="4C2D3178"/>
    <w:rsid w:val="4C347831"/>
    <w:rsid w:val="4C74554F"/>
    <w:rsid w:val="4F45117A"/>
    <w:rsid w:val="4FC41647"/>
    <w:rsid w:val="51B01D3E"/>
    <w:rsid w:val="52BB0A0D"/>
    <w:rsid w:val="538406D8"/>
    <w:rsid w:val="54576EF7"/>
    <w:rsid w:val="54723CA6"/>
    <w:rsid w:val="56146DD3"/>
    <w:rsid w:val="57984459"/>
    <w:rsid w:val="5A4C187A"/>
    <w:rsid w:val="5A5D7A3A"/>
    <w:rsid w:val="5A9B2ED2"/>
    <w:rsid w:val="5CA53FBB"/>
    <w:rsid w:val="6117158F"/>
    <w:rsid w:val="64760213"/>
    <w:rsid w:val="64D71690"/>
    <w:rsid w:val="6647794F"/>
    <w:rsid w:val="68096D2E"/>
    <w:rsid w:val="68203394"/>
    <w:rsid w:val="69DE2F1F"/>
    <w:rsid w:val="69FC7894"/>
    <w:rsid w:val="6A0200F5"/>
    <w:rsid w:val="6CAC26F5"/>
    <w:rsid w:val="6ECB2A9A"/>
    <w:rsid w:val="6EDC4EED"/>
    <w:rsid w:val="711A294B"/>
    <w:rsid w:val="7428727A"/>
    <w:rsid w:val="74BF692C"/>
    <w:rsid w:val="76566E09"/>
    <w:rsid w:val="767862FF"/>
    <w:rsid w:val="79CE0333"/>
    <w:rsid w:val="79DA4E24"/>
    <w:rsid w:val="7ADB75EF"/>
    <w:rsid w:val="7C530EBB"/>
    <w:rsid w:val="7E6F7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jc w:val="both"/>
    </w:pPr>
    <w:rPr>
      <w:rFonts w:ascii="Calibri" w:hAnsi="Calibri" w:eastAsia="宋体" w:cs="Times New Roman"/>
      <w:kern w:val="2"/>
      <w:sz w:val="21"/>
      <w:szCs w:val="22"/>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60" w:lineRule="auto"/>
      <w:ind w:firstLine="200" w:firstLineChars="200"/>
    </w:pPr>
    <w:rPr>
      <w:rFonts w:eastAsia="仿宋_GB2312"/>
      <w:szCs w:val="24"/>
    </w:rPr>
  </w:style>
  <w:style w:type="paragraph" w:styleId="3">
    <w:name w:val="Body Text"/>
    <w:basedOn w:val="1"/>
    <w:qFormat/>
    <w:uiPriority w:val="1"/>
    <w:rPr>
      <w:rFonts w:ascii="宋体" w:hAnsi="宋体" w:cs="宋体"/>
      <w:szCs w:val="21"/>
      <w:lang w:val="zh-CN" w:bidi="zh-CN"/>
    </w:rPr>
  </w:style>
  <w:style w:type="paragraph" w:styleId="4">
    <w:name w:val="Body Text Indent"/>
    <w:basedOn w:val="1"/>
    <w:next w:val="5"/>
    <w:qFormat/>
    <w:uiPriority w:val="0"/>
    <w:pPr>
      <w:spacing w:after="120"/>
      <w:ind w:left="420" w:leftChars="200"/>
    </w:pPr>
  </w:style>
  <w:style w:type="paragraph" w:customStyle="1" w:styleId="5">
    <w:name w:val="p16"/>
    <w:basedOn w:val="1"/>
    <w:next w:val="6"/>
    <w:qFormat/>
    <w:uiPriority w:val="0"/>
    <w:pPr>
      <w:widowControl/>
      <w:spacing w:line="400" w:lineRule="atLeast"/>
    </w:pPr>
    <w:rPr>
      <w:kern w:val="0"/>
      <w:sz w:val="24"/>
    </w:rPr>
  </w:style>
  <w:style w:type="paragraph" w:styleId="6">
    <w:name w:val="toc 2"/>
    <w:basedOn w:val="1"/>
    <w:next w:val="1"/>
    <w:unhideWhenUsed/>
    <w:qFormat/>
    <w:uiPriority w:val="0"/>
    <w:pPr>
      <w:ind w:left="420" w:leftChars="200"/>
    </w:pPr>
  </w:style>
  <w:style w:type="paragraph" w:styleId="7">
    <w:name w:val="footer"/>
    <w:basedOn w:val="1"/>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rFonts w:ascii="Times New Roman" w:hAnsi="Times New Roman"/>
      <w:sz w:val="18"/>
      <w:szCs w:val="20"/>
    </w:rPr>
  </w:style>
  <w:style w:type="paragraph" w:styleId="9">
    <w:name w:val="Normal (Web)"/>
    <w:basedOn w:val="1"/>
    <w:qFormat/>
    <w:uiPriority w:val="0"/>
    <w:pPr>
      <w:widowControl/>
      <w:jc w:val="left"/>
    </w:pPr>
    <w:rPr>
      <w:rFonts w:ascii="宋体" w:hAnsi="宋体" w:cs="宋体"/>
      <w:kern w:val="0"/>
      <w:sz w:val="24"/>
    </w:rPr>
  </w:style>
  <w:style w:type="paragraph" w:styleId="10">
    <w:name w:val="Body Text First Indent"/>
    <w:basedOn w:val="3"/>
    <w:next w:val="1"/>
    <w:qFormat/>
    <w:uiPriority w:val="0"/>
    <w:pPr>
      <w:spacing w:line="312" w:lineRule="auto"/>
      <w:ind w:firstLine="420"/>
    </w:pPr>
    <w:rPr>
      <w:rFonts w:ascii="Calibri" w:hAnsi="Calibri" w:cs="Times New Roman"/>
    </w:rPr>
  </w:style>
  <w:style w:type="paragraph" w:styleId="11">
    <w:name w:val="Body Text First Indent 2"/>
    <w:basedOn w:val="4"/>
    <w:next w:val="10"/>
    <w:qFormat/>
    <w:uiPriority w:val="0"/>
    <w:pPr>
      <w:spacing w:line="240" w:lineRule="auto"/>
      <w:ind w:firstLine="420"/>
    </w:pPr>
  </w:style>
  <w:style w:type="paragraph" w:customStyle="1" w:styleId="14">
    <w:name w:val="BodyText1I2"/>
    <w:basedOn w:val="15"/>
    <w:qFormat/>
    <w:uiPriority w:val="0"/>
    <w:pPr>
      <w:spacing w:after="120"/>
      <w:ind w:left="420" w:leftChars="200" w:firstLine="420" w:firstLineChars="200"/>
      <w:textAlignment w:val="baseline"/>
    </w:pPr>
  </w:style>
  <w:style w:type="paragraph" w:customStyle="1" w:styleId="15">
    <w:name w:val="BodyTextIndent"/>
    <w:basedOn w:val="1"/>
    <w:qFormat/>
    <w:uiPriority w:val="0"/>
    <w:pPr>
      <w:snapToGrid w:val="0"/>
      <w:spacing w:line="500" w:lineRule="atLeast"/>
      <w:ind w:firstLine="480"/>
    </w:pPr>
    <w:rPr>
      <w:rFonts w:ascii="宋体" w:hAnsi="CG Times"/>
      <w:sz w:val="24"/>
      <w:lang w:val="zh-CN"/>
    </w:rPr>
  </w:style>
  <w:style w:type="paragraph" w:customStyle="1" w:styleId="16">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列出段落11"/>
    <w:basedOn w:val="1"/>
    <w:qFormat/>
    <w:uiPriority w:val="0"/>
    <w:pPr>
      <w:spacing w:line="240" w:lineRule="auto"/>
      <w:ind w:firstLine="420" w:firstLineChars="200"/>
    </w:pPr>
    <w:rPr>
      <w:rFonts w:cs="黑体"/>
      <w:kern w:val="0"/>
      <w:position w:val="-6"/>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876</Words>
  <Characters>922</Characters>
  <Lines>0</Lines>
  <Paragraphs>0</Paragraphs>
  <TotalTime>23</TotalTime>
  <ScaleCrop>false</ScaleCrop>
  <LinksUpToDate>false</LinksUpToDate>
  <CharactersWithSpaces>924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2025-03-12T13:23:00Z</dcterms:created>
  <dc:creator>Administrator</dc:creator>
  <cp:lastModifiedBy>Larmes</cp:lastModifiedBy>
  <cp:lastPrinted>2025-03-17T04:51:00Z</cp:lastPrinted>
  <dcterms:modified xsi:type="dcterms:W3CDTF">2025-03-20T05:33:50Z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A415B635F9334F189881733CD9195397_13</vt:lpwstr>
  </property>
  <property fmtid="{D5CDD505-2E9C-101B-9397-08002B2CF9AE}" pid="4" name="KSOTemplateDocerSaveRecord">
    <vt:lpwstr>eyJoZGlkIjoiYzkyNGM4Y2QwN2UwNzFiODMxMDBkOTE2OWUyMzg1Y2QiLCJ1c2VySWQiOiIyNTQ5MjY0MDgifQ==</vt:lpwstr>
  </property>
</Properties>
</file>