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5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884"/>
        <w:gridCol w:w="1100"/>
        <w:gridCol w:w="1500"/>
        <w:gridCol w:w="1316"/>
        <w:gridCol w:w="1567"/>
        <w:gridCol w:w="1050"/>
        <w:gridCol w:w="1133"/>
        <w:gridCol w:w="1116"/>
        <w:gridCol w:w="1250"/>
        <w:gridCol w:w="2966"/>
      </w:tblGrid>
      <w:tr w14:paraId="79601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5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6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附件一：内蒙古超高压供电公司2025年第一批集中采购（运输搬运服务框架）项目--需求明细表</w:t>
            </w:r>
          </w:p>
        </w:tc>
      </w:tr>
      <w:tr w14:paraId="6AAEA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标段号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0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7E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服务补充描述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单项概算最高限价（元）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F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框架服务期限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35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年度预估金额（元）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8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招标人实施单位</w:t>
            </w:r>
          </w:p>
        </w:tc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A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供应商专用资格条件</w:t>
            </w:r>
          </w:p>
        </w:tc>
      </w:tr>
      <w:tr w14:paraId="7DCC6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4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9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4.2米货车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3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元/吨.公里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合同签订之日起至2026年12月31日</w:t>
            </w:r>
          </w:p>
        </w:tc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E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呼和浩特市、鄂尔多斯市、乌兰察布市、包头市等盟市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1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240000.00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8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2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0F1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1.供应商须具有道路运输管理部门颁发的有效期内的《中华人民共和国道路运输经营许可证》；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2.供应商须具备自有（自有车辆不包含租赁车辆）重型半挂牵引车，数量不少于6辆，以供应商提供车辆行驶证为准。</w:t>
            </w:r>
          </w:p>
        </w:tc>
      </w:tr>
      <w:tr w14:paraId="58BEA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F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0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5F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6.8米货车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D36F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4DA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868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72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B12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FF9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6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4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9.6米货车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0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00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716C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757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2F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E4F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790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1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4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C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13米货车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25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F73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75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CA5E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25F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CA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17E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7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1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B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0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9A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17米货车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 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7B4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1FAB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B34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96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D59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AE5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12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5t吊车 （自卸吊）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B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1683 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455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572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16D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F14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AFA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797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F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8t吊车 （自卸吊）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8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1667元/吨.公里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E5A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D2F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52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475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F84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0C0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B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12t吊车 （自卸吊）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A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1733元/天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42D1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713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E096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8C6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5789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4DE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C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3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0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8t吊车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 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DBE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C7B4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D71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5E1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F9D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E4C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4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12t吊车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F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1867 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96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1B6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960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91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2B6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23D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B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25t吊车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2333元/天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6B8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07E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2E01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B8F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F4C8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67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2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B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A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50t吊车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9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5200元/天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313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B6A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6B8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1D2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155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11E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B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7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80t吊车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7500 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352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402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745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2B4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59B5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0B5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2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5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2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E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 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194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FA1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2E19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532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74E4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35A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7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F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运输搬运服务框架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D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运输搬运服务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7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人工费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 元/天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5AB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F0E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9AD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000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139B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E90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0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合计最高限价（元）：</w:t>
            </w:r>
          </w:p>
        </w:tc>
        <w:tc>
          <w:tcPr>
            <w:tcW w:w="75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E366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26306.00</w:t>
            </w:r>
          </w:p>
        </w:tc>
      </w:tr>
    </w:tbl>
    <w:p w14:paraId="6EAFB108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1" w:name="_GoBack"/>
      <w:bookmarkEnd w:id="1"/>
    </w:p>
    <w:p w14:paraId="4E5D9333">
      <w:pPr>
        <w:jc w:val="left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6838" w:h="11905" w:orient="landscape"/>
          <w:pgMar w:top="1134" w:right="1134" w:bottom="1134" w:left="1134" w:header="850" w:footer="992" w:gutter="0"/>
          <w:pgNumType w:fmt="decimal"/>
          <w:cols w:space="0" w:num="1"/>
          <w:rtlGutter w:val="0"/>
          <w:docGrid w:type="lines" w:linePitch="321" w:charSpace="0"/>
        </w:sectPr>
      </w:pPr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6C136D86">
      <w:pPr>
        <w:rPr>
          <w:rFonts w:hint="eastAsia" w:ascii="宋体" w:hAnsi="宋体" w:eastAsia="宋体" w:cs="宋体"/>
          <w:sz w:val="32"/>
          <w:szCs w:val="32"/>
        </w:rPr>
      </w:pPr>
    </w:p>
    <w:p w14:paraId="65DB67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08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AFA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AFA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BA30">
    <w:pPr>
      <w:jc w:val="distribut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274C"/>
    <w:rsid w:val="0D657074"/>
    <w:rsid w:val="69B358FF"/>
    <w:rsid w:val="69C4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1504</Words>
  <Characters>1686</Characters>
  <Lines>0</Lines>
  <Paragraphs>0</Paragraphs>
  <TotalTime>0</TotalTime>
  <ScaleCrop>false</ScaleCrop>
  <LinksUpToDate>false</LinksUpToDate>
  <CharactersWithSpaces>3173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2025-02-14T02:08:00Z</dcterms:created>
  <dc:creator>Administrator</dc:creator>
  <cp:lastModifiedBy>WPS_1640698094</cp:lastModifiedBy>
  <dcterms:modified xsi:type="dcterms:W3CDTF">2025-02-17T02:41:01Z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eyJoZGlkIjoiZDYxNGE2YTAxMTJhNWZmYzg5ZGYxNDZmZTJlNWQ0MGEiLCJ1c2VySWQiOiIxMzEwMzk2Mzk1In0=</vt:lpwstr>
  </property>
  <property fmtid="{D5CDD505-2E9C-101B-9397-08002B2CF9AE}" pid="4" name="ICV">
    <vt:lpwstr>ED17DA530B0749EB9E2693A2D7E67C68_12</vt:lpwstr>
  </property>
</Properties>
</file>