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0B583EF">
      <w:pPr>
        <w:pStyle w:val="8"/>
        <w:spacing w:line="360" w:lineRule="auto"/>
        <w:rPr>
          <w:rFonts w:hint="eastAsia" w:ascii="宋体" w:hAnsi="宋体" w:eastAsia="宋体"/>
          <w:b/>
          <w:sz w:val="28"/>
          <w:szCs w:val="28"/>
          <w:lang w:val="en-US" w:eastAsia="zh-CN"/>
        </w:rPr>
      </w:pPr>
      <w:bookmarkStart w:id="0" w:name="_Toc43897770"/>
      <w:r>
        <w:rPr>
          <w:rFonts w:hint="eastAsia" w:ascii="宋体" w:hAnsi="宋体"/>
          <w:b/>
          <w:sz w:val="28"/>
          <w:szCs w:val="28"/>
          <w:lang w:val="en-US" w:eastAsia="zh-CN"/>
        </w:rPr>
        <w:t>附件一</w:t>
      </w:r>
    </w:p>
    <w:tbl>
      <w:tblPr>
        <w:tblStyle w:val="6"/>
        <w:tblW w:w="14967"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34"/>
        <w:gridCol w:w="463"/>
        <w:gridCol w:w="920"/>
        <w:gridCol w:w="2990"/>
        <w:gridCol w:w="460"/>
        <w:gridCol w:w="640"/>
        <w:gridCol w:w="780"/>
        <w:gridCol w:w="840"/>
        <w:gridCol w:w="820"/>
        <w:gridCol w:w="720"/>
        <w:gridCol w:w="700"/>
        <w:gridCol w:w="700"/>
        <w:gridCol w:w="3670"/>
        <w:gridCol w:w="830"/>
      </w:tblGrid>
      <w:tr w14:paraId="135879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PrEx>
        <w:trPr>
          <w:trHeight w:val="527" w:hRule="atLeast"/>
          <w:tblHeader/>
        </w:trPr>
        <w:tc>
          <w:tcPr>
            <w:tcW w:w="14967" w:type="dxa"/>
            <w:gridSpan w:val="14"/>
            <w:shd w:val="clear" w:color="auto" w:fill="auto"/>
            <w:noWrap/>
            <w:vAlign w:val="center"/>
          </w:tcPr>
          <w:p w14:paraId="6997C110">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附件一：锡林郭勒超高压供电分公司2025年生产工程第一批服务采购项目-需求明细表</w:t>
            </w:r>
          </w:p>
        </w:tc>
      </w:tr>
      <w:tr w14:paraId="73B46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6" w:hRule="atLeast"/>
          <w:tblHeader/>
        </w:trPr>
        <w:tc>
          <w:tcPr>
            <w:tcW w:w="434" w:type="dxa"/>
            <w:shd w:val="clear" w:color="auto" w:fill="auto"/>
            <w:noWrap/>
            <w:vAlign w:val="center"/>
          </w:tcPr>
          <w:p w14:paraId="5558CE1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序号</w:t>
            </w:r>
          </w:p>
        </w:tc>
        <w:tc>
          <w:tcPr>
            <w:tcW w:w="463" w:type="dxa"/>
            <w:shd w:val="clear" w:color="auto" w:fill="auto"/>
            <w:noWrap/>
            <w:vAlign w:val="center"/>
          </w:tcPr>
          <w:p w14:paraId="2CE5184E">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标段</w:t>
            </w:r>
          </w:p>
          <w:p w14:paraId="2CE9CE6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名称</w:t>
            </w:r>
          </w:p>
        </w:tc>
        <w:tc>
          <w:tcPr>
            <w:tcW w:w="920" w:type="dxa"/>
            <w:shd w:val="clear" w:color="auto" w:fill="auto"/>
            <w:vAlign w:val="center"/>
          </w:tcPr>
          <w:p w14:paraId="1097C01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子项目名称</w:t>
            </w:r>
          </w:p>
        </w:tc>
        <w:tc>
          <w:tcPr>
            <w:tcW w:w="2990" w:type="dxa"/>
            <w:shd w:val="clear" w:color="auto" w:fill="auto"/>
            <w:noWrap/>
            <w:vAlign w:val="center"/>
          </w:tcPr>
          <w:p w14:paraId="68BAE22A">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服务描述</w:t>
            </w:r>
          </w:p>
        </w:tc>
        <w:tc>
          <w:tcPr>
            <w:tcW w:w="460" w:type="dxa"/>
            <w:shd w:val="clear" w:color="auto" w:fill="auto"/>
            <w:noWrap/>
            <w:vAlign w:val="center"/>
          </w:tcPr>
          <w:p w14:paraId="64D1AB1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单位</w:t>
            </w:r>
          </w:p>
        </w:tc>
        <w:tc>
          <w:tcPr>
            <w:tcW w:w="640" w:type="dxa"/>
            <w:shd w:val="clear" w:color="auto" w:fill="auto"/>
            <w:vAlign w:val="center"/>
          </w:tcPr>
          <w:p w14:paraId="5A3F6BF7">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采购数量</w:t>
            </w:r>
          </w:p>
        </w:tc>
        <w:tc>
          <w:tcPr>
            <w:tcW w:w="780" w:type="dxa"/>
            <w:shd w:val="clear" w:color="auto" w:fill="auto"/>
            <w:vAlign w:val="center"/>
          </w:tcPr>
          <w:p w14:paraId="458C94C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单价限价（元）</w:t>
            </w:r>
          </w:p>
        </w:tc>
        <w:tc>
          <w:tcPr>
            <w:tcW w:w="840" w:type="dxa"/>
            <w:shd w:val="clear" w:color="auto" w:fill="auto"/>
            <w:vAlign w:val="center"/>
          </w:tcPr>
          <w:p w14:paraId="24079C24">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最高限价（元）</w:t>
            </w:r>
          </w:p>
        </w:tc>
        <w:tc>
          <w:tcPr>
            <w:tcW w:w="820" w:type="dxa"/>
            <w:shd w:val="clear" w:color="auto" w:fill="auto"/>
            <w:vAlign w:val="center"/>
          </w:tcPr>
          <w:p w14:paraId="3D421B7E">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标段最高限价（元）</w:t>
            </w:r>
          </w:p>
        </w:tc>
        <w:tc>
          <w:tcPr>
            <w:tcW w:w="720" w:type="dxa"/>
            <w:shd w:val="clear" w:color="auto" w:fill="auto"/>
            <w:vAlign w:val="center"/>
          </w:tcPr>
          <w:p w14:paraId="16F98E81">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服务时间</w:t>
            </w:r>
          </w:p>
        </w:tc>
        <w:tc>
          <w:tcPr>
            <w:tcW w:w="700" w:type="dxa"/>
            <w:shd w:val="clear" w:color="auto" w:fill="auto"/>
            <w:vAlign w:val="center"/>
          </w:tcPr>
          <w:p w14:paraId="61FF732C">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服务</w:t>
            </w:r>
          </w:p>
          <w:p w14:paraId="3A4EE772">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地点</w:t>
            </w:r>
          </w:p>
        </w:tc>
        <w:tc>
          <w:tcPr>
            <w:tcW w:w="700" w:type="dxa"/>
            <w:shd w:val="clear" w:color="auto" w:fill="auto"/>
            <w:vAlign w:val="center"/>
          </w:tcPr>
          <w:p w14:paraId="2FB5C36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招标技术条件情况</w:t>
            </w:r>
          </w:p>
        </w:tc>
        <w:tc>
          <w:tcPr>
            <w:tcW w:w="3670" w:type="dxa"/>
            <w:shd w:val="clear" w:color="auto" w:fill="auto"/>
            <w:noWrap/>
            <w:vAlign w:val="center"/>
          </w:tcPr>
          <w:p w14:paraId="0276B85B">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专用资格条件</w:t>
            </w:r>
          </w:p>
        </w:tc>
        <w:tc>
          <w:tcPr>
            <w:tcW w:w="830" w:type="dxa"/>
            <w:shd w:val="clear" w:color="auto" w:fill="auto"/>
            <w:noWrap/>
            <w:vAlign w:val="center"/>
          </w:tcPr>
          <w:p w14:paraId="7E28B74B">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备注</w:t>
            </w:r>
          </w:p>
        </w:tc>
      </w:tr>
      <w:tr w14:paraId="26968E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85" w:hRule="atLeast"/>
        </w:trPr>
        <w:tc>
          <w:tcPr>
            <w:tcW w:w="434" w:type="dxa"/>
            <w:vMerge w:val="restart"/>
            <w:shd w:val="clear" w:color="auto" w:fill="auto"/>
            <w:noWrap/>
            <w:vAlign w:val="center"/>
          </w:tcPr>
          <w:p w14:paraId="040DDA6B">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1</w:t>
            </w:r>
          </w:p>
        </w:tc>
        <w:tc>
          <w:tcPr>
            <w:tcW w:w="463" w:type="dxa"/>
            <w:vMerge w:val="restart"/>
            <w:shd w:val="clear" w:color="auto" w:fill="auto"/>
            <w:noWrap/>
            <w:vAlign w:val="center"/>
          </w:tcPr>
          <w:p w14:paraId="03B9A540">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一标段</w:t>
            </w:r>
          </w:p>
        </w:tc>
        <w:tc>
          <w:tcPr>
            <w:tcW w:w="920" w:type="dxa"/>
            <w:shd w:val="clear" w:color="auto" w:fill="auto"/>
            <w:vAlign w:val="center"/>
          </w:tcPr>
          <w:p w14:paraId="364011FC">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PCS-9000主站监控系统等级保护测评</w:t>
            </w:r>
          </w:p>
        </w:tc>
        <w:tc>
          <w:tcPr>
            <w:tcW w:w="2990" w:type="dxa"/>
            <w:shd w:val="clear" w:color="auto" w:fill="auto"/>
            <w:noWrap/>
            <w:vAlign w:val="center"/>
          </w:tcPr>
          <w:p w14:paraId="3D7084C6">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完成 PCS-9000主站监控系统等级保护测评，出具网络安全等保测评报告。</w:t>
            </w:r>
          </w:p>
        </w:tc>
        <w:tc>
          <w:tcPr>
            <w:tcW w:w="460" w:type="dxa"/>
            <w:shd w:val="clear" w:color="auto" w:fill="auto"/>
            <w:noWrap/>
            <w:vAlign w:val="center"/>
          </w:tcPr>
          <w:p w14:paraId="06BC33B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项</w:t>
            </w:r>
          </w:p>
        </w:tc>
        <w:tc>
          <w:tcPr>
            <w:tcW w:w="640" w:type="dxa"/>
            <w:shd w:val="clear" w:color="auto" w:fill="auto"/>
            <w:vAlign w:val="center"/>
          </w:tcPr>
          <w:p w14:paraId="0B9A683E">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w:t>
            </w:r>
          </w:p>
        </w:tc>
        <w:tc>
          <w:tcPr>
            <w:tcW w:w="780" w:type="dxa"/>
            <w:shd w:val="clear" w:color="auto" w:fill="auto"/>
            <w:vAlign w:val="center"/>
          </w:tcPr>
          <w:p w14:paraId="6652FD66">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40" w:type="dxa"/>
            <w:shd w:val="clear" w:color="auto" w:fill="auto"/>
            <w:vAlign w:val="center"/>
          </w:tcPr>
          <w:p w14:paraId="0556B574">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20" w:type="dxa"/>
            <w:vMerge w:val="restart"/>
            <w:shd w:val="clear" w:color="auto" w:fill="auto"/>
            <w:vAlign w:val="center"/>
          </w:tcPr>
          <w:p w14:paraId="6195CB7D">
            <w:pPr>
              <w:keepNext w:val="0"/>
              <w:keepLines w:val="0"/>
              <w:widowControl/>
              <w:suppressLineNumbers w:val="0"/>
              <w:jc w:val="center"/>
              <w:textAlignment w:val="center"/>
              <w:rPr>
                <w:rFonts w:hint="default" w:ascii="宋体" w:hAnsi="宋体" w:eastAsia="宋体" w:cs="宋体"/>
                <w:i w:val="0"/>
                <w:iCs w:val="0"/>
                <w:color w:val="000000"/>
                <w:kern w:val="0"/>
                <w:sz w:val="18"/>
                <w:szCs w:val="18"/>
                <w:highlight w:val="yellow"/>
                <w:u w:val="none"/>
                <w:lang w:val="en-US" w:eastAsia="zh-CN" w:bidi="ar"/>
              </w:rPr>
            </w:pPr>
            <w:r>
              <w:rPr>
                <w:rFonts w:hint="eastAsia" w:ascii="宋体" w:hAnsi="宋体" w:cs="宋体"/>
                <w:i w:val="0"/>
                <w:iCs w:val="0"/>
                <w:color w:val="000000"/>
                <w:kern w:val="0"/>
                <w:sz w:val="18"/>
                <w:szCs w:val="18"/>
                <w:highlight w:val="none"/>
                <w:u w:val="none"/>
                <w:lang w:val="en-US" w:eastAsia="zh-CN" w:bidi="ar"/>
              </w:rPr>
              <w:t>416000.00</w:t>
            </w:r>
          </w:p>
        </w:tc>
        <w:tc>
          <w:tcPr>
            <w:tcW w:w="720" w:type="dxa"/>
            <w:vMerge w:val="restart"/>
            <w:shd w:val="clear" w:color="auto" w:fill="auto"/>
            <w:vAlign w:val="center"/>
          </w:tcPr>
          <w:p w14:paraId="63E3ED0B">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合同签订之日起至2025年7月30日</w:t>
            </w:r>
          </w:p>
        </w:tc>
        <w:tc>
          <w:tcPr>
            <w:tcW w:w="700" w:type="dxa"/>
            <w:vMerge w:val="restart"/>
            <w:shd w:val="clear" w:color="auto" w:fill="auto"/>
            <w:vAlign w:val="center"/>
          </w:tcPr>
          <w:p w14:paraId="4F01175A">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锡林郭勒超高压供电分公司及所辖变电站</w:t>
            </w:r>
          </w:p>
        </w:tc>
        <w:tc>
          <w:tcPr>
            <w:tcW w:w="700" w:type="dxa"/>
            <w:vMerge w:val="restart"/>
            <w:shd w:val="clear" w:color="auto" w:fill="auto"/>
            <w:vAlign w:val="center"/>
          </w:tcPr>
          <w:p w14:paraId="42631EDA">
            <w:pPr>
              <w:jc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sz w:val="18"/>
                <w:szCs w:val="18"/>
                <w:u w:val="none"/>
                <w:lang w:val="en-US" w:eastAsia="zh-CN"/>
              </w:rPr>
              <w:t>无</w:t>
            </w:r>
          </w:p>
        </w:tc>
        <w:tc>
          <w:tcPr>
            <w:tcW w:w="3670" w:type="dxa"/>
            <w:vMerge w:val="restart"/>
            <w:shd w:val="clear" w:color="auto" w:fill="auto"/>
            <w:noWrap/>
            <w:vAlign w:val="center"/>
          </w:tcPr>
          <w:p w14:paraId="0CB97E2C">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default" w:ascii="宋体" w:hAnsi="宋体" w:eastAsia="宋体" w:cs="宋体"/>
                <w:b w:val="0"/>
                <w:bCs w:val="0"/>
                <w:i w:val="0"/>
                <w:iCs w:val="0"/>
                <w:color w:val="000000"/>
                <w:kern w:val="2"/>
                <w:sz w:val="18"/>
                <w:szCs w:val="18"/>
                <w:highlight w:val="none"/>
                <w:u w:val="none"/>
                <w:lang w:val="en-US" w:eastAsia="zh-CN" w:bidi="ar-SA"/>
              </w:rPr>
            </w:pPr>
            <w:r>
              <w:rPr>
                <w:rFonts w:hint="default" w:ascii="宋体" w:hAnsi="宋体" w:eastAsia="宋体" w:cs="宋体"/>
                <w:b w:val="0"/>
                <w:bCs w:val="0"/>
                <w:i w:val="0"/>
                <w:iCs w:val="0"/>
                <w:color w:val="000000"/>
                <w:kern w:val="2"/>
                <w:sz w:val="18"/>
                <w:szCs w:val="18"/>
                <w:highlight w:val="none"/>
                <w:u w:val="none"/>
                <w:lang w:val="en-US" w:eastAsia="zh-CN" w:bidi="ar-SA"/>
              </w:rPr>
              <w:t>1、供应商须具有经公安部第三研究所(国家认证认可委员会批准的认证机构)认证发放的《网络安全等级测评与检测评估机构服务认证证书》或《网络安全服务认证证书等级保护测评服务认证》;且供应商须在中国网络安全等级保护网的评测机构中进行查询(提供截图);异地测评机构须按照《内蒙古自治区计算机信息系统安全保护办法》要求完成盟市级以上公安机关对本项目备实并提供相关证明。</w:t>
            </w:r>
          </w:p>
          <w:p w14:paraId="2D1DCC5F">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default" w:ascii="宋体" w:hAnsi="宋体" w:eastAsia="宋体" w:cs="宋体"/>
                <w:b w:val="0"/>
                <w:bCs w:val="0"/>
                <w:i w:val="0"/>
                <w:iCs w:val="0"/>
                <w:color w:val="000000"/>
                <w:kern w:val="2"/>
                <w:sz w:val="18"/>
                <w:szCs w:val="18"/>
                <w:highlight w:val="none"/>
                <w:u w:val="none"/>
                <w:lang w:val="en-US" w:eastAsia="zh-CN" w:bidi="ar-SA"/>
              </w:rPr>
            </w:pPr>
            <w:r>
              <w:rPr>
                <w:rFonts w:hint="default" w:ascii="宋体" w:hAnsi="宋体" w:eastAsia="宋体" w:cs="宋体"/>
                <w:b w:val="0"/>
                <w:bCs w:val="0"/>
                <w:i w:val="0"/>
                <w:iCs w:val="0"/>
                <w:color w:val="000000"/>
                <w:kern w:val="2"/>
                <w:sz w:val="18"/>
                <w:szCs w:val="18"/>
                <w:highlight w:val="none"/>
                <w:u w:val="none"/>
                <w:lang w:val="en-US" w:eastAsia="zh-CN" w:bidi="ar-SA"/>
              </w:rPr>
              <w:t>2、供应商须具有国家信息安全测评信息安全服务资质证书安全工程一级资质或中国网络安全审查技术与认证中心颁发的信息安全风险评估服务资质证书:具备国家行政机关颁发检验检测机构资质认定证书(CMA或CNAS证书），范围包含等保测评、信息安全风险评估，提供证书扫描件及查询网址。</w:t>
            </w:r>
          </w:p>
          <w:p w14:paraId="645907AF">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default" w:eastAsia="宋体"/>
                <w:sz w:val="18"/>
                <w:szCs w:val="18"/>
                <w:lang w:val="en-US" w:eastAsia="zh-CN"/>
              </w:rPr>
            </w:pPr>
            <w:r>
              <w:rPr>
                <w:rFonts w:hint="default" w:ascii="宋体" w:hAnsi="宋体" w:eastAsia="宋体" w:cs="宋体"/>
                <w:b w:val="0"/>
                <w:bCs w:val="0"/>
                <w:i w:val="0"/>
                <w:iCs w:val="0"/>
                <w:color w:val="000000"/>
                <w:kern w:val="2"/>
                <w:sz w:val="18"/>
                <w:szCs w:val="18"/>
                <w:highlight w:val="none"/>
                <w:u w:val="none"/>
                <w:lang w:val="en-US" w:eastAsia="zh-CN" w:bidi="ar-SA"/>
              </w:rPr>
              <w:t>3、供应商承诺拟派人员至少1人为高级等级测评师，且具备电子数据分析类的相关人员证书（提供承诺书，无需提供证书扫描件）</w:t>
            </w:r>
          </w:p>
        </w:tc>
        <w:tc>
          <w:tcPr>
            <w:tcW w:w="830" w:type="dxa"/>
            <w:vMerge w:val="restart"/>
            <w:shd w:val="clear" w:color="auto" w:fill="auto"/>
            <w:noWrap/>
            <w:vAlign w:val="center"/>
          </w:tcPr>
          <w:p w14:paraId="318CCB68">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eastAsia"/>
                <w:b w:val="0"/>
                <w:bCs w:val="0"/>
                <w:sz w:val="18"/>
                <w:szCs w:val="18"/>
                <w:lang w:val="en-US" w:eastAsia="zh-CN"/>
              </w:rPr>
            </w:pPr>
          </w:p>
        </w:tc>
      </w:tr>
      <w:tr w14:paraId="1BECE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86" w:hRule="atLeast"/>
        </w:trPr>
        <w:tc>
          <w:tcPr>
            <w:tcW w:w="434" w:type="dxa"/>
            <w:vMerge w:val="continue"/>
            <w:shd w:val="clear" w:color="auto" w:fill="auto"/>
            <w:noWrap/>
            <w:vAlign w:val="center"/>
          </w:tcPr>
          <w:p w14:paraId="2B629876">
            <w:pPr>
              <w:jc w:val="center"/>
              <w:rPr>
                <w:rFonts w:hint="eastAsia" w:ascii="宋体" w:hAnsi="宋体" w:eastAsia="宋体" w:cs="宋体"/>
                <w:i w:val="0"/>
                <w:iCs w:val="0"/>
                <w:color w:val="000000"/>
                <w:sz w:val="18"/>
                <w:szCs w:val="18"/>
                <w:u w:val="none"/>
                <w:lang w:val="en-US" w:eastAsia="zh-CN"/>
              </w:rPr>
            </w:pPr>
          </w:p>
        </w:tc>
        <w:tc>
          <w:tcPr>
            <w:tcW w:w="463" w:type="dxa"/>
            <w:vMerge w:val="continue"/>
            <w:shd w:val="clear" w:color="auto" w:fill="auto"/>
            <w:noWrap/>
            <w:vAlign w:val="center"/>
          </w:tcPr>
          <w:p w14:paraId="0C18DBB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920" w:type="dxa"/>
            <w:shd w:val="clear" w:color="auto" w:fill="auto"/>
            <w:vAlign w:val="center"/>
          </w:tcPr>
          <w:p w14:paraId="6429708A">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PCS-9000主站监控系统安全防护评估</w:t>
            </w:r>
          </w:p>
        </w:tc>
        <w:tc>
          <w:tcPr>
            <w:tcW w:w="2990" w:type="dxa"/>
            <w:shd w:val="clear" w:color="auto" w:fill="auto"/>
            <w:noWrap/>
            <w:vAlign w:val="center"/>
          </w:tcPr>
          <w:p w14:paraId="6D461983">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完成 PCS-9000主站监控系统安全防护评估，出具系统安全防护评估报告。</w:t>
            </w:r>
          </w:p>
        </w:tc>
        <w:tc>
          <w:tcPr>
            <w:tcW w:w="460" w:type="dxa"/>
            <w:shd w:val="clear" w:color="auto" w:fill="auto"/>
            <w:noWrap/>
            <w:vAlign w:val="center"/>
          </w:tcPr>
          <w:p w14:paraId="6DB1C20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项</w:t>
            </w:r>
          </w:p>
        </w:tc>
        <w:tc>
          <w:tcPr>
            <w:tcW w:w="640" w:type="dxa"/>
            <w:shd w:val="clear" w:color="auto" w:fill="auto"/>
            <w:vAlign w:val="center"/>
          </w:tcPr>
          <w:p w14:paraId="22C020F7">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w:t>
            </w:r>
          </w:p>
        </w:tc>
        <w:tc>
          <w:tcPr>
            <w:tcW w:w="780" w:type="dxa"/>
            <w:shd w:val="clear" w:color="auto" w:fill="auto"/>
            <w:vAlign w:val="center"/>
          </w:tcPr>
          <w:p w14:paraId="62645F8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40" w:type="dxa"/>
            <w:shd w:val="clear" w:color="auto" w:fill="auto"/>
            <w:vAlign w:val="center"/>
          </w:tcPr>
          <w:p w14:paraId="02571C1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20" w:type="dxa"/>
            <w:vMerge w:val="continue"/>
            <w:shd w:val="clear" w:color="auto" w:fill="auto"/>
            <w:vAlign w:val="center"/>
          </w:tcPr>
          <w:p w14:paraId="2E7278B7">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yellow"/>
                <w:u w:val="none"/>
                <w:lang w:val="en-US" w:eastAsia="zh-CN" w:bidi="ar"/>
              </w:rPr>
            </w:pPr>
          </w:p>
        </w:tc>
        <w:tc>
          <w:tcPr>
            <w:tcW w:w="720" w:type="dxa"/>
            <w:vMerge w:val="continue"/>
            <w:shd w:val="clear" w:color="auto" w:fill="auto"/>
            <w:vAlign w:val="center"/>
          </w:tcPr>
          <w:p w14:paraId="7240349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38C9192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767B3DE1">
            <w:pPr>
              <w:jc w:val="center"/>
              <w:rPr>
                <w:rFonts w:hint="eastAsia" w:ascii="宋体" w:hAnsi="宋体" w:eastAsia="宋体" w:cs="宋体"/>
                <w:i w:val="0"/>
                <w:iCs w:val="0"/>
                <w:color w:val="000000"/>
                <w:sz w:val="18"/>
                <w:szCs w:val="18"/>
                <w:u w:val="none"/>
              </w:rPr>
            </w:pPr>
          </w:p>
        </w:tc>
        <w:tc>
          <w:tcPr>
            <w:tcW w:w="3670" w:type="dxa"/>
            <w:vMerge w:val="continue"/>
            <w:shd w:val="clear" w:color="auto" w:fill="auto"/>
            <w:noWrap/>
            <w:vAlign w:val="center"/>
          </w:tcPr>
          <w:p w14:paraId="5B0FCF48">
            <w:pPr>
              <w:jc w:val="center"/>
              <w:rPr>
                <w:rFonts w:hint="eastAsia" w:ascii="宋体" w:hAnsi="宋体" w:eastAsia="宋体" w:cs="宋体"/>
                <w:i w:val="0"/>
                <w:iCs w:val="0"/>
                <w:color w:val="000000"/>
                <w:sz w:val="18"/>
                <w:szCs w:val="18"/>
                <w:u w:val="none"/>
              </w:rPr>
            </w:pPr>
          </w:p>
        </w:tc>
        <w:tc>
          <w:tcPr>
            <w:tcW w:w="830" w:type="dxa"/>
            <w:vMerge w:val="continue"/>
            <w:shd w:val="clear" w:color="auto" w:fill="auto"/>
            <w:noWrap/>
            <w:vAlign w:val="center"/>
          </w:tcPr>
          <w:p w14:paraId="586FD304">
            <w:pPr>
              <w:jc w:val="center"/>
              <w:rPr>
                <w:rFonts w:hint="eastAsia" w:ascii="宋体" w:hAnsi="宋体" w:eastAsia="宋体" w:cs="宋体"/>
                <w:i w:val="0"/>
                <w:iCs w:val="0"/>
                <w:color w:val="000000"/>
                <w:sz w:val="18"/>
                <w:szCs w:val="18"/>
                <w:u w:val="none"/>
              </w:rPr>
            </w:pPr>
          </w:p>
        </w:tc>
      </w:tr>
      <w:tr w14:paraId="2DB42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4" w:type="dxa"/>
            <w:vMerge w:val="continue"/>
            <w:shd w:val="clear" w:color="auto" w:fill="auto"/>
            <w:noWrap/>
            <w:vAlign w:val="center"/>
          </w:tcPr>
          <w:p w14:paraId="64F3D81A">
            <w:pPr>
              <w:jc w:val="center"/>
              <w:rPr>
                <w:rFonts w:hint="eastAsia" w:ascii="宋体" w:hAnsi="宋体" w:eastAsia="宋体" w:cs="宋体"/>
                <w:i w:val="0"/>
                <w:iCs w:val="0"/>
                <w:color w:val="000000"/>
                <w:sz w:val="18"/>
                <w:szCs w:val="18"/>
                <w:u w:val="none"/>
                <w:lang w:val="en-US" w:eastAsia="zh-CN"/>
              </w:rPr>
            </w:pPr>
          </w:p>
        </w:tc>
        <w:tc>
          <w:tcPr>
            <w:tcW w:w="463" w:type="dxa"/>
            <w:vMerge w:val="continue"/>
            <w:shd w:val="clear" w:color="auto" w:fill="auto"/>
            <w:noWrap/>
            <w:vAlign w:val="center"/>
          </w:tcPr>
          <w:p w14:paraId="468D99F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920" w:type="dxa"/>
            <w:shd w:val="clear" w:color="auto" w:fill="auto"/>
            <w:vAlign w:val="center"/>
          </w:tcPr>
          <w:p w14:paraId="6510EACA">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所辖七座变电站计算机等级保护测评中小修</w:t>
            </w:r>
          </w:p>
        </w:tc>
        <w:tc>
          <w:tcPr>
            <w:tcW w:w="2990" w:type="dxa"/>
            <w:shd w:val="clear" w:color="auto" w:fill="auto"/>
            <w:noWrap/>
            <w:vAlign w:val="center"/>
          </w:tcPr>
          <w:p w14:paraId="3CC0E3B4">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在500kV塔拉变电站、500kV灰腾梁变电站、500kV白音高勒变电站、500kV德义变电站、500kV宝拉格变电站、500kV苏尼特变电站、500kV东苏变电站进行监控系统等级保护测评并出具相关测试报告。</w:t>
            </w:r>
          </w:p>
        </w:tc>
        <w:tc>
          <w:tcPr>
            <w:tcW w:w="460" w:type="dxa"/>
            <w:shd w:val="clear" w:color="auto" w:fill="auto"/>
            <w:noWrap/>
            <w:vAlign w:val="center"/>
          </w:tcPr>
          <w:p w14:paraId="112A17C8">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站</w:t>
            </w:r>
          </w:p>
        </w:tc>
        <w:tc>
          <w:tcPr>
            <w:tcW w:w="640" w:type="dxa"/>
            <w:shd w:val="clear" w:color="auto" w:fill="auto"/>
            <w:vAlign w:val="center"/>
          </w:tcPr>
          <w:p w14:paraId="462B9667">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w:t>
            </w:r>
          </w:p>
        </w:tc>
        <w:tc>
          <w:tcPr>
            <w:tcW w:w="780" w:type="dxa"/>
            <w:shd w:val="clear" w:color="auto" w:fill="auto"/>
            <w:vAlign w:val="center"/>
          </w:tcPr>
          <w:p w14:paraId="59F25E88">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40000.00</w:t>
            </w:r>
          </w:p>
        </w:tc>
        <w:tc>
          <w:tcPr>
            <w:tcW w:w="840" w:type="dxa"/>
            <w:shd w:val="clear" w:color="auto" w:fill="auto"/>
            <w:vAlign w:val="center"/>
          </w:tcPr>
          <w:p w14:paraId="69C3B0C6">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280000.00</w:t>
            </w:r>
          </w:p>
        </w:tc>
        <w:tc>
          <w:tcPr>
            <w:tcW w:w="820" w:type="dxa"/>
            <w:vMerge w:val="continue"/>
            <w:shd w:val="clear" w:color="auto" w:fill="auto"/>
            <w:vAlign w:val="center"/>
          </w:tcPr>
          <w:p w14:paraId="13EE06A3">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yellow"/>
                <w:u w:val="none"/>
                <w:lang w:val="en-US" w:eastAsia="zh-CN" w:bidi="ar"/>
              </w:rPr>
            </w:pPr>
          </w:p>
        </w:tc>
        <w:tc>
          <w:tcPr>
            <w:tcW w:w="720" w:type="dxa"/>
            <w:vMerge w:val="continue"/>
            <w:shd w:val="clear" w:color="auto" w:fill="auto"/>
            <w:vAlign w:val="center"/>
          </w:tcPr>
          <w:p w14:paraId="6D9BB06E">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1B07345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0922FEB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670" w:type="dxa"/>
            <w:vMerge w:val="continue"/>
            <w:shd w:val="clear" w:color="auto" w:fill="auto"/>
            <w:noWrap/>
            <w:vAlign w:val="center"/>
          </w:tcPr>
          <w:p w14:paraId="7FD6013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830" w:type="dxa"/>
            <w:vMerge w:val="continue"/>
            <w:shd w:val="clear" w:color="auto" w:fill="auto"/>
            <w:noWrap/>
            <w:vAlign w:val="center"/>
          </w:tcPr>
          <w:p w14:paraId="02F17BFF">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14:paraId="25D28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0" w:hRule="atLeast"/>
        </w:trPr>
        <w:tc>
          <w:tcPr>
            <w:tcW w:w="434" w:type="dxa"/>
            <w:vMerge w:val="restart"/>
            <w:shd w:val="clear" w:color="auto" w:fill="auto"/>
            <w:noWrap/>
            <w:vAlign w:val="center"/>
          </w:tcPr>
          <w:p w14:paraId="600111A6">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2</w:t>
            </w:r>
          </w:p>
        </w:tc>
        <w:tc>
          <w:tcPr>
            <w:tcW w:w="463" w:type="dxa"/>
            <w:vMerge w:val="restart"/>
            <w:shd w:val="clear" w:color="auto" w:fill="auto"/>
            <w:noWrap/>
            <w:vAlign w:val="center"/>
          </w:tcPr>
          <w:p w14:paraId="698FB3E3">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二</w:t>
            </w:r>
            <w:r>
              <w:rPr>
                <w:rFonts w:hint="eastAsia" w:ascii="宋体" w:hAnsi="宋体" w:eastAsia="宋体" w:cs="宋体"/>
                <w:i w:val="0"/>
                <w:iCs w:val="0"/>
                <w:color w:val="000000"/>
                <w:sz w:val="18"/>
                <w:szCs w:val="18"/>
                <w:u w:val="none"/>
                <w:lang w:val="en-US" w:eastAsia="zh-CN"/>
              </w:rPr>
              <w:t>标段</w:t>
            </w:r>
          </w:p>
        </w:tc>
        <w:tc>
          <w:tcPr>
            <w:tcW w:w="920" w:type="dxa"/>
            <w:shd w:val="clear" w:color="auto" w:fill="auto"/>
            <w:vAlign w:val="center"/>
          </w:tcPr>
          <w:p w14:paraId="791AF930">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调度数据网安防设备调试服务</w:t>
            </w:r>
          </w:p>
        </w:tc>
        <w:tc>
          <w:tcPr>
            <w:tcW w:w="2990" w:type="dxa"/>
            <w:shd w:val="clear" w:color="auto" w:fill="auto"/>
            <w:noWrap/>
            <w:vAlign w:val="center"/>
          </w:tcPr>
          <w:p w14:paraId="736A9247">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对我公司调度数据网路由器、实时/非实时交换机设备，纵向加密装置、II型网络安全监测装置开展调试服务，预计14台·次，据实结算，服务结束后出具报告。</w:t>
            </w:r>
          </w:p>
        </w:tc>
        <w:tc>
          <w:tcPr>
            <w:tcW w:w="460" w:type="dxa"/>
            <w:shd w:val="clear" w:color="auto" w:fill="auto"/>
            <w:noWrap/>
            <w:vAlign w:val="center"/>
          </w:tcPr>
          <w:p w14:paraId="6BA560BE">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244BCB6E">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14</w:t>
            </w:r>
          </w:p>
        </w:tc>
        <w:tc>
          <w:tcPr>
            <w:tcW w:w="780" w:type="dxa"/>
            <w:shd w:val="clear" w:color="auto" w:fill="auto"/>
            <w:vAlign w:val="center"/>
          </w:tcPr>
          <w:p w14:paraId="4EF51E3B">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7500.00</w:t>
            </w:r>
          </w:p>
        </w:tc>
        <w:tc>
          <w:tcPr>
            <w:tcW w:w="840" w:type="dxa"/>
            <w:shd w:val="clear" w:color="auto" w:fill="auto"/>
            <w:vAlign w:val="center"/>
          </w:tcPr>
          <w:p w14:paraId="3F23C4A6">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105000.00</w:t>
            </w:r>
          </w:p>
        </w:tc>
        <w:tc>
          <w:tcPr>
            <w:tcW w:w="820" w:type="dxa"/>
            <w:vMerge w:val="restart"/>
            <w:shd w:val="clear" w:color="auto" w:fill="auto"/>
            <w:vAlign w:val="center"/>
          </w:tcPr>
          <w:p w14:paraId="7B870D5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113500.00</w:t>
            </w:r>
          </w:p>
        </w:tc>
        <w:tc>
          <w:tcPr>
            <w:tcW w:w="720" w:type="dxa"/>
            <w:vMerge w:val="restart"/>
            <w:shd w:val="clear" w:color="auto" w:fill="auto"/>
            <w:vAlign w:val="center"/>
          </w:tcPr>
          <w:p w14:paraId="662FD06F">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合同签订之日起至2025年12月10日</w:t>
            </w:r>
          </w:p>
        </w:tc>
        <w:tc>
          <w:tcPr>
            <w:tcW w:w="700" w:type="dxa"/>
            <w:vMerge w:val="restart"/>
            <w:shd w:val="clear" w:color="auto" w:fill="auto"/>
            <w:vAlign w:val="center"/>
          </w:tcPr>
          <w:p w14:paraId="5AB1E7F6">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锡林郭勒超高压供电分公司及所辖变电站</w:t>
            </w:r>
          </w:p>
        </w:tc>
        <w:tc>
          <w:tcPr>
            <w:tcW w:w="700" w:type="dxa"/>
            <w:vMerge w:val="restart"/>
            <w:shd w:val="clear" w:color="auto" w:fill="auto"/>
            <w:vAlign w:val="center"/>
          </w:tcPr>
          <w:p w14:paraId="7F6E6CB8">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无</w:t>
            </w:r>
          </w:p>
        </w:tc>
        <w:tc>
          <w:tcPr>
            <w:tcW w:w="3670" w:type="dxa"/>
            <w:vMerge w:val="restart"/>
            <w:shd w:val="clear" w:color="auto" w:fill="auto"/>
            <w:noWrap/>
            <w:vAlign w:val="center"/>
          </w:tcPr>
          <w:p w14:paraId="68DFAAAA">
            <w:pPr>
              <w:numPr>
                <w:ilvl w:val="0"/>
                <w:numId w:val="0"/>
              </w:numPr>
              <w:jc w:val="both"/>
              <w:rPr>
                <w:rFonts w:hint="eastAsia" w:ascii="宋体" w:hAnsi="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1.供应商需具备ISO/IEC20000信息技术服务管理体系认证证书；</w:t>
            </w:r>
          </w:p>
          <w:p w14:paraId="211E654A">
            <w:pPr>
              <w:numPr>
                <w:ilvl w:val="0"/>
                <w:numId w:val="0"/>
              </w:numPr>
              <w:jc w:val="both"/>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2.供应商需具备ISO/IEC27001信息安全管理体系认证证书（若认证证书为英文版证书，需同时提供中文版证书）。</w:t>
            </w:r>
          </w:p>
        </w:tc>
        <w:tc>
          <w:tcPr>
            <w:tcW w:w="830" w:type="dxa"/>
            <w:vMerge w:val="restart"/>
            <w:shd w:val="clear" w:color="auto" w:fill="auto"/>
            <w:noWrap/>
            <w:vAlign w:val="center"/>
          </w:tcPr>
          <w:p w14:paraId="5612AEA8">
            <w:pPr>
              <w:numPr>
                <w:ilvl w:val="0"/>
                <w:numId w:val="0"/>
              </w:numPr>
              <w:jc w:val="both"/>
              <w:rPr>
                <w:rFonts w:hint="default" w:ascii="宋体" w:hAnsi="宋体" w:cs="宋体"/>
                <w:i w:val="0"/>
                <w:iCs w:val="0"/>
                <w:color w:val="000000"/>
                <w:sz w:val="18"/>
                <w:szCs w:val="18"/>
                <w:highlight w:val="none"/>
                <w:u w:val="none"/>
                <w:lang w:val="en-US" w:eastAsia="zh-CN"/>
              </w:rPr>
            </w:pPr>
          </w:p>
        </w:tc>
      </w:tr>
      <w:tr w14:paraId="53C59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1" w:hRule="atLeast"/>
        </w:trPr>
        <w:tc>
          <w:tcPr>
            <w:tcW w:w="434" w:type="dxa"/>
            <w:vMerge w:val="continue"/>
            <w:shd w:val="clear" w:color="auto" w:fill="auto"/>
            <w:noWrap/>
            <w:vAlign w:val="center"/>
          </w:tcPr>
          <w:p w14:paraId="3C89A65D">
            <w:pPr>
              <w:jc w:val="center"/>
              <w:rPr>
                <w:rFonts w:hint="eastAsia" w:ascii="宋体" w:hAnsi="宋体" w:eastAsia="宋体" w:cs="宋体"/>
                <w:i w:val="0"/>
                <w:iCs w:val="0"/>
                <w:color w:val="000000"/>
                <w:sz w:val="18"/>
                <w:szCs w:val="18"/>
                <w:u w:val="none"/>
                <w:lang w:val="en-US" w:eastAsia="zh-CN"/>
              </w:rPr>
            </w:pPr>
          </w:p>
        </w:tc>
        <w:tc>
          <w:tcPr>
            <w:tcW w:w="463" w:type="dxa"/>
            <w:vMerge w:val="continue"/>
            <w:shd w:val="clear" w:color="auto" w:fill="auto"/>
            <w:noWrap/>
            <w:vAlign w:val="center"/>
          </w:tcPr>
          <w:p w14:paraId="28CDBC39">
            <w:pPr>
              <w:jc w:val="center"/>
              <w:rPr>
                <w:rFonts w:hint="eastAsia" w:ascii="宋体" w:hAnsi="宋体" w:eastAsia="宋体" w:cs="宋体"/>
                <w:i w:val="0"/>
                <w:iCs w:val="0"/>
                <w:color w:val="000000"/>
                <w:sz w:val="18"/>
                <w:szCs w:val="18"/>
                <w:u w:val="none"/>
              </w:rPr>
            </w:pPr>
          </w:p>
        </w:tc>
        <w:tc>
          <w:tcPr>
            <w:tcW w:w="920" w:type="dxa"/>
            <w:shd w:val="clear" w:color="auto" w:fill="auto"/>
            <w:vAlign w:val="center"/>
          </w:tcPr>
          <w:p w14:paraId="7C0C8ACD">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调度数据网网安告警监测分析服务</w:t>
            </w:r>
          </w:p>
        </w:tc>
        <w:tc>
          <w:tcPr>
            <w:tcW w:w="2990" w:type="dxa"/>
            <w:shd w:val="clear" w:color="auto" w:fill="auto"/>
            <w:noWrap/>
            <w:vAlign w:val="center"/>
          </w:tcPr>
          <w:p w14:paraId="190F0B67">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按月对我公司网安告警信息进行原因分析及解决方案出具，预计每月1次，全年预计10次，据实结算，服务结束后出具报告。</w:t>
            </w:r>
          </w:p>
        </w:tc>
        <w:tc>
          <w:tcPr>
            <w:tcW w:w="460" w:type="dxa"/>
            <w:shd w:val="clear" w:color="auto" w:fill="auto"/>
            <w:noWrap/>
            <w:vAlign w:val="center"/>
          </w:tcPr>
          <w:p w14:paraId="3A2E4F0A">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71A37496">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10</w:t>
            </w:r>
          </w:p>
        </w:tc>
        <w:tc>
          <w:tcPr>
            <w:tcW w:w="780" w:type="dxa"/>
            <w:shd w:val="clear" w:color="auto" w:fill="auto"/>
            <w:vAlign w:val="center"/>
          </w:tcPr>
          <w:p w14:paraId="6017D4A8">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850.00</w:t>
            </w:r>
          </w:p>
        </w:tc>
        <w:tc>
          <w:tcPr>
            <w:tcW w:w="840" w:type="dxa"/>
            <w:shd w:val="clear" w:color="auto" w:fill="auto"/>
            <w:vAlign w:val="center"/>
          </w:tcPr>
          <w:p w14:paraId="12C93762">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8500.00</w:t>
            </w:r>
          </w:p>
        </w:tc>
        <w:tc>
          <w:tcPr>
            <w:tcW w:w="820" w:type="dxa"/>
            <w:vMerge w:val="continue"/>
            <w:shd w:val="clear" w:color="auto" w:fill="auto"/>
            <w:vAlign w:val="center"/>
          </w:tcPr>
          <w:p w14:paraId="39F25F0B">
            <w:pPr>
              <w:jc w:val="center"/>
              <w:rPr>
                <w:rFonts w:hint="eastAsia" w:ascii="宋体" w:hAnsi="宋体" w:eastAsia="宋体" w:cs="宋体"/>
                <w:i w:val="0"/>
                <w:iCs w:val="0"/>
                <w:color w:val="000000"/>
                <w:sz w:val="18"/>
                <w:szCs w:val="18"/>
                <w:u w:val="none"/>
              </w:rPr>
            </w:pPr>
          </w:p>
        </w:tc>
        <w:tc>
          <w:tcPr>
            <w:tcW w:w="720" w:type="dxa"/>
            <w:vMerge w:val="continue"/>
            <w:shd w:val="clear" w:color="auto" w:fill="auto"/>
            <w:vAlign w:val="center"/>
          </w:tcPr>
          <w:p w14:paraId="69637E9C">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2EEAECAB">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2296DEB9">
            <w:pPr>
              <w:jc w:val="center"/>
              <w:rPr>
                <w:rFonts w:hint="eastAsia" w:ascii="宋体" w:hAnsi="宋体" w:eastAsia="宋体" w:cs="宋体"/>
                <w:i w:val="0"/>
                <w:iCs w:val="0"/>
                <w:color w:val="000000"/>
                <w:sz w:val="18"/>
                <w:szCs w:val="18"/>
                <w:u w:val="none"/>
              </w:rPr>
            </w:pPr>
          </w:p>
        </w:tc>
        <w:tc>
          <w:tcPr>
            <w:tcW w:w="3670" w:type="dxa"/>
            <w:vMerge w:val="continue"/>
            <w:shd w:val="clear" w:color="auto" w:fill="auto"/>
            <w:noWrap/>
            <w:vAlign w:val="center"/>
          </w:tcPr>
          <w:p w14:paraId="45FA11F1">
            <w:pPr>
              <w:jc w:val="center"/>
              <w:rPr>
                <w:rFonts w:hint="eastAsia" w:ascii="宋体" w:hAnsi="宋体" w:eastAsia="宋体" w:cs="宋体"/>
                <w:i w:val="0"/>
                <w:iCs w:val="0"/>
                <w:color w:val="000000"/>
                <w:sz w:val="18"/>
                <w:szCs w:val="18"/>
                <w:u w:val="none"/>
              </w:rPr>
            </w:pPr>
          </w:p>
        </w:tc>
        <w:tc>
          <w:tcPr>
            <w:tcW w:w="830" w:type="dxa"/>
            <w:vMerge w:val="continue"/>
            <w:shd w:val="clear" w:color="auto" w:fill="auto"/>
            <w:noWrap/>
            <w:vAlign w:val="center"/>
          </w:tcPr>
          <w:p w14:paraId="6F86BA39">
            <w:pPr>
              <w:jc w:val="center"/>
              <w:rPr>
                <w:rFonts w:hint="eastAsia" w:ascii="宋体" w:hAnsi="宋体" w:eastAsia="宋体" w:cs="宋体"/>
                <w:i w:val="0"/>
                <w:iCs w:val="0"/>
                <w:color w:val="000000"/>
                <w:sz w:val="18"/>
                <w:szCs w:val="18"/>
                <w:u w:val="none"/>
              </w:rPr>
            </w:pPr>
          </w:p>
        </w:tc>
      </w:tr>
      <w:tr w14:paraId="76EF9C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0" w:hRule="atLeast"/>
        </w:trPr>
        <w:tc>
          <w:tcPr>
            <w:tcW w:w="434" w:type="dxa"/>
            <w:shd w:val="clear" w:color="auto" w:fill="auto"/>
            <w:noWrap/>
            <w:vAlign w:val="center"/>
          </w:tcPr>
          <w:p w14:paraId="7F046651">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3</w:t>
            </w:r>
          </w:p>
        </w:tc>
        <w:tc>
          <w:tcPr>
            <w:tcW w:w="463" w:type="dxa"/>
            <w:shd w:val="clear" w:color="auto" w:fill="auto"/>
            <w:noWrap/>
            <w:vAlign w:val="center"/>
          </w:tcPr>
          <w:p w14:paraId="5A5AF8E7">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三</w:t>
            </w:r>
            <w:r>
              <w:rPr>
                <w:rFonts w:hint="eastAsia" w:ascii="宋体" w:hAnsi="宋体" w:eastAsia="宋体" w:cs="宋体"/>
                <w:i w:val="0"/>
                <w:iCs w:val="0"/>
                <w:color w:val="000000"/>
                <w:sz w:val="18"/>
                <w:szCs w:val="18"/>
                <w:u w:val="none"/>
                <w:lang w:val="en-US" w:eastAsia="zh-CN"/>
              </w:rPr>
              <w:t>标段</w:t>
            </w:r>
          </w:p>
        </w:tc>
        <w:tc>
          <w:tcPr>
            <w:tcW w:w="920" w:type="dxa"/>
            <w:shd w:val="clear" w:color="auto" w:fill="auto"/>
            <w:vAlign w:val="center"/>
          </w:tcPr>
          <w:p w14:paraId="79FB81F5">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生产调度楼出局光缆维保服务</w:t>
            </w:r>
          </w:p>
        </w:tc>
        <w:tc>
          <w:tcPr>
            <w:tcW w:w="2990" w:type="dxa"/>
            <w:shd w:val="clear" w:color="auto" w:fill="auto"/>
            <w:noWrap/>
            <w:vAlign w:val="center"/>
          </w:tcPr>
          <w:p w14:paraId="71CE2CB4">
            <w:pPr>
              <w:keepNext w:val="0"/>
              <w:keepLines w:val="0"/>
              <w:pageBreakBefore w:val="0"/>
              <w:widowControl/>
              <w:suppressLineNumbers w:val="0"/>
              <w:kinsoku/>
              <w:wordWrap/>
              <w:overflowPunct/>
              <w:topLinePunct w:val="0"/>
              <w:autoSpaceDE/>
              <w:autoSpaceDN/>
              <w:bidi w:val="0"/>
              <w:adjustRightInd/>
              <w:snapToGrid/>
              <w:jc w:val="left"/>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1.日常巡检：针对3条出局光缆每季度进行1次光缆接续盒、余缆架、金具的巡视、紧固、清洁、更换等维护工作，全长共计45.2km。</w:t>
            </w:r>
            <w:r>
              <w:rPr>
                <w:rFonts w:hint="eastAsia" w:ascii="宋体" w:hAnsi="宋体" w:eastAsia="宋体" w:cs="宋体"/>
                <w:i w:val="0"/>
                <w:iCs w:val="0"/>
                <w:color w:val="000000"/>
                <w:sz w:val="18"/>
                <w:szCs w:val="18"/>
                <w:u w:val="none"/>
                <w:lang w:val="en-US" w:eastAsia="zh-CN"/>
              </w:rPr>
              <w:br w:type="textWrapping"/>
            </w:r>
            <w:r>
              <w:rPr>
                <w:rFonts w:hint="eastAsia" w:ascii="宋体" w:hAnsi="宋体" w:eastAsia="宋体" w:cs="宋体"/>
                <w:i w:val="0"/>
                <w:iCs w:val="0"/>
                <w:color w:val="000000"/>
                <w:sz w:val="18"/>
                <w:szCs w:val="18"/>
                <w:u w:val="none"/>
                <w:lang w:val="en-US" w:eastAsia="zh-CN"/>
              </w:rPr>
              <w:t>2.缺陷处置：光缆线路存在缺陷时，施工方需在缺陷处理规定时间内完成缺陷处置，检修材料甲供，施工由乙方无偿提供。</w:t>
            </w:r>
            <w:r>
              <w:rPr>
                <w:rFonts w:hint="eastAsia" w:ascii="宋体" w:hAnsi="宋体" w:eastAsia="宋体" w:cs="宋体"/>
                <w:i w:val="0"/>
                <w:iCs w:val="0"/>
                <w:color w:val="000000"/>
                <w:sz w:val="18"/>
                <w:szCs w:val="18"/>
                <w:u w:val="none"/>
                <w:lang w:val="en-US" w:eastAsia="zh-CN"/>
              </w:rPr>
              <w:br w:type="textWrapping"/>
            </w:r>
            <w:r>
              <w:rPr>
                <w:rFonts w:hint="eastAsia" w:ascii="宋体" w:hAnsi="宋体" w:eastAsia="宋体" w:cs="宋体"/>
                <w:i w:val="0"/>
                <w:iCs w:val="0"/>
                <w:color w:val="000000"/>
                <w:sz w:val="18"/>
                <w:szCs w:val="18"/>
                <w:u w:val="none"/>
                <w:lang w:val="en-US" w:eastAsia="zh-CN"/>
              </w:rPr>
              <w:t>3.应急处置：光缆线路发生故障时，施工方需在2小时内到达故障设备现场进行故障处理，检修材料甲供，施工由乙方无偿提供。</w:t>
            </w:r>
            <w:r>
              <w:rPr>
                <w:rFonts w:hint="eastAsia" w:ascii="宋体" w:hAnsi="宋体" w:eastAsia="宋体" w:cs="宋体"/>
                <w:i w:val="0"/>
                <w:iCs w:val="0"/>
                <w:color w:val="000000"/>
                <w:sz w:val="18"/>
                <w:szCs w:val="18"/>
                <w:u w:val="none"/>
                <w:lang w:val="en-US" w:eastAsia="zh-CN"/>
              </w:rPr>
              <w:br w:type="textWrapping"/>
            </w:r>
            <w:r>
              <w:rPr>
                <w:rFonts w:hint="eastAsia" w:ascii="宋体" w:hAnsi="宋体" w:eastAsia="宋体" w:cs="宋体"/>
                <w:i w:val="0"/>
                <w:iCs w:val="0"/>
                <w:color w:val="000000"/>
                <w:sz w:val="18"/>
                <w:szCs w:val="18"/>
                <w:u w:val="none"/>
                <w:lang w:val="en-US" w:eastAsia="zh-CN"/>
              </w:rPr>
              <w:t>4.每次维护工作结束后，出具相关报告。</w:t>
            </w:r>
          </w:p>
        </w:tc>
        <w:tc>
          <w:tcPr>
            <w:tcW w:w="460" w:type="dxa"/>
            <w:shd w:val="clear" w:color="auto" w:fill="auto"/>
            <w:noWrap/>
            <w:vAlign w:val="center"/>
          </w:tcPr>
          <w:p w14:paraId="38EB0767">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1BC2E351">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4</w:t>
            </w:r>
          </w:p>
        </w:tc>
        <w:tc>
          <w:tcPr>
            <w:tcW w:w="780" w:type="dxa"/>
            <w:shd w:val="clear" w:color="auto" w:fill="auto"/>
            <w:vAlign w:val="center"/>
          </w:tcPr>
          <w:p w14:paraId="473DEC6F">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45200</w:t>
            </w:r>
          </w:p>
        </w:tc>
        <w:tc>
          <w:tcPr>
            <w:tcW w:w="840" w:type="dxa"/>
            <w:shd w:val="clear" w:color="auto" w:fill="auto"/>
            <w:vAlign w:val="center"/>
          </w:tcPr>
          <w:p w14:paraId="29A4A090">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180800.00 </w:t>
            </w:r>
          </w:p>
        </w:tc>
        <w:tc>
          <w:tcPr>
            <w:tcW w:w="820" w:type="dxa"/>
            <w:shd w:val="clear" w:color="auto" w:fill="auto"/>
            <w:vAlign w:val="center"/>
          </w:tcPr>
          <w:p w14:paraId="32D164AD">
            <w:pPr>
              <w:jc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lang w:val="en-US" w:eastAsia="zh-CN"/>
              </w:rPr>
              <w:t xml:space="preserve">180800.00 </w:t>
            </w:r>
          </w:p>
        </w:tc>
        <w:tc>
          <w:tcPr>
            <w:tcW w:w="720" w:type="dxa"/>
            <w:shd w:val="clear" w:color="auto" w:fill="auto"/>
            <w:vAlign w:val="center"/>
          </w:tcPr>
          <w:p w14:paraId="02C95850">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合同签订之日起至2025年12月10日</w:t>
            </w:r>
          </w:p>
        </w:tc>
        <w:tc>
          <w:tcPr>
            <w:tcW w:w="700" w:type="dxa"/>
            <w:shd w:val="clear" w:color="auto" w:fill="auto"/>
            <w:vAlign w:val="center"/>
          </w:tcPr>
          <w:p w14:paraId="766E6C4C">
            <w:pPr>
              <w:jc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锡林郭勒超高压供电分公司及所辖生产调度楼出局光缆</w:t>
            </w:r>
          </w:p>
        </w:tc>
        <w:tc>
          <w:tcPr>
            <w:tcW w:w="700" w:type="dxa"/>
            <w:shd w:val="clear" w:color="auto" w:fill="auto"/>
            <w:vAlign w:val="center"/>
          </w:tcPr>
          <w:p w14:paraId="1983B369">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无</w:t>
            </w:r>
          </w:p>
        </w:tc>
        <w:tc>
          <w:tcPr>
            <w:tcW w:w="3670" w:type="dxa"/>
            <w:shd w:val="clear" w:color="auto" w:fill="auto"/>
            <w:noWrap/>
            <w:vAlign w:val="center"/>
          </w:tcPr>
          <w:p w14:paraId="560A8B1D">
            <w:pPr>
              <w:numPr>
                <w:ilvl w:val="0"/>
                <w:numId w:val="0"/>
              </w:numPr>
              <w:jc w:val="both"/>
              <w:rPr>
                <w:rFonts w:hint="eastAsia" w:ascii="宋体" w:hAnsi="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1.供应商具有电力工程施工总承包乙级及以上或输变电工程专业承包乙级及以上资质（以上资质为住建部最新资质要求（2020年11月30日建市〔2020〕94号《住房和城乡建设部关于印发建设工程企业资质管理制度改革方案的通知》），如供应商还未申办以上资质，供应商须具有建设行政主管部门核发的电力施工总承包二级及以上资质或输变电工程专业承包二级及以上资质，证书在有效期内；</w:t>
            </w:r>
          </w:p>
          <w:p w14:paraId="0FA004EC">
            <w:pPr>
              <w:numPr>
                <w:ilvl w:val="0"/>
                <w:numId w:val="0"/>
              </w:numPr>
              <w:jc w:val="both"/>
              <w:rPr>
                <w:rFonts w:hint="eastAsia" w:ascii="宋体" w:hAnsi="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2.供应商具有承装(修、试)电力设施许可证承装、承修二级及以上资质证书；</w:t>
            </w:r>
          </w:p>
          <w:p w14:paraId="061F8993">
            <w:pPr>
              <w:numPr>
                <w:ilvl w:val="0"/>
                <w:numId w:val="0"/>
              </w:numPr>
              <w:jc w:val="both"/>
              <w:rPr>
                <w:rFonts w:hint="eastAsia" w:ascii="宋体" w:hAnsi="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3.供应商需具有有效期内的安全生产许可证</w:t>
            </w:r>
          </w:p>
          <w:p w14:paraId="4C7D40FA">
            <w:pPr>
              <w:numPr>
                <w:ilvl w:val="0"/>
                <w:numId w:val="0"/>
              </w:numPr>
              <w:jc w:val="both"/>
              <w:rPr>
                <w:rFonts w:hint="eastAsia" w:ascii="宋体" w:hAnsi="宋体" w:eastAsia="宋体" w:cs="宋体"/>
                <w:i w:val="0"/>
                <w:iCs w:val="0"/>
                <w:color w:val="000000"/>
                <w:sz w:val="18"/>
                <w:szCs w:val="18"/>
                <w:u w:val="none"/>
              </w:rPr>
            </w:pPr>
            <w:r>
              <w:rPr>
                <w:rFonts w:hint="eastAsia" w:ascii="宋体" w:hAnsi="宋体" w:cs="宋体"/>
                <w:i w:val="0"/>
                <w:iCs w:val="0"/>
                <w:color w:val="000000"/>
                <w:sz w:val="18"/>
                <w:szCs w:val="18"/>
                <w:u w:val="none"/>
                <w:lang w:val="en-US" w:eastAsia="zh-CN"/>
              </w:rPr>
              <w:t>4.作业人员具有特种作业证书（低压电工、高压电工)、以及登高作业资质不少于6人（提供承诺书，无需提供证书扫描件）。</w:t>
            </w:r>
          </w:p>
        </w:tc>
        <w:tc>
          <w:tcPr>
            <w:tcW w:w="830" w:type="dxa"/>
            <w:shd w:val="clear" w:color="auto" w:fill="auto"/>
            <w:noWrap/>
            <w:vAlign w:val="center"/>
          </w:tcPr>
          <w:p w14:paraId="57DEFAF1">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i w:val="0"/>
                <w:iCs w:val="0"/>
                <w:color w:val="000000"/>
                <w:sz w:val="18"/>
                <w:szCs w:val="18"/>
                <w:u w:val="none"/>
                <w:lang w:val="en-US" w:eastAsia="zh-CN"/>
              </w:rPr>
            </w:pPr>
          </w:p>
        </w:tc>
      </w:tr>
      <w:tr w14:paraId="6DC96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vMerge w:val="restart"/>
            <w:shd w:val="clear" w:color="auto" w:fill="auto"/>
            <w:noWrap/>
            <w:vAlign w:val="center"/>
          </w:tcPr>
          <w:p w14:paraId="7016F9A4">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4</w:t>
            </w:r>
          </w:p>
        </w:tc>
        <w:tc>
          <w:tcPr>
            <w:tcW w:w="463" w:type="dxa"/>
            <w:vMerge w:val="restart"/>
            <w:shd w:val="clear" w:color="auto" w:fill="auto"/>
            <w:noWrap/>
            <w:vAlign w:val="center"/>
          </w:tcPr>
          <w:p w14:paraId="279563C7">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四</w:t>
            </w:r>
            <w:r>
              <w:rPr>
                <w:rFonts w:hint="eastAsia" w:ascii="宋体" w:hAnsi="宋体" w:eastAsia="宋体" w:cs="宋体"/>
                <w:i w:val="0"/>
                <w:iCs w:val="0"/>
                <w:color w:val="000000"/>
                <w:sz w:val="18"/>
                <w:szCs w:val="18"/>
                <w:u w:val="none"/>
                <w:lang w:val="en-US" w:eastAsia="zh-CN"/>
              </w:rPr>
              <w:t>标段</w:t>
            </w:r>
          </w:p>
        </w:tc>
        <w:tc>
          <w:tcPr>
            <w:tcW w:w="920" w:type="dxa"/>
            <w:vMerge w:val="restart"/>
            <w:shd w:val="clear" w:color="auto" w:fill="auto"/>
            <w:vAlign w:val="center"/>
          </w:tcPr>
          <w:p w14:paraId="2F5C9B1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数据通信网设备网管巡检服务</w:t>
            </w:r>
          </w:p>
        </w:tc>
        <w:tc>
          <w:tcPr>
            <w:tcW w:w="2990" w:type="dxa"/>
            <w:shd w:val="clear" w:color="auto" w:fill="auto"/>
            <w:noWrap/>
            <w:vAlign w:val="center"/>
          </w:tcPr>
          <w:p w14:paraId="49979607">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针对生产调度楼、塔拉变电站、灰腾梁变电站、白音高勒变电站、宝拉格变电站通信机房共计27台数据通信网设备（路由器设备16台，交换机设备11台）进行网管巡检（通过网管系统进行常规性维护服务）,每季度巡检1次，预计4次，据实结算，服务结束后出具报告。</w:t>
            </w:r>
          </w:p>
        </w:tc>
        <w:tc>
          <w:tcPr>
            <w:tcW w:w="460" w:type="dxa"/>
            <w:shd w:val="clear" w:color="auto" w:fill="auto"/>
            <w:noWrap/>
            <w:vAlign w:val="center"/>
          </w:tcPr>
          <w:p w14:paraId="1AC9948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3DE569C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780" w:type="dxa"/>
            <w:shd w:val="clear" w:color="auto" w:fill="auto"/>
            <w:vAlign w:val="center"/>
          </w:tcPr>
          <w:p w14:paraId="3A44DD2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14850</w:t>
            </w:r>
          </w:p>
        </w:tc>
        <w:tc>
          <w:tcPr>
            <w:tcW w:w="840" w:type="dxa"/>
            <w:shd w:val="clear" w:color="auto" w:fill="auto"/>
            <w:vAlign w:val="center"/>
          </w:tcPr>
          <w:p w14:paraId="6D70434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59400.00 </w:t>
            </w:r>
          </w:p>
        </w:tc>
        <w:tc>
          <w:tcPr>
            <w:tcW w:w="820" w:type="dxa"/>
            <w:vMerge w:val="restart"/>
            <w:shd w:val="clear" w:color="auto" w:fill="auto"/>
            <w:vAlign w:val="center"/>
          </w:tcPr>
          <w:p w14:paraId="6C77C8A6">
            <w:pPr>
              <w:jc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rPr>
              <w:t>105050.00</w:t>
            </w:r>
          </w:p>
        </w:tc>
        <w:tc>
          <w:tcPr>
            <w:tcW w:w="720" w:type="dxa"/>
            <w:vMerge w:val="restart"/>
            <w:shd w:val="clear" w:color="auto" w:fill="auto"/>
            <w:vAlign w:val="center"/>
          </w:tcPr>
          <w:p w14:paraId="72C37406">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合同签订之日起至2025年12月10日</w:t>
            </w:r>
          </w:p>
        </w:tc>
        <w:tc>
          <w:tcPr>
            <w:tcW w:w="700" w:type="dxa"/>
            <w:vMerge w:val="restart"/>
            <w:shd w:val="clear" w:color="auto" w:fill="auto"/>
            <w:vAlign w:val="center"/>
          </w:tcPr>
          <w:p w14:paraId="7095DB4F">
            <w:pPr>
              <w:jc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锡林郭勒超高压供电分公司及所辖6个变电站</w:t>
            </w:r>
          </w:p>
        </w:tc>
        <w:tc>
          <w:tcPr>
            <w:tcW w:w="700" w:type="dxa"/>
            <w:vMerge w:val="restart"/>
            <w:shd w:val="clear" w:color="auto" w:fill="auto"/>
            <w:vAlign w:val="center"/>
          </w:tcPr>
          <w:p w14:paraId="37378713">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无</w:t>
            </w:r>
          </w:p>
        </w:tc>
        <w:tc>
          <w:tcPr>
            <w:tcW w:w="3670" w:type="dxa"/>
            <w:vMerge w:val="restart"/>
            <w:shd w:val="clear" w:color="auto" w:fill="auto"/>
            <w:noWrap/>
            <w:vAlign w:val="center"/>
          </w:tcPr>
          <w:p w14:paraId="322B280A">
            <w:pPr>
              <w:jc w:val="left"/>
              <w:rPr>
                <w:rFonts w:hint="eastAsia" w:ascii="宋体" w:hAnsi="宋体" w:cs="宋体"/>
                <w:i w:val="0"/>
                <w:iCs w:val="0"/>
                <w:color w:val="000000"/>
                <w:sz w:val="18"/>
                <w:szCs w:val="18"/>
                <w:highlight w:val="none"/>
                <w:u w:val="none"/>
                <w:lang w:val="en-US" w:eastAsia="zh-CN"/>
              </w:rPr>
            </w:pPr>
            <w:r>
              <w:rPr>
                <w:rFonts w:hint="eastAsia" w:ascii="宋体" w:hAnsi="宋体" w:cs="宋体"/>
                <w:i w:val="0"/>
                <w:iCs w:val="0"/>
                <w:color w:val="000000"/>
                <w:sz w:val="18"/>
                <w:szCs w:val="18"/>
                <w:highlight w:val="none"/>
                <w:u w:val="none"/>
                <w:lang w:val="en-US" w:eastAsia="zh-CN"/>
              </w:rPr>
              <w:t>1.供应商具有的由权威机关颁发的ISO-9000系列的体系认证证书；</w:t>
            </w:r>
          </w:p>
          <w:p w14:paraId="20D51B24">
            <w:pPr>
              <w:jc w:val="left"/>
              <w:rPr>
                <w:rFonts w:hint="eastAsia" w:ascii="宋体" w:hAnsi="宋体" w:cs="宋体"/>
                <w:i w:val="0"/>
                <w:iCs w:val="0"/>
                <w:color w:val="000000"/>
                <w:sz w:val="18"/>
                <w:szCs w:val="18"/>
                <w:highlight w:val="none"/>
                <w:u w:val="none"/>
                <w:lang w:val="en-US" w:eastAsia="zh-CN"/>
              </w:rPr>
            </w:pPr>
            <w:r>
              <w:rPr>
                <w:rFonts w:hint="eastAsia" w:ascii="宋体" w:hAnsi="宋体" w:cs="宋体"/>
                <w:i w:val="0"/>
                <w:iCs w:val="0"/>
                <w:color w:val="000000"/>
                <w:sz w:val="18"/>
                <w:szCs w:val="18"/>
                <w:highlight w:val="none"/>
                <w:u w:val="none"/>
                <w:lang w:val="en-US" w:eastAsia="zh-CN"/>
              </w:rPr>
              <w:t>2.供应商应具备三级及以上ITSS信息技术服务运行维护标准符合性证书；</w:t>
            </w:r>
          </w:p>
          <w:p w14:paraId="51FF3925">
            <w:pPr>
              <w:jc w:val="left"/>
              <w:rPr>
                <w:rFonts w:hint="default"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highlight w:val="none"/>
                <w:u w:val="none"/>
                <w:lang w:val="en-US" w:eastAsia="zh-CN"/>
              </w:rPr>
              <w:t>3.投标方应具备CS2级及以上信息系统建设和服务能力等级证书。</w:t>
            </w:r>
          </w:p>
        </w:tc>
        <w:tc>
          <w:tcPr>
            <w:tcW w:w="830" w:type="dxa"/>
            <w:vMerge w:val="restart"/>
            <w:shd w:val="clear" w:color="auto" w:fill="auto"/>
            <w:noWrap/>
            <w:vAlign w:val="center"/>
          </w:tcPr>
          <w:p w14:paraId="4971D830">
            <w:pPr>
              <w:jc w:val="center"/>
              <w:rPr>
                <w:rFonts w:hint="default" w:ascii="宋体" w:hAnsi="宋体" w:cs="宋体"/>
                <w:i w:val="0"/>
                <w:iCs w:val="0"/>
                <w:color w:val="000000"/>
                <w:sz w:val="18"/>
                <w:szCs w:val="18"/>
                <w:highlight w:val="none"/>
                <w:u w:val="none"/>
                <w:lang w:val="en-US" w:eastAsia="zh-CN"/>
              </w:rPr>
            </w:pPr>
          </w:p>
        </w:tc>
      </w:tr>
      <w:tr w14:paraId="69554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0" w:hRule="atLeast"/>
        </w:trPr>
        <w:tc>
          <w:tcPr>
            <w:tcW w:w="434" w:type="dxa"/>
            <w:vMerge w:val="continue"/>
            <w:shd w:val="clear" w:color="auto" w:fill="auto"/>
            <w:noWrap/>
            <w:vAlign w:val="center"/>
          </w:tcPr>
          <w:p w14:paraId="741934A5">
            <w:pPr>
              <w:jc w:val="center"/>
              <w:rPr>
                <w:rFonts w:hint="eastAsia" w:ascii="宋体" w:hAnsi="宋体" w:eastAsia="宋体" w:cs="宋体"/>
                <w:i w:val="0"/>
                <w:iCs w:val="0"/>
                <w:color w:val="000000"/>
                <w:sz w:val="18"/>
                <w:szCs w:val="18"/>
                <w:u w:val="none"/>
              </w:rPr>
            </w:pPr>
          </w:p>
        </w:tc>
        <w:tc>
          <w:tcPr>
            <w:tcW w:w="463" w:type="dxa"/>
            <w:vMerge w:val="continue"/>
            <w:shd w:val="clear" w:color="auto" w:fill="auto"/>
            <w:noWrap/>
            <w:vAlign w:val="center"/>
          </w:tcPr>
          <w:p w14:paraId="47C13A58">
            <w:pPr>
              <w:jc w:val="center"/>
              <w:rPr>
                <w:rFonts w:hint="eastAsia" w:ascii="宋体" w:hAnsi="宋体" w:eastAsia="宋体" w:cs="宋体"/>
                <w:i w:val="0"/>
                <w:iCs w:val="0"/>
                <w:color w:val="000000"/>
                <w:sz w:val="18"/>
                <w:szCs w:val="18"/>
                <w:u w:val="none"/>
              </w:rPr>
            </w:pPr>
          </w:p>
        </w:tc>
        <w:tc>
          <w:tcPr>
            <w:tcW w:w="920" w:type="dxa"/>
            <w:vMerge w:val="continue"/>
            <w:shd w:val="clear" w:color="auto" w:fill="auto"/>
            <w:vAlign w:val="center"/>
          </w:tcPr>
          <w:p w14:paraId="540024B7">
            <w:pPr>
              <w:jc w:val="center"/>
              <w:rPr>
                <w:rFonts w:hint="eastAsia" w:ascii="宋体" w:hAnsi="宋体" w:eastAsia="宋体" w:cs="宋体"/>
                <w:i w:val="0"/>
                <w:iCs w:val="0"/>
                <w:color w:val="000000"/>
                <w:sz w:val="18"/>
                <w:szCs w:val="18"/>
                <w:u w:val="none"/>
              </w:rPr>
            </w:pPr>
          </w:p>
        </w:tc>
        <w:tc>
          <w:tcPr>
            <w:tcW w:w="2990" w:type="dxa"/>
            <w:shd w:val="clear" w:color="auto" w:fill="auto"/>
            <w:noWrap/>
            <w:vAlign w:val="center"/>
          </w:tcPr>
          <w:p w14:paraId="12348F5C">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德义变电站1台设备于2025年6月份过质保期，预计7月份开展巡检服务（通过网管系统进行常规性维护服务），每季度巡检1次，预计2次，据实结算，服务结束后出具报告。</w:t>
            </w:r>
          </w:p>
        </w:tc>
        <w:tc>
          <w:tcPr>
            <w:tcW w:w="460" w:type="dxa"/>
            <w:shd w:val="clear" w:color="auto" w:fill="auto"/>
            <w:noWrap/>
            <w:vAlign w:val="center"/>
          </w:tcPr>
          <w:p w14:paraId="033C051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1D8B46A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780" w:type="dxa"/>
            <w:shd w:val="clear" w:color="auto" w:fill="auto"/>
            <w:vAlign w:val="center"/>
          </w:tcPr>
          <w:p w14:paraId="79D3808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550</w:t>
            </w:r>
          </w:p>
        </w:tc>
        <w:tc>
          <w:tcPr>
            <w:tcW w:w="840" w:type="dxa"/>
            <w:shd w:val="clear" w:color="auto" w:fill="auto"/>
            <w:vAlign w:val="center"/>
          </w:tcPr>
          <w:p w14:paraId="4A131A4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1100.00 </w:t>
            </w:r>
          </w:p>
        </w:tc>
        <w:tc>
          <w:tcPr>
            <w:tcW w:w="820" w:type="dxa"/>
            <w:vMerge w:val="continue"/>
            <w:shd w:val="clear" w:color="auto" w:fill="auto"/>
            <w:vAlign w:val="center"/>
          </w:tcPr>
          <w:p w14:paraId="5965E4B3">
            <w:pPr>
              <w:jc w:val="center"/>
              <w:rPr>
                <w:rFonts w:hint="eastAsia" w:ascii="宋体" w:hAnsi="宋体" w:eastAsia="宋体" w:cs="宋体"/>
                <w:i w:val="0"/>
                <w:iCs w:val="0"/>
                <w:color w:val="000000"/>
                <w:sz w:val="18"/>
                <w:szCs w:val="18"/>
                <w:u w:val="none"/>
              </w:rPr>
            </w:pPr>
          </w:p>
        </w:tc>
        <w:tc>
          <w:tcPr>
            <w:tcW w:w="720" w:type="dxa"/>
            <w:vMerge w:val="continue"/>
            <w:shd w:val="clear" w:color="auto" w:fill="auto"/>
            <w:vAlign w:val="center"/>
          </w:tcPr>
          <w:p w14:paraId="310A093A">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4C4231C0">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3A2644CD">
            <w:pPr>
              <w:jc w:val="center"/>
              <w:rPr>
                <w:rFonts w:hint="eastAsia" w:ascii="宋体" w:hAnsi="宋体" w:eastAsia="宋体" w:cs="宋体"/>
                <w:i w:val="0"/>
                <w:iCs w:val="0"/>
                <w:color w:val="000000"/>
                <w:sz w:val="18"/>
                <w:szCs w:val="18"/>
                <w:u w:val="none"/>
              </w:rPr>
            </w:pPr>
          </w:p>
        </w:tc>
        <w:tc>
          <w:tcPr>
            <w:tcW w:w="3670" w:type="dxa"/>
            <w:vMerge w:val="continue"/>
            <w:shd w:val="clear" w:color="auto" w:fill="auto"/>
            <w:noWrap/>
            <w:vAlign w:val="center"/>
          </w:tcPr>
          <w:p w14:paraId="65CCE779">
            <w:pPr>
              <w:jc w:val="center"/>
              <w:rPr>
                <w:rFonts w:hint="eastAsia" w:ascii="宋体" w:hAnsi="宋体" w:eastAsia="宋体" w:cs="宋体"/>
                <w:i w:val="0"/>
                <w:iCs w:val="0"/>
                <w:color w:val="000000"/>
                <w:sz w:val="18"/>
                <w:szCs w:val="18"/>
                <w:u w:val="none"/>
              </w:rPr>
            </w:pPr>
          </w:p>
        </w:tc>
        <w:tc>
          <w:tcPr>
            <w:tcW w:w="830" w:type="dxa"/>
            <w:vMerge w:val="continue"/>
            <w:shd w:val="clear" w:color="auto" w:fill="auto"/>
            <w:noWrap/>
            <w:vAlign w:val="center"/>
          </w:tcPr>
          <w:p w14:paraId="5EF8B980">
            <w:pPr>
              <w:jc w:val="center"/>
              <w:rPr>
                <w:rFonts w:hint="eastAsia" w:ascii="宋体" w:hAnsi="宋体" w:eastAsia="宋体" w:cs="宋体"/>
                <w:i w:val="0"/>
                <w:iCs w:val="0"/>
                <w:color w:val="000000"/>
                <w:sz w:val="18"/>
                <w:szCs w:val="18"/>
                <w:u w:val="none"/>
              </w:rPr>
            </w:pPr>
          </w:p>
        </w:tc>
      </w:tr>
      <w:tr w14:paraId="7A084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0" w:hRule="atLeast"/>
        </w:trPr>
        <w:tc>
          <w:tcPr>
            <w:tcW w:w="434" w:type="dxa"/>
            <w:vMerge w:val="continue"/>
            <w:shd w:val="clear" w:color="auto" w:fill="auto"/>
            <w:noWrap/>
            <w:vAlign w:val="center"/>
          </w:tcPr>
          <w:p w14:paraId="19BA2181">
            <w:pPr>
              <w:jc w:val="center"/>
              <w:rPr>
                <w:rFonts w:hint="eastAsia" w:ascii="宋体" w:hAnsi="宋体" w:eastAsia="宋体" w:cs="宋体"/>
                <w:i w:val="0"/>
                <w:iCs w:val="0"/>
                <w:color w:val="000000"/>
                <w:sz w:val="18"/>
                <w:szCs w:val="18"/>
                <w:u w:val="none"/>
              </w:rPr>
            </w:pPr>
          </w:p>
        </w:tc>
        <w:tc>
          <w:tcPr>
            <w:tcW w:w="463" w:type="dxa"/>
            <w:vMerge w:val="continue"/>
            <w:shd w:val="clear" w:color="auto" w:fill="auto"/>
            <w:noWrap/>
            <w:vAlign w:val="center"/>
          </w:tcPr>
          <w:p w14:paraId="7B6C203F">
            <w:pPr>
              <w:jc w:val="center"/>
              <w:rPr>
                <w:rFonts w:hint="eastAsia" w:ascii="宋体" w:hAnsi="宋体" w:eastAsia="宋体" w:cs="宋体"/>
                <w:i w:val="0"/>
                <w:iCs w:val="0"/>
                <w:color w:val="000000"/>
                <w:sz w:val="18"/>
                <w:szCs w:val="18"/>
                <w:u w:val="none"/>
              </w:rPr>
            </w:pPr>
          </w:p>
        </w:tc>
        <w:tc>
          <w:tcPr>
            <w:tcW w:w="920" w:type="dxa"/>
            <w:shd w:val="clear" w:color="auto" w:fill="auto"/>
            <w:vAlign w:val="center"/>
          </w:tcPr>
          <w:p w14:paraId="04DAFB5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数据通信网设备现场技术处理服务</w:t>
            </w:r>
          </w:p>
        </w:tc>
        <w:tc>
          <w:tcPr>
            <w:tcW w:w="2990" w:type="dxa"/>
            <w:shd w:val="clear" w:color="auto" w:fill="auto"/>
            <w:noWrap/>
            <w:vAlign w:val="center"/>
          </w:tcPr>
          <w:p w14:paraId="3CD791E0">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针对生产调度楼、塔拉变电站、灰腾梁变电站、白音高勒变电站、宝拉格变电站、德义变电站、锡西开关站通信机房共计28台数据通信网设备（路由器设备16台，交换机设备12台）进行现场技术处理（设备发生紧急故障的技术处理）预计全年单人进行15次技术处理。服务期内技术处理不超过15次时，需根据处理次数据实结算。如遇处理次数超15次时，厂家需无偿提供现场技术处理服务直至项目竣工。每次维护服务工作结束后，出具相关服务报告。</w:t>
            </w:r>
          </w:p>
        </w:tc>
        <w:tc>
          <w:tcPr>
            <w:tcW w:w="460" w:type="dxa"/>
            <w:shd w:val="clear" w:color="auto" w:fill="auto"/>
            <w:noWrap/>
            <w:vAlign w:val="center"/>
          </w:tcPr>
          <w:p w14:paraId="19FF1EA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0C70CC8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15</w:t>
            </w:r>
          </w:p>
        </w:tc>
        <w:tc>
          <w:tcPr>
            <w:tcW w:w="780" w:type="dxa"/>
            <w:shd w:val="clear" w:color="auto" w:fill="auto"/>
            <w:vAlign w:val="center"/>
          </w:tcPr>
          <w:p w14:paraId="125D62F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2970</w:t>
            </w:r>
          </w:p>
        </w:tc>
        <w:tc>
          <w:tcPr>
            <w:tcW w:w="840" w:type="dxa"/>
            <w:shd w:val="clear" w:color="auto" w:fill="auto"/>
            <w:vAlign w:val="center"/>
          </w:tcPr>
          <w:p w14:paraId="10C0CAF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44550.00 </w:t>
            </w:r>
          </w:p>
        </w:tc>
        <w:tc>
          <w:tcPr>
            <w:tcW w:w="820" w:type="dxa"/>
            <w:vMerge w:val="continue"/>
            <w:shd w:val="clear" w:color="auto" w:fill="auto"/>
            <w:vAlign w:val="center"/>
          </w:tcPr>
          <w:p w14:paraId="6385FC15">
            <w:pPr>
              <w:jc w:val="center"/>
              <w:rPr>
                <w:rFonts w:hint="eastAsia" w:ascii="宋体" w:hAnsi="宋体" w:eastAsia="宋体" w:cs="宋体"/>
                <w:i w:val="0"/>
                <w:iCs w:val="0"/>
                <w:color w:val="000000"/>
                <w:sz w:val="18"/>
                <w:szCs w:val="18"/>
                <w:u w:val="none"/>
              </w:rPr>
            </w:pPr>
          </w:p>
        </w:tc>
        <w:tc>
          <w:tcPr>
            <w:tcW w:w="720" w:type="dxa"/>
            <w:vMerge w:val="continue"/>
            <w:shd w:val="clear" w:color="auto" w:fill="auto"/>
            <w:vAlign w:val="center"/>
          </w:tcPr>
          <w:p w14:paraId="6EA593EB">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3889D352">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60878980">
            <w:pPr>
              <w:jc w:val="center"/>
              <w:rPr>
                <w:rFonts w:hint="eastAsia" w:ascii="宋体" w:hAnsi="宋体" w:eastAsia="宋体" w:cs="宋体"/>
                <w:i w:val="0"/>
                <w:iCs w:val="0"/>
                <w:color w:val="000000"/>
                <w:sz w:val="18"/>
                <w:szCs w:val="18"/>
                <w:u w:val="none"/>
              </w:rPr>
            </w:pPr>
          </w:p>
        </w:tc>
        <w:tc>
          <w:tcPr>
            <w:tcW w:w="3670" w:type="dxa"/>
            <w:vMerge w:val="continue"/>
            <w:shd w:val="clear" w:color="auto" w:fill="auto"/>
            <w:noWrap/>
            <w:vAlign w:val="center"/>
          </w:tcPr>
          <w:p w14:paraId="4FE32870">
            <w:pPr>
              <w:jc w:val="center"/>
              <w:rPr>
                <w:rFonts w:hint="eastAsia" w:ascii="宋体" w:hAnsi="宋体" w:eastAsia="宋体" w:cs="宋体"/>
                <w:i w:val="0"/>
                <w:iCs w:val="0"/>
                <w:color w:val="000000"/>
                <w:sz w:val="18"/>
                <w:szCs w:val="18"/>
                <w:u w:val="none"/>
              </w:rPr>
            </w:pPr>
          </w:p>
        </w:tc>
        <w:tc>
          <w:tcPr>
            <w:tcW w:w="830" w:type="dxa"/>
            <w:vMerge w:val="continue"/>
            <w:shd w:val="clear" w:color="auto" w:fill="auto"/>
            <w:noWrap/>
            <w:vAlign w:val="center"/>
          </w:tcPr>
          <w:p w14:paraId="13B06CA6">
            <w:pPr>
              <w:jc w:val="center"/>
              <w:rPr>
                <w:rFonts w:hint="eastAsia" w:ascii="宋体" w:hAnsi="宋体" w:eastAsia="宋体" w:cs="宋体"/>
                <w:i w:val="0"/>
                <w:iCs w:val="0"/>
                <w:color w:val="000000"/>
                <w:sz w:val="18"/>
                <w:szCs w:val="18"/>
                <w:u w:val="none"/>
              </w:rPr>
            </w:pPr>
          </w:p>
        </w:tc>
      </w:tr>
      <w:tr w14:paraId="04F612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0" w:hRule="atLeast"/>
        </w:trPr>
        <w:tc>
          <w:tcPr>
            <w:tcW w:w="434" w:type="dxa"/>
            <w:shd w:val="clear" w:color="auto" w:fill="auto"/>
            <w:noWrap/>
            <w:vAlign w:val="center"/>
          </w:tcPr>
          <w:p w14:paraId="7BE6356C">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5</w:t>
            </w:r>
          </w:p>
        </w:tc>
        <w:tc>
          <w:tcPr>
            <w:tcW w:w="463" w:type="dxa"/>
            <w:shd w:val="clear" w:color="auto" w:fill="auto"/>
            <w:noWrap/>
            <w:vAlign w:val="center"/>
          </w:tcPr>
          <w:p w14:paraId="62C8B6B8">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五</w:t>
            </w:r>
            <w:r>
              <w:rPr>
                <w:rFonts w:hint="eastAsia" w:ascii="宋体" w:hAnsi="宋体" w:eastAsia="宋体" w:cs="宋体"/>
                <w:i w:val="0"/>
                <w:iCs w:val="0"/>
                <w:color w:val="000000"/>
                <w:sz w:val="18"/>
                <w:szCs w:val="18"/>
                <w:u w:val="none"/>
                <w:lang w:val="en-US" w:eastAsia="zh-CN"/>
              </w:rPr>
              <w:t>标段</w:t>
            </w:r>
          </w:p>
        </w:tc>
        <w:tc>
          <w:tcPr>
            <w:tcW w:w="920" w:type="dxa"/>
            <w:shd w:val="clear" w:color="auto" w:fill="auto"/>
            <w:vAlign w:val="center"/>
          </w:tcPr>
          <w:p w14:paraId="645D3692">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所辖七座变电站内建筑物防雷检测服务</w:t>
            </w:r>
          </w:p>
        </w:tc>
        <w:tc>
          <w:tcPr>
            <w:tcW w:w="2990" w:type="dxa"/>
            <w:shd w:val="clear" w:color="auto" w:fill="auto"/>
            <w:noWrap/>
            <w:vAlign w:val="center"/>
          </w:tcPr>
          <w:p w14:paraId="757E4852">
            <w:pPr>
              <w:keepNext w:val="0"/>
              <w:keepLines w:val="0"/>
              <w:widowControl/>
              <w:suppressLineNumbers w:val="0"/>
              <w:jc w:val="left"/>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对所辖七座变电站内建筑物进行全项防雷试验，预计全年共计开展14次（每站2次），据实结算，服务结束后出具报告。</w:t>
            </w:r>
          </w:p>
        </w:tc>
        <w:tc>
          <w:tcPr>
            <w:tcW w:w="460" w:type="dxa"/>
            <w:shd w:val="clear" w:color="auto" w:fill="auto"/>
            <w:noWrap/>
            <w:vAlign w:val="center"/>
          </w:tcPr>
          <w:p w14:paraId="75659E65">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0C7B02A8">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14</w:t>
            </w:r>
          </w:p>
        </w:tc>
        <w:tc>
          <w:tcPr>
            <w:tcW w:w="780" w:type="dxa"/>
            <w:shd w:val="clear" w:color="auto" w:fill="auto"/>
            <w:vAlign w:val="center"/>
          </w:tcPr>
          <w:p w14:paraId="672C001E">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8600.00 </w:t>
            </w:r>
          </w:p>
        </w:tc>
        <w:tc>
          <w:tcPr>
            <w:tcW w:w="840" w:type="dxa"/>
            <w:shd w:val="clear" w:color="auto" w:fill="auto"/>
            <w:vAlign w:val="center"/>
          </w:tcPr>
          <w:p w14:paraId="2B49D542">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120400.00 </w:t>
            </w:r>
          </w:p>
        </w:tc>
        <w:tc>
          <w:tcPr>
            <w:tcW w:w="820" w:type="dxa"/>
            <w:shd w:val="clear" w:color="auto" w:fill="auto"/>
            <w:vAlign w:val="center"/>
          </w:tcPr>
          <w:p w14:paraId="78AEBCB9">
            <w:pPr>
              <w:jc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rPr>
              <w:t>120400.00</w:t>
            </w:r>
          </w:p>
        </w:tc>
        <w:tc>
          <w:tcPr>
            <w:tcW w:w="720" w:type="dxa"/>
            <w:shd w:val="clear" w:color="auto" w:fill="auto"/>
            <w:vAlign w:val="center"/>
          </w:tcPr>
          <w:p w14:paraId="1C63C2FC">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合同签订之日起至2025年12月10日</w:t>
            </w:r>
          </w:p>
        </w:tc>
        <w:tc>
          <w:tcPr>
            <w:tcW w:w="700" w:type="dxa"/>
            <w:shd w:val="clear" w:color="auto" w:fill="auto"/>
            <w:vAlign w:val="center"/>
          </w:tcPr>
          <w:p w14:paraId="3803AAEB">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锡林郭勒超高压供电分公司及所辖七个变电站</w:t>
            </w:r>
          </w:p>
        </w:tc>
        <w:tc>
          <w:tcPr>
            <w:tcW w:w="700" w:type="dxa"/>
            <w:shd w:val="clear" w:color="auto" w:fill="auto"/>
            <w:vAlign w:val="center"/>
          </w:tcPr>
          <w:p w14:paraId="5A171A33">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无</w:t>
            </w:r>
          </w:p>
        </w:tc>
        <w:tc>
          <w:tcPr>
            <w:tcW w:w="3670" w:type="dxa"/>
            <w:shd w:val="clear" w:color="auto" w:fill="auto"/>
            <w:noWrap/>
            <w:vAlign w:val="center"/>
          </w:tcPr>
          <w:p w14:paraId="2035179F">
            <w:pPr>
              <w:jc w:val="left"/>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rPr>
              <w:t>具有所检测物品类（CMA)检验检测机构资质认定证书或（CNAS)中国合格评定认可委员会实验室认可证书。</w:t>
            </w:r>
          </w:p>
        </w:tc>
        <w:tc>
          <w:tcPr>
            <w:tcW w:w="830" w:type="dxa"/>
            <w:shd w:val="clear" w:color="auto" w:fill="auto"/>
            <w:noWrap/>
            <w:vAlign w:val="center"/>
          </w:tcPr>
          <w:p w14:paraId="36CCBA69">
            <w:pPr>
              <w:jc w:val="center"/>
              <w:rPr>
                <w:rFonts w:hint="eastAsia" w:ascii="宋体" w:hAnsi="宋体" w:eastAsia="宋体" w:cs="宋体"/>
                <w:i w:val="0"/>
                <w:iCs w:val="0"/>
                <w:color w:val="000000"/>
                <w:sz w:val="18"/>
                <w:szCs w:val="18"/>
                <w:u w:val="none"/>
              </w:rPr>
            </w:pPr>
          </w:p>
        </w:tc>
      </w:tr>
      <w:tr w14:paraId="51CC6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0" w:hRule="atLeast"/>
        </w:trPr>
        <w:tc>
          <w:tcPr>
            <w:tcW w:w="434" w:type="dxa"/>
            <w:vMerge w:val="restart"/>
            <w:shd w:val="clear" w:color="auto" w:fill="auto"/>
            <w:noWrap/>
            <w:vAlign w:val="center"/>
          </w:tcPr>
          <w:p w14:paraId="52784C59">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6</w:t>
            </w:r>
          </w:p>
        </w:tc>
        <w:tc>
          <w:tcPr>
            <w:tcW w:w="463" w:type="dxa"/>
            <w:vMerge w:val="restart"/>
            <w:shd w:val="clear" w:color="auto" w:fill="auto"/>
            <w:noWrap/>
            <w:vAlign w:val="center"/>
          </w:tcPr>
          <w:p w14:paraId="2B65C7BD">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六</w:t>
            </w:r>
            <w:r>
              <w:rPr>
                <w:rFonts w:hint="eastAsia" w:ascii="宋体" w:hAnsi="宋体" w:eastAsia="宋体" w:cs="宋体"/>
                <w:i w:val="0"/>
                <w:iCs w:val="0"/>
                <w:color w:val="000000"/>
                <w:sz w:val="18"/>
                <w:szCs w:val="18"/>
                <w:u w:val="none"/>
                <w:lang w:val="en-US" w:eastAsia="zh-CN"/>
              </w:rPr>
              <w:t>标段</w:t>
            </w:r>
          </w:p>
        </w:tc>
        <w:tc>
          <w:tcPr>
            <w:tcW w:w="920" w:type="dxa"/>
            <w:vMerge w:val="restart"/>
            <w:shd w:val="clear" w:color="auto" w:fill="auto"/>
            <w:vAlign w:val="center"/>
          </w:tcPr>
          <w:p w14:paraId="37DE7417">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所辖七座变电站生产作业现场围栏布置服务</w:t>
            </w:r>
          </w:p>
        </w:tc>
        <w:tc>
          <w:tcPr>
            <w:tcW w:w="2990" w:type="dxa"/>
            <w:shd w:val="clear" w:color="auto" w:fill="auto"/>
            <w:noWrap/>
            <w:vAlign w:val="center"/>
          </w:tcPr>
          <w:p w14:paraId="7488B5D9">
            <w:pPr>
              <w:keepNext w:val="0"/>
              <w:keepLines w:val="0"/>
              <w:widowControl/>
              <w:suppressLineNumbers w:val="0"/>
              <w:jc w:val="left"/>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结合2025年停电检修计划，在所辖七座变电站停电检修现场开展围栏布置服务。</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围栏布置和拆除当天，每天单价为10元/米，每次服务工作结束后，出具现场工作量确认单，据实结算。</w:t>
            </w:r>
          </w:p>
        </w:tc>
        <w:tc>
          <w:tcPr>
            <w:tcW w:w="460" w:type="dxa"/>
            <w:shd w:val="clear" w:color="auto" w:fill="auto"/>
            <w:noWrap/>
            <w:vAlign w:val="center"/>
          </w:tcPr>
          <w:p w14:paraId="16345B85">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米</w:t>
            </w:r>
          </w:p>
        </w:tc>
        <w:tc>
          <w:tcPr>
            <w:tcW w:w="640" w:type="dxa"/>
            <w:shd w:val="clear" w:color="auto" w:fill="auto"/>
            <w:vAlign w:val="center"/>
          </w:tcPr>
          <w:p w14:paraId="5EC449C5">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1</w:t>
            </w:r>
          </w:p>
        </w:tc>
        <w:tc>
          <w:tcPr>
            <w:tcW w:w="780" w:type="dxa"/>
            <w:shd w:val="clear" w:color="auto" w:fill="auto"/>
            <w:vAlign w:val="center"/>
          </w:tcPr>
          <w:p w14:paraId="301A29A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10.00 </w:t>
            </w:r>
          </w:p>
        </w:tc>
        <w:tc>
          <w:tcPr>
            <w:tcW w:w="840" w:type="dxa"/>
            <w:vMerge w:val="restart"/>
            <w:shd w:val="clear" w:color="auto" w:fill="auto"/>
            <w:vAlign w:val="center"/>
          </w:tcPr>
          <w:p w14:paraId="4F974E51">
            <w:pPr>
              <w:jc w:val="center"/>
              <w:rPr>
                <w:rFonts w:hint="eastAsia" w:ascii="宋体" w:hAnsi="宋体" w:eastAsia="宋体" w:cs="宋体"/>
                <w:i w:val="0"/>
                <w:iCs w:val="0"/>
                <w:color w:val="000000"/>
                <w:sz w:val="18"/>
                <w:szCs w:val="18"/>
                <w:highlight w:val="none"/>
                <w:u w:val="none"/>
                <w:lang w:val="en-US" w:eastAsia="zh-CN"/>
              </w:rPr>
            </w:pPr>
            <w:r>
              <w:rPr>
                <w:rFonts w:hint="eastAsia" w:ascii="宋体" w:hAnsi="宋体" w:cs="宋体"/>
                <w:i w:val="0"/>
                <w:iCs w:val="0"/>
                <w:color w:val="000000"/>
                <w:sz w:val="18"/>
                <w:szCs w:val="18"/>
                <w:highlight w:val="none"/>
                <w:u w:val="none"/>
                <w:lang w:val="en-US" w:eastAsia="zh-CN"/>
              </w:rPr>
              <w:t>/</w:t>
            </w:r>
          </w:p>
        </w:tc>
        <w:tc>
          <w:tcPr>
            <w:tcW w:w="820" w:type="dxa"/>
            <w:vMerge w:val="restart"/>
            <w:shd w:val="clear" w:color="auto" w:fill="auto"/>
            <w:vAlign w:val="center"/>
          </w:tcPr>
          <w:p w14:paraId="6E832E8D">
            <w:pPr>
              <w:jc w:val="center"/>
              <w:rPr>
                <w:rFonts w:hint="default" w:ascii="宋体" w:hAnsi="宋体" w:eastAsia="宋体" w:cs="宋体"/>
                <w:i w:val="0"/>
                <w:iCs w:val="0"/>
                <w:color w:val="000000"/>
                <w:sz w:val="18"/>
                <w:szCs w:val="18"/>
                <w:highlight w:val="none"/>
                <w:u w:val="none"/>
                <w:lang w:val="en-US" w:eastAsia="zh-CN"/>
              </w:rPr>
            </w:pPr>
            <w:r>
              <w:rPr>
                <w:rFonts w:hint="eastAsia" w:ascii="宋体" w:hAnsi="宋体" w:cs="宋体"/>
                <w:i w:val="0"/>
                <w:iCs w:val="0"/>
                <w:color w:val="000000"/>
                <w:sz w:val="18"/>
                <w:szCs w:val="18"/>
                <w:highlight w:val="none"/>
                <w:u w:val="none"/>
                <w:lang w:val="en-US" w:eastAsia="zh-CN"/>
              </w:rPr>
              <w:t>/</w:t>
            </w:r>
          </w:p>
        </w:tc>
        <w:tc>
          <w:tcPr>
            <w:tcW w:w="720" w:type="dxa"/>
            <w:vMerge w:val="restart"/>
            <w:shd w:val="clear" w:color="auto" w:fill="auto"/>
            <w:vAlign w:val="center"/>
          </w:tcPr>
          <w:p w14:paraId="373F5B74">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合同签订之日起至2025年12月10日</w:t>
            </w:r>
          </w:p>
        </w:tc>
        <w:tc>
          <w:tcPr>
            <w:tcW w:w="700" w:type="dxa"/>
            <w:vMerge w:val="restart"/>
            <w:shd w:val="clear" w:color="auto" w:fill="auto"/>
            <w:vAlign w:val="center"/>
          </w:tcPr>
          <w:p w14:paraId="2BF9B464">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锡林郭勒超高压供电分公司及所辖七个变电站</w:t>
            </w:r>
          </w:p>
        </w:tc>
        <w:tc>
          <w:tcPr>
            <w:tcW w:w="700" w:type="dxa"/>
            <w:vMerge w:val="restart"/>
            <w:shd w:val="clear" w:color="auto" w:fill="auto"/>
            <w:vAlign w:val="center"/>
          </w:tcPr>
          <w:p w14:paraId="516FD7B8">
            <w:pPr>
              <w:jc w:val="center"/>
              <w:rPr>
                <w:rFonts w:hint="default"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无</w:t>
            </w:r>
          </w:p>
        </w:tc>
        <w:tc>
          <w:tcPr>
            <w:tcW w:w="3670" w:type="dxa"/>
            <w:vMerge w:val="restart"/>
            <w:shd w:val="clear" w:color="auto" w:fill="auto"/>
            <w:noWrap/>
            <w:vAlign w:val="center"/>
          </w:tcPr>
          <w:p w14:paraId="06AD2078">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1.供应商具有电力工程施工总承包乙级及以上或输变电工程专业承包乙级及以上资质（以上资质为住建部最新资质要求（2020年11月30日建市〔2020〕94号《住房和城乡建设部关于印发建设工程企业资质管理制度改革方案的通知》），如供应商还未申办以上资质，供应商须具有建设行政主管部门核发的电力施工总承包三级及以上资质或输变电工程专业承包三级及以上资质，证书在有效期内。</w:t>
            </w:r>
          </w:p>
          <w:p w14:paraId="3E5833F1">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2.供应商需具有有效期内的安全生产许可证。</w:t>
            </w:r>
          </w:p>
          <w:p w14:paraId="1B0AA7A1">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3.供应商须承诺：接到现场围栏布置需要后可立即响应，在停电施工前2小时完成围栏布置。</w:t>
            </w:r>
          </w:p>
        </w:tc>
        <w:tc>
          <w:tcPr>
            <w:tcW w:w="830" w:type="dxa"/>
            <w:vMerge w:val="restart"/>
            <w:shd w:val="clear" w:color="auto" w:fill="auto"/>
            <w:noWrap/>
            <w:vAlign w:val="center"/>
          </w:tcPr>
          <w:p w14:paraId="72564997">
            <w:pPr>
              <w:jc w:val="center"/>
              <w:rPr>
                <w:rFonts w:hint="default" w:ascii="宋体" w:hAnsi="宋体" w:eastAsia="宋体" w:cs="宋体"/>
                <w:i w:val="0"/>
                <w:iCs w:val="0"/>
                <w:color w:val="000000"/>
                <w:sz w:val="18"/>
                <w:szCs w:val="18"/>
                <w:u w:val="none"/>
                <w:lang w:val="en-US" w:eastAsia="zh-CN"/>
              </w:rPr>
            </w:pPr>
            <w:r>
              <w:rPr>
                <w:rFonts w:hint="eastAsia" w:ascii="宋体" w:hAnsi="宋体" w:cs="宋体"/>
                <w:b/>
                <w:bCs/>
                <w:i w:val="0"/>
                <w:iCs w:val="0"/>
                <w:color w:val="FF0000"/>
                <w:sz w:val="18"/>
                <w:szCs w:val="18"/>
                <w:u w:val="none"/>
                <w:lang w:val="en-US" w:eastAsia="zh-CN"/>
              </w:rPr>
              <w:t>本标段采用单价报价，标段预估发生额380000.00元</w:t>
            </w:r>
          </w:p>
        </w:tc>
      </w:tr>
      <w:tr w14:paraId="5136A8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vMerge w:val="continue"/>
            <w:shd w:val="clear" w:color="auto" w:fill="auto"/>
            <w:noWrap/>
            <w:vAlign w:val="center"/>
          </w:tcPr>
          <w:p w14:paraId="718B471E">
            <w:pPr>
              <w:jc w:val="center"/>
              <w:rPr>
                <w:rFonts w:hint="eastAsia" w:ascii="宋体" w:hAnsi="宋体" w:eastAsia="宋体" w:cs="宋体"/>
                <w:i w:val="0"/>
                <w:iCs w:val="0"/>
                <w:color w:val="000000"/>
                <w:sz w:val="18"/>
                <w:szCs w:val="18"/>
                <w:u w:val="none"/>
              </w:rPr>
            </w:pPr>
          </w:p>
        </w:tc>
        <w:tc>
          <w:tcPr>
            <w:tcW w:w="463" w:type="dxa"/>
            <w:vMerge w:val="continue"/>
            <w:shd w:val="clear" w:color="auto" w:fill="auto"/>
            <w:noWrap/>
            <w:vAlign w:val="center"/>
          </w:tcPr>
          <w:p w14:paraId="17ACE157">
            <w:pPr>
              <w:jc w:val="center"/>
              <w:rPr>
                <w:rFonts w:hint="eastAsia" w:ascii="宋体" w:hAnsi="宋体" w:eastAsia="宋体" w:cs="宋体"/>
                <w:i w:val="0"/>
                <w:iCs w:val="0"/>
                <w:color w:val="000000"/>
                <w:sz w:val="18"/>
                <w:szCs w:val="18"/>
                <w:u w:val="none"/>
              </w:rPr>
            </w:pPr>
          </w:p>
        </w:tc>
        <w:tc>
          <w:tcPr>
            <w:tcW w:w="920" w:type="dxa"/>
            <w:vMerge w:val="continue"/>
            <w:shd w:val="clear" w:color="auto" w:fill="auto"/>
            <w:vAlign w:val="center"/>
          </w:tcPr>
          <w:p w14:paraId="3623B778">
            <w:pPr>
              <w:jc w:val="center"/>
              <w:rPr>
                <w:rFonts w:hint="eastAsia" w:ascii="宋体" w:hAnsi="宋体" w:eastAsia="宋体" w:cs="宋体"/>
                <w:i w:val="0"/>
                <w:iCs w:val="0"/>
                <w:color w:val="000000"/>
                <w:sz w:val="18"/>
                <w:szCs w:val="18"/>
                <w:u w:val="none"/>
                <w:lang w:val="en-US" w:eastAsia="zh-CN"/>
              </w:rPr>
            </w:pPr>
          </w:p>
        </w:tc>
        <w:tc>
          <w:tcPr>
            <w:tcW w:w="2990" w:type="dxa"/>
            <w:shd w:val="clear" w:color="auto" w:fill="auto"/>
            <w:noWrap/>
            <w:vAlign w:val="center"/>
          </w:tcPr>
          <w:p w14:paraId="1A40EDEB">
            <w:pPr>
              <w:keepNext w:val="0"/>
              <w:keepLines w:val="0"/>
              <w:widowControl/>
              <w:suppressLineNumbers w:val="0"/>
              <w:jc w:val="left"/>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结合2025年停电检修计划，在所辖七座变电站停电检修现场开展围栏布置服务。</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围栏布置和拆除当天外的其他服务时段，每天单价为5元/米，每次服务工作结束后，出具现场工作量确认单，据实结算。</w:t>
            </w:r>
          </w:p>
        </w:tc>
        <w:tc>
          <w:tcPr>
            <w:tcW w:w="460" w:type="dxa"/>
            <w:shd w:val="clear" w:color="auto" w:fill="auto"/>
            <w:noWrap/>
            <w:vAlign w:val="center"/>
          </w:tcPr>
          <w:p w14:paraId="06238939">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米</w:t>
            </w:r>
          </w:p>
        </w:tc>
        <w:tc>
          <w:tcPr>
            <w:tcW w:w="640" w:type="dxa"/>
            <w:shd w:val="clear" w:color="auto" w:fill="auto"/>
            <w:vAlign w:val="center"/>
          </w:tcPr>
          <w:p w14:paraId="7700590B">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1</w:t>
            </w:r>
          </w:p>
        </w:tc>
        <w:tc>
          <w:tcPr>
            <w:tcW w:w="780" w:type="dxa"/>
            <w:shd w:val="clear" w:color="auto" w:fill="auto"/>
            <w:vAlign w:val="center"/>
          </w:tcPr>
          <w:p w14:paraId="0CA95D63">
            <w:pPr>
              <w:keepNext w:val="0"/>
              <w:keepLines w:val="0"/>
              <w:widowControl/>
              <w:suppressLineNumbers w:val="0"/>
              <w:jc w:val="center"/>
              <w:textAlignment w:val="center"/>
              <w:rPr>
                <w:rFonts w:hint="eastAsia" w:ascii="宋体" w:hAnsi="宋体" w:eastAsia="宋体" w:cs="宋体"/>
                <w:i w:val="0"/>
                <w:iCs w:val="0"/>
                <w:color w:val="000000"/>
                <w:sz w:val="18"/>
                <w:szCs w:val="18"/>
                <w:highlight w:val="yellow"/>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5.00 </w:t>
            </w:r>
          </w:p>
        </w:tc>
        <w:tc>
          <w:tcPr>
            <w:tcW w:w="840" w:type="dxa"/>
            <w:vMerge w:val="continue"/>
            <w:shd w:val="clear" w:color="auto" w:fill="auto"/>
            <w:vAlign w:val="center"/>
          </w:tcPr>
          <w:p w14:paraId="032380F6">
            <w:pPr>
              <w:jc w:val="center"/>
              <w:rPr>
                <w:rFonts w:hint="eastAsia" w:ascii="宋体" w:hAnsi="宋体" w:eastAsia="宋体" w:cs="宋体"/>
                <w:i w:val="0"/>
                <w:iCs w:val="0"/>
                <w:color w:val="000000"/>
                <w:sz w:val="18"/>
                <w:szCs w:val="18"/>
                <w:u w:val="none"/>
                <w:lang w:val="en-US" w:eastAsia="zh-CN"/>
              </w:rPr>
            </w:pPr>
          </w:p>
        </w:tc>
        <w:tc>
          <w:tcPr>
            <w:tcW w:w="820" w:type="dxa"/>
            <w:vMerge w:val="continue"/>
            <w:shd w:val="clear" w:color="auto" w:fill="auto"/>
            <w:vAlign w:val="center"/>
          </w:tcPr>
          <w:p w14:paraId="0453E897">
            <w:pPr>
              <w:jc w:val="center"/>
              <w:rPr>
                <w:rFonts w:hint="eastAsia" w:ascii="宋体" w:hAnsi="宋体" w:eastAsia="宋体" w:cs="宋体"/>
                <w:i w:val="0"/>
                <w:iCs w:val="0"/>
                <w:color w:val="000000"/>
                <w:sz w:val="18"/>
                <w:szCs w:val="18"/>
                <w:u w:val="none"/>
                <w:lang w:val="en-US" w:eastAsia="zh-CN"/>
              </w:rPr>
            </w:pPr>
          </w:p>
        </w:tc>
        <w:tc>
          <w:tcPr>
            <w:tcW w:w="720" w:type="dxa"/>
            <w:vMerge w:val="continue"/>
            <w:shd w:val="clear" w:color="auto" w:fill="auto"/>
            <w:vAlign w:val="center"/>
          </w:tcPr>
          <w:p w14:paraId="4C2BDA1F">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3AFB29BF">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29D7F553">
            <w:pPr>
              <w:jc w:val="center"/>
              <w:rPr>
                <w:rFonts w:hint="eastAsia" w:ascii="宋体" w:hAnsi="宋体" w:eastAsia="宋体" w:cs="宋体"/>
                <w:i w:val="0"/>
                <w:iCs w:val="0"/>
                <w:color w:val="000000"/>
                <w:sz w:val="18"/>
                <w:szCs w:val="18"/>
                <w:u w:val="none"/>
              </w:rPr>
            </w:pPr>
          </w:p>
        </w:tc>
        <w:tc>
          <w:tcPr>
            <w:tcW w:w="3670" w:type="dxa"/>
            <w:vMerge w:val="continue"/>
            <w:shd w:val="clear" w:color="auto" w:fill="auto"/>
            <w:noWrap/>
            <w:vAlign w:val="center"/>
          </w:tcPr>
          <w:p w14:paraId="0BFD538D">
            <w:pPr>
              <w:jc w:val="center"/>
              <w:rPr>
                <w:rFonts w:hint="eastAsia" w:ascii="宋体" w:hAnsi="宋体" w:eastAsia="宋体" w:cs="宋体"/>
                <w:i w:val="0"/>
                <w:iCs w:val="0"/>
                <w:color w:val="000000"/>
                <w:sz w:val="18"/>
                <w:szCs w:val="18"/>
                <w:u w:val="none"/>
              </w:rPr>
            </w:pPr>
          </w:p>
        </w:tc>
        <w:tc>
          <w:tcPr>
            <w:tcW w:w="830" w:type="dxa"/>
            <w:vMerge w:val="continue"/>
            <w:shd w:val="clear" w:color="auto" w:fill="auto"/>
            <w:noWrap/>
            <w:vAlign w:val="center"/>
          </w:tcPr>
          <w:p w14:paraId="0349001F">
            <w:pPr>
              <w:jc w:val="center"/>
              <w:rPr>
                <w:rFonts w:hint="eastAsia" w:ascii="宋体" w:hAnsi="宋体" w:eastAsia="宋体" w:cs="宋体"/>
                <w:i w:val="0"/>
                <w:iCs w:val="0"/>
                <w:color w:val="000000"/>
                <w:sz w:val="18"/>
                <w:szCs w:val="18"/>
                <w:u w:val="none"/>
              </w:rPr>
            </w:pPr>
          </w:p>
        </w:tc>
      </w:tr>
      <w:tr w14:paraId="1617B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40" w:hRule="atLeast"/>
        </w:trPr>
        <w:tc>
          <w:tcPr>
            <w:tcW w:w="434" w:type="dxa"/>
            <w:vMerge w:val="restart"/>
            <w:shd w:val="clear" w:color="auto" w:fill="auto"/>
            <w:noWrap/>
            <w:vAlign w:val="center"/>
          </w:tcPr>
          <w:p w14:paraId="74FA20E3">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7</w:t>
            </w:r>
          </w:p>
        </w:tc>
        <w:tc>
          <w:tcPr>
            <w:tcW w:w="463" w:type="dxa"/>
            <w:vMerge w:val="restart"/>
            <w:shd w:val="clear" w:color="auto" w:fill="auto"/>
            <w:noWrap/>
            <w:vAlign w:val="center"/>
          </w:tcPr>
          <w:p w14:paraId="57A125D6">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七</w:t>
            </w:r>
            <w:r>
              <w:rPr>
                <w:rFonts w:hint="eastAsia" w:ascii="宋体" w:hAnsi="宋体" w:eastAsia="宋体" w:cs="宋体"/>
                <w:i w:val="0"/>
                <w:iCs w:val="0"/>
                <w:color w:val="000000"/>
                <w:sz w:val="18"/>
                <w:szCs w:val="18"/>
                <w:u w:val="none"/>
                <w:lang w:val="en-US" w:eastAsia="zh-CN"/>
              </w:rPr>
              <w:t>标段</w:t>
            </w:r>
          </w:p>
        </w:tc>
        <w:tc>
          <w:tcPr>
            <w:tcW w:w="920" w:type="dxa"/>
            <w:shd w:val="clear" w:color="auto" w:fill="auto"/>
            <w:vAlign w:val="center"/>
          </w:tcPr>
          <w:p w14:paraId="47419EEC">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输电线路防外力破坏在线监测技术服务</w:t>
            </w:r>
          </w:p>
        </w:tc>
        <w:tc>
          <w:tcPr>
            <w:tcW w:w="2990" w:type="dxa"/>
            <w:shd w:val="clear" w:color="auto" w:fill="auto"/>
            <w:noWrap/>
            <w:vAlign w:val="center"/>
          </w:tcPr>
          <w:p w14:paraId="4EEAE8F4">
            <w:pPr>
              <w:keepNext w:val="0"/>
              <w:keepLines w:val="0"/>
              <w:widowControl/>
              <w:suppressLineNumbers w:val="0"/>
              <w:jc w:val="left"/>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对101处外力破坏点进行在线监测技术服务，服务期限至2025年12月，服务内容包括观测线路运行情况、监测图像实时回传、AI智能分析、高清识别线路设备、视频透雾、3D球一键聚焦、发现通道隐患并实时预警等功能。预计服务期限12个月，据实结算。</w:t>
            </w:r>
          </w:p>
        </w:tc>
        <w:tc>
          <w:tcPr>
            <w:tcW w:w="460" w:type="dxa"/>
            <w:shd w:val="clear" w:color="auto" w:fill="auto"/>
            <w:noWrap/>
            <w:vAlign w:val="center"/>
          </w:tcPr>
          <w:p w14:paraId="0FFD36ED">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月</w:t>
            </w:r>
          </w:p>
        </w:tc>
        <w:tc>
          <w:tcPr>
            <w:tcW w:w="640" w:type="dxa"/>
            <w:shd w:val="clear" w:color="auto" w:fill="auto"/>
            <w:vAlign w:val="center"/>
          </w:tcPr>
          <w:p w14:paraId="14F76139">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12</w:t>
            </w:r>
          </w:p>
        </w:tc>
        <w:tc>
          <w:tcPr>
            <w:tcW w:w="780" w:type="dxa"/>
            <w:shd w:val="clear" w:color="auto" w:fill="auto"/>
            <w:vAlign w:val="center"/>
          </w:tcPr>
          <w:p w14:paraId="33358F95">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20000.00 </w:t>
            </w:r>
          </w:p>
        </w:tc>
        <w:tc>
          <w:tcPr>
            <w:tcW w:w="840" w:type="dxa"/>
            <w:shd w:val="clear" w:color="auto" w:fill="auto"/>
            <w:vAlign w:val="center"/>
          </w:tcPr>
          <w:p w14:paraId="36C660F2">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240000.00 </w:t>
            </w:r>
          </w:p>
        </w:tc>
        <w:tc>
          <w:tcPr>
            <w:tcW w:w="820" w:type="dxa"/>
            <w:vMerge w:val="restart"/>
            <w:shd w:val="clear" w:color="auto" w:fill="auto"/>
            <w:vAlign w:val="center"/>
          </w:tcPr>
          <w:p w14:paraId="23799A5D">
            <w:pPr>
              <w:jc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rPr>
              <w:t>273600.00</w:t>
            </w:r>
          </w:p>
        </w:tc>
        <w:tc>
          <w:tcPr>
            <w:tcW w:w="720" w:type="dxa"/>
            <w:vMerge w:val="restart"/>
            <w:shd w:val="clear" w:color="auto" w:fill="auto"/>
            <w:vAlign w:val="center"/>
          </w:tcPr>
          <w:p w14:paraId="598C0070">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合同签订之日起至2025年12月30日</w:t>
            </w:r>
          </w:p>
        </w:tc>
        <w:tc>
          <w:tcPr>
            <w:tcW w:w="700" w:type="dxa"/>
            <w:vMerge w:val="restart"/>
            <w:shd w:val="clear" w:color="auto" w:fill="auto"/>
            <w:vAlign w:val="center"/>
          </w:tcPr>
          <w:p w14:paraId="400A189C">
            <w:pPr>
              <w:jc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锡林郭勒超高压供电分公司及所辖线路</w:t>
            </w:r>
          </w:p>
        </w:tc>
        <w:tc>
          <w:tcPr>
            <w:tcW w:w="700" w:type="dxa"/>
            <w:vMerge w:val="restart"/>
            <w:shd w:val="clear" w:color="auto" w:fill="auto"/>
            <w:vAlign w:val="center"/>
          </w:tcPr>
          <w:p w14:paraId="1D81DD93">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无</w:t>
            </w:r>
          </w:p>
        </w:tc>
        <w:tc>
          <w:tcPr>
            <w:tcW w:w="3670" w:type="dxa"/>
            <w:vMerge w:val="restart"/>
            <w:shd w:val="clear" w:color="auto" w:fill="auto"/>
            <w:noWrap/>
            <w:vAlign w:val="center"/>
          </w:tcPr>
          <w:p w14:paraId="722B0234">
            <w:pPr>
              <w:jc w:val="left"/>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rPr>
              <w:t>1.供应商须承诺：由供应商提供相应设备，以设备调试、后台运维操作等形式实现对101处外力破坏点中视频机及图片机的防外破在线监测技术服务，进而实现观测线路运行情况、监测图像实时回传、高清识别线路设备、视频透雾、3D球一键聚焦、发现通道隐患并实时预警等功能（须实现功能详细要求见专用技术规范）。</w:t>
            </w:r>
          </w:p>
          <w:p w14:paraId="6EA896E8">
            <w:pPr>
              <w:jc w:val="left"/>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rPr>
              <w:t>2.供应商须承诺：服务过程中遇牧民阻拦、青苗赔偿等问题及其产生的费用由供应商自行解决。</w:t>
            </w:r>
          </w:p>
        </w:tc>
        <w:tc>
          <w:tcPr>
            <w:tcW w:w="830" w:type="dxa"/>
            <w:vMerge w:val="restart"/>
            <w:shd w:val="clear" w:color="auto" w:fill="auto"/>
            <w:noWrap/>
            <w:vAlign w:val="center"/>
          </w:tcPr>
          <w:p w14:paraId="05BB8CCC">
            <w:pPr>
              <w:jc w:val="center"/>
              <w:rPr>
                <w:rFonts w:hint="eastAsia" w:ascii="宋体" w:hAnsi="宋体" w:eastAsia="宋体" w:cs="宋体"/>
                <w:i w:val="0"/>
                <w:iCs w:val="0"/>
                <w:color w:val="000000"/>
                <w:sz w:val="18"/>
                <w:szCs w:val="18"/>
                <w:u w:val="none"/>
              </w:rPr>
            </w:pPr>
          </w:p>
        </w:tc>
      </w:tr>
      <w:tr w14:paraId="261B9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vMerge w:val="continue"/>
            <w:shd w:val="clear" w:color="auto" w:fill="auto"/>
            <w:noWrap/>
            <w:vAlign w:val="center"/>
          </w:tcPr>
          <w:p w14:paraId="598707A2">
            <w:pPr>
              <w:jc w:val="center"/>
              <w:rPr>
                <w:rFonts w:hint="eastAsia" w:ascii="宋体" w:hAnsi="宋体" w:eastAsia="宋体" w:cs="宋体"/>
                <w:i w:val="0"/>
                <w:iCs w:val="0"/>
                <w:color w:val="000000"/>
                <w:sz w:val="18"/>
                <w:szCs w:val="18"/>
                <w:u w:val="none"/>
              </w:rPr>
            </w:pPr>
          </w:p>
        </w:tc>
        <w:tc>
          <w:tcPr>
            <w:tcW w:w="463" w:type="dxa"/>
            <w:vMerge w:val="continue"/>
            <w:shd w:val="clear" w:color="auto" w:fill="auto"/>
            <w:noWrap/>
            <w:vAlign w:val="center"/>
          </w:tcPr>
          <w:p w14:paraId="0C56BDA3">
            <w:pPr>
              <w:jc w:val="center"/>
              <w:rPr>
                <w:rFonts w:hint="eastAsia" w:ascii="宋体" w:hAnsi="宋体" w:eastAsia="宋体" w:cs="宋体"/>
                <w:i w:val="0"/>
                <w:iCs w:val="0"/>
                <w:color w:val="000000"/>
                <w:sz w:val="18"/>
                <w:szCs w:val="18"/>
                <w:u w:val="none"/>
              </w:rPr>
            </w:pPr>
          </w:p>
        </w:tc>
        <w:tc>
          <w:tcPr>
            <w:tcW w:w="920" w:type="dxa"/>
            <w:shd w:val="clear" w:color="auto" w:fill="auto"/>
            <w:vAlign w:val="center"/>
          </w:tcPr>
          <w:p w14:paraId="4AEFB784">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无人机RTK技术服务</w:t>
            </w:r>
          </w:p>
        </w:tc>
        <w:tc>
          <w:tcPr>
            <w:tcW w:w="2990" w:type="dxa"/>
            <w:shd w:val="clear" w:color="auto" w:fill="auto"/>
            <w:noWrap/>
            <w:vAlign w:val="center"/>
          </w:tcPr>
          <w:p w14:paraId="5900DC75">
            <w:pPr>
              <w:keepNext w:val="0"/>
              <w:keepLines w:val="0"/>
              <w:widowControl/>
              <w:suppressLineNumbers w:val="0"/>
              <w:jc w:val="left"/>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对6架御3e无人机、1架M300无人机提供RTK技术服务，服务内容包括实现厘米级定位，无人机自动飞行，自动执行航线，拍摄杆塔挂点等。</w:t>
            </w:r>
          </w:p>
        </w:tc>
        <w:tc>
          <w:tcPr>
            <w:tcW w:w="460" w:type="dxa"/>
            <w:shd w:val="clear" w:color="auto" w:fill="auto"/>
            <w:noWrap/>
            <w:vAlign w:val="center"/>
          </w:tcPr>
          <w:p w14:paraId="4C5A529F">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项</w:t>
            </w:r>
          </w:p>
        </w:tc>
        <w:tc>
          <w:tcPr>
            <w:tcW w:w="640" w:type="dxa"/>
            <w:shd w:val="clear" w:color="auto" w:fill="auto"/>
            <w:vAlign w:val="center"/>
          </w:tcPr>
          <w:p w14:paraId="4118DF20">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1</w:t>
            </w:r>
          </w:p>
        </w:tc>
        <w:tc>
          <w:tcPr>
            <w:tcW w:w="780" w:type="dxa"/>
            <w:shd w:val="clear" w:color="auto" w:fill="auto"/>
            <w:vAlign w:val="center"/>
          </w:tcPr>
          <w:p w14:paraId="40635C2C">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33600.00 </w:t>
            </w:r>
          </w:p>
        </w:tc>
        <w:tc>
          <w:tcPr>
            <w:tcW w:w="840" w:type="dxa"/>
            <w:shd w:val="clear" w:color="auto" w:fill="auto"/>
            <w:vAlign w:val="center"/>
          </w:tcPr>
          <w:p w14:paraId="36909282">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33600.00 </w:t>
            </w:r>
          </w:p>
        </w:tc>
        <w:tc>
          <w:tcPr>
            <w:tcW w:w="820" w:type="dxa"/>
            <w:vMerge w:val="continue"/>
            <w:shd w:val="clear" w:color="auto" w:fill="auto"/>
            <w:vAlign w:val="center"/>
          </w:tcPr>
          <w:p w14:paraId="2522D1F1">
            <w:pPr>
              <w:jc w:val="center"/>
              <w:rPr>
                <w:rFonts w:hint="eastAsia" w:ascii="宋体" w:hAnsi="宋体" w:eastAsia="宋体" w:cs="宋体"/>
                <w:i w:val="0"/>
                <w:iCs w:val="0"/>
                <w:color w:val="000000"/>
                <w:sz w:val="18"/>
                <w:szCs w:val="18"/>
                <w:u w:val="none"/>
              </w:rPr>
            </w:pPr>
          </w:p>
        </w:tc>
        <w:tc>
          <w:tcPr>
            <w:tcW w:w="720" w:type="dxa"/>
            <w:vMerge w:val="continue"/>
            <w:shd w:val="clear" w:color="auto" w:fill="auto"/>
            <w:vAlign w:val="center"/>
          </w:tcPr>
          <w:p w14:paraId="10E0DDC6">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6E39CC99">
            <w:pPr>
              <w:jc w:val="center"/>
              <w:rPr>
                <w:rFonts w:hint="eastAsia" w:ascii="宋体" w:hAnsi="宋体" w:eastAsia="宋体" w:cs="宋体"/>
                <w:i w:val="0"/>
                <w:iCs w:val="0"/>
                <w:color w:val="000000"/>
                <w:sz w:val="18"/>
                <w:szCs w:val="18"/>
                <w:u w:val="none"/>
              </w:rPr>
            </w:pPr>
          </w:p>
        </w:tc>
        <w:tc>
          <w:tcPr>
            <w:tcW w:w="700" w:type="dxa"/>
            <w:vMerge w:val="continue"/>
            <w:shd w:val="clear" w:color="auto" w:fill="auto"/>
            <w:vAlign w:val="center"/>
          </w:tcPr>
          <w:p w14:paraId="77396BF3">
            <w:pPr>
              <w:jc w:val="center"/>
              <w:rPr>
                <w:rFonts w:hint="eastAsia" w:ascii="宋体" w:hAnsi="宋体" w:eastAsia="宋体" w:cs="宋体"/>
                <w:i w:val="0"/>
                <w:iCs w:val="0"/>
                <w:color w:val="000000"/>
                <w:sz w:val="18"/>
                <w:szCs w:val="18"/>
                <w:u w:val="none"/>
              </w:rPr>
            </w:pPr>
          </w:p>
        </w:tc>
        <w:tc>
          <w:tcPr>
            <w:tcW w:w="3670" w:type="dxa"/>
            <w:vMerge w:val="continue"/>
            <w:shd w:val="clear" w:color="auto" w:fill="auto"/>
            <w:noWrap/>
            <w:vAlign w:val="center"/>
          </w:tcPr>
          <w:p w14:paraId="24756DA2">
            <w:pPr>
              <w:jc w:val="center"/>
              <w:rPr>
                <w:rFonts w:hint="eastAsia" w:ascii="宋体" w:hAnsi="宋体" w:eastAsia="宋体" w:cs="宋体"/>
                <w:i w:val="0"/>
                <w:iCs w:val="0"/>
                <w:color w:val="000000"/>
                <w:sz w:val="18"/>
                <w:szCs w:val="18"/>
                <w:u w:val="none"/>
              </w:rPr>
            </w:pPr>
          </w:p>
        </w:tc>
        <w:tc>
          <w:tcPr>
            <w:tcW w:w="830" w:type="dxa"/>
            <w:vMerge w:val="continue"/>
            <w:shd w:val="clear" w:color="auto" w:fill="auto"/>
            <w:noWrap/>
            <w:vAlign w:val="center"/>
          </w:tcPr>
          <w:p w14:paraId="240F84E8">
            <w:pPr>
              <w:jc w:val="center"/>
              <w:rPr>
                <w:rFonts w:hint="eastAsia" w:ascii="宋体" w:hAnsi="宋体" w:eastAsia="宋体" w:cs="宋体"/>
                <w:i w:val="0"/>
                <w:iCs w:val="0"/>
                <w:color w:val="000000"/>
                <w:sz w:val="18"/>
                <w:szCs w:val="18"/>
                <w:u w:val="none"/>
              </w:rPr>
            </w:pPr>
          </w:p>
        </w:tc>
      </w:tr>
    </w:tbl>
    <w:p w14:paraId="33A35115">
      <w:pPr>
        <w:pStyle w:val="8"/>
        <w:spacing w:line="360" w:lineRule="auto"/>
        <w:rPr>
          <w:rFonts w:hint="eastAsia" w:ascii="宋体" w:hAnsi="宋体" w:eastAsia="宋体"/>
          <w:b/>
          <w:sz w:val="13"/>
          <w:szCs w:val="13"/>
        </w:rPr>
      </w:pPr>
    </w:p>
    <w:p w14:paraId="6410634D">
      <w:pPr>
        <w:pStyle w:val="8"/>
        <w:spacing w:line="360" w:lineRule="auto"/>
        <w:rPr>
          <w:rFonts w:hint="eastAsia" w:ascii="宋体" w:hAnsi="宋体" w:eastAsia="宋体"/>
          <w:b/>
          <w:bCs/>
          <w:color w:val="FF0000"/>
          <w:sz w:val="28"/>
          <w:szCs w:val="28"/>
        </w:rPr>
      </w:pPr>
    </w:p>
    <w:p w14:paraId="22667B17">
      <w:pPr>
        <w:pStyle w:val="8"/>
        <w:spacing w:line="360" w:lineRule="auto"/>
        <w:rPr>
          <w:rFonts w:hint="eastAsia" w:ascii="宋体" w:hAnsi="宋体" w:eastAsia="宋体"/>
          <w:b/>
          <w:sz w:val="24"/>
          <w:szCs w:val="24"/>
        </w:rPr>
        <w:sectPr>
          <w:pgSz w:w="16838" w:h="11906" w:orient="landscape"/>
          <w:pgMar w:top="1134" w:right="1134" w:bottom="1134" w:left="1134" w:header="850" w:footer="992" w:gutter="0"/>
          <w:pgNumType w:fmt="decimal"/>
          <w:cols w:space="720" w:num="1"/>
          <w:rtlGutter w:val="0"/>
          <w:docGrid w:linePitch="462" w:charSpace="0"/>
        </w:sectPr>
      </w:pPr>
    </w:p>
    <w:bookmarkEnd w:id="0"/>
    <w:p w14:paraId="0D93C812">
      <w:pPr>
        <w:pStyle w:val="9"/>
        <w:jc w:val="left"/>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 xml:space="preserve">附件二：           </w:t>
      </w:r>
    </w:p>
    <w:p w14:paraId="1D2F3000">
      <w:pPr>
        <w:pStyle w:val="9"/>
        <w:jc w:val="center"/>
        <w:rPr>
          <w:rFonts w:hint="eastAsia" w:ascii="宋体" w:hAnsi="宋体" w:eastAsia="宋体" w:cs="宋体"/>
          <w:sz w:val="24"/>
          <w:szCs w:val="24"/>
        </w:rPr>
      </w:pPr>
      <w:r>
        <w:rPr>
          <w:rFonts w:hint="eastAsia" w:ascii="宋体" w:hAnsi="宋体" w:eastAsia="宋体" w:cs="宋体"/>
          <w:b/>
          <w:bCs/>
          <w:sz w:val="28"/>
          <w:szCs w:val="28"/>
        </w:rPr>
        <w:t>法定代表人身份证明</w:t>
      </w:r>
    </w:p>
    <w:p w14:paraId="0476DFE1">
      <w:pPr>
        <w:spacing w:line="440" w:lineRule="exact"/>
        <w:jc w:val="center"/>
        <w:rPr>
          <w:rFonts w:hint="eastAsia" w:ascii="宋体" w:hAnsi="宋体" w:eastAsia="宋体" w:cs="宋体"/>
          <w:sz w:val="20"/>
          <w:szCs w:val="20"/>
        </w:rPr>
      </w:pPr>
    </w:p>
    <w:p w14:paraId="4CC8F86F">
      <w:pPr>
        <w:spacing w:line="440" w:lineRule="exact"/>
        <w:rPr>
          <w:rFonts w:hint="eastAsia" w:ascii="宋体" w:hAnsi="宋体" w:eastAsia="宋体" w:cs="宋体"/>
          <w:szCs w:val="21"/>
        </w:rPr>
      </w:pPr>
    </w:p>
    <w:p w14:paraId="593806F9">
      <w:pPr>
        <w:spacing w:line="360" w:lineRule="auto"/>
        <w:ind w:firstLine="480" w:firstLineChars="200"/>
        <w:rPr>
          <w:rFonts w:hint="eastAsia" w:ascii="宋体" w:hAnsi="宋体" w:eastAsia="宋体" w:cs="宋体"/>
          <w:sz w:val="24"/>
          <w:szCs w:val="24"/>
        </w:rPr>
      </w:pPr>
      <w:r>
        <w:rPr>
          <w:rFonts w:hint="eastAsia" w:ascii="宋体" w:hAnsi="宋体" w:cs="宋体"/>
          <w:sz w:val="24"/>
          <w:szCs w:val="24"/>
          <w:lang w:eastAsia="zh-CN"/>
        </w:rPr>
        <w:t>供应商</w:t>
      </w:r>
      <w:r>
        <w:rPr>
          <w:rFonts w:hint="eastAsia" w:ascii="宋体" w:hAnsi="宋体" w:eastAsia="宋体" w:cs="宋体"/>
          <w:sz w:val="24"/>
          <w:szCs w:val="24"/>
        </w:rPr>
        <w:t>名称：</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40BFF57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394376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地址：</w:t>
      </w:r>
      <w:r>
        <w:rPr>
          <w:rFonts w:hint="eastAsia" w:ascii="宋体" w:hAnsi="宋体" w:eastAsia="宋体" w:cs="宋体"/>
          <w:sz w:val="24"/>
          <w:szCs w:val="24"/>
          <w:u w:val="single"/>
        </w:rPr>
        <w:t xml:space="preserve">                                   </w:t>
      </w:r>
    </w:p>
    <w:p w14:paraId="675E7854">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14:paraId="71FDE7F0">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14:paraId="4656866F">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14:paraId="512193E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r>
        <w:rPr>
          <w:rFonts w:hint="eastAsia" w:ascii="宋体" w:hAnsi="宋体" w:cs="宋体"/>
          <w:sz w:val="24"/>
          <w:szCs w:val="24"/>
          <w:lang w:eastAsia="zh-CN"/>
        </w:rPr>
        <w:t>供应商</w:t>
      </w:r>
      <w:r>
        <w:rPr>
          <w:rFonts w:hint="eastAsia" w:ascii="宋体" w:hAnsi="宋体" w:eastAsia="宋体" w:cs="宋体"/>
          <w:sz w:val="24"/>
          <w:szCs w:val="24"/>
        </w:rPr>
        <w:t>名称）的法定代表人。</w:t>
      </w:r>
    </w:p>
    <w:p w14:paraId="21408934">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14:paraId="0EB5F2AC">
      <w:pPr>
        <w:pStyle w:val="9"/>
        <w:spacing w:line="36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rPr>
        <w:t>附：法定代表人身份证正反面</w:t>
      </w:r>
    </w:p>
    <w:p w14:paraId="0F978E71">
      <w:pPr>
        <w:spacing w:line="440" w:lineRule="exact"/>
        <w:rPr>
          <w:rFonts w:hint="eastAsia" w:ascii="宋体" w:hAnsi="宋体" w:eastAsia="宋体" w:cs="宋体"/>
          <w:sz w:val="24"/>
          <w:szCs w:val="24"/>
        </w:rPr>
      </w:pPr>
    </w:p>
    <w:p w14:paraId="4591CF2B">
      <w:pPr>
        <w:spacing w:line="440" w:lineRule="exact"/>
        <w:jc w:val="right"/>
        <w:rPr>
          <w:rFonts w:hint="eastAsia" w:ascii="宋体" w:hAnsi="宋体" w:eastAsia="宋体" w:cs="宋体"/>
          <w:sz w:val="24"/>
          <w:szCs w:val="24"/>
        </w:rPr>
      </w:pPr>
      <w:r>
        <w:rPr>
          <w:rFonts w:hint="eastAsia" w:ascii="宋体" w:hAnsi="宋体" w:eastAsia="宋体" w:cs="宋体"/>
          <w:sz w:val="24"/>
          <w:szCs w:val="24"/>
        </w:rPr>
        <w:t xml:space="preserve">                         </w:t>
      </w:r>
    </w:p>
    <w:p w14:paraId="55D272DE">
      <w:pPr>
        <w:spacing w:line="440" w:lineRule="exact"/>
        <w:jc w:val="right"/>
        <w:rPr>
          <w:rFonts w:hint="eastAsia" w:ascii="宋体" w:hAnsi="宋体" w:eastAsia="宋体" w:cs="宋体"/>
          <w:sz w:val="24"/>
          <w:szCs w:val="24"/>
        </w:rPr>
      </w:pPr>
      <w:r>
        <w:rPr>
          <w:rFonts w:hint="eastAsia" w:ascii="宋体" w:hAnsi="宋体" w:eastAsia="宋体" w:cs="宋体"/>
          <w:sz w:val="24"/>
          <w:szCs w:val="24"/>
        </w:rPr>
        <w:t xml:space="preserve"> </w:t>
      </w:r>
      <w:r>
        <w:rPr>
          <w:rFonts w:hint="eastAsia" w:ascii="宋体" w:hAnsi="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14:paraId="37348710">
      <w:pPr>
        <w:spacing w:line="440" w:lineRule="exact"/>
        <w:rPr>
          <w:rFonts w:hint="eastAsia" w:ascii="宋体" w:hAnsi="宋体" w:eastAsia="宋体" w:cs="宋体"/>
          <w:sz w:val="24"/>
          <w:szCs w:val="24"/>
        </w:rPr>
      </w:pPr>
      <w:r>
        <w:rPr>
          <w:rFonts w:hint="eastAsia" w:ascii="宋体" w:hAnsi="宋体" w:eastAsia="宋体" w:cs="宋体"/>
          <w:sz w:val="24"/>
          <w:szCs w:val="24"/>
        </w:rPr>
        <w:t xml:space="preserve">                                                  </w:t>
      </w:r>
    </w:p>
    <w:p w14:paraId="4FE0F9D3">
      <w:pPr>
        <w:spacing w:line="440" w:lineRule="exact"/>
        <w:ind w:firstLine="6000" w:firstLineChars="2500"/>
        <w:rPr>
          <w:rFonts w:hint="eastAsia" w:ascii="宋体" w:hAnsi="宋体" w:eastAsia="宋体" w:cs="宋体"/>
          <w:sz w:val="24"/>
          <w:szCs w:val="24"/>
        </w:rPr>
      </w:pPr>
      <w:r>
        <w:rPr>
          <w:rFonts w:hint="eastAsia" w:ascii="宋体" w:hAnsi="宋体" w:cs="宋体"/>
          <w:sz w:val="24"/>
          <w:szCs w:val="24"/>
          <w:u w:val="none"/>
          <w:lang w:val="en-US" w:eastAsia="zh-CN"/>
        </w:rPr>
        <w:t>年</w:t>
      </w:r>
      <w:r>
        <w:rPr>
          <w:rFonts w:hint="eastAsia" w:ascii="宋体" w:hAnsi="宋体" w:eastAsia="宋体" w:cs="宋体"/>
          <w:sz w:val="24"/>
          <w:szCs w:val="24"/>
          <w:u w:val="none"/>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日          </w:t>
      </w:r>
    </w:p>
    <w:p w14:paraId="1094A149">
      <w:pPr>
        <w:spacing w:line="440" w:lineRule="exact"/>
        <w:ind w:firstLine="5250" w:firstLineChars="2500"/>
        <w:rPr>
          <w:rFonts w:hint="eastAsia" w:ascii="宋体" w:hAnsi="宋体" w:eastAsia="宋体" w:cs="宋体"/>
          <w:szCs w:val="21"/>
        </w:rPr>
      </w:pPr>
    </w:p>
    <w:p w14:paraId="3932E85B">
      <w:pPr>
        <w:spacing w:line="440" w:lineRule="exact"/>
        <w:ind w:firstLine="5250" w:firstLineChars="2500"/>
        <w:rPr>
          <w:rFonts w:hint="eastAsia" w:ascii="宋体" w:hAnsi="宋体" w:eastAsia="宋体" w:cs="宋体"/>
          <w:szCs w:val="21"/>
        </w:rPr>
      </w:pPr>
    </w:p>
    <w:p w14:paraId="29652B42">
      <w:pPr>
        <w:spacing w:line="440" w:lineRule="exact"/>
        <w:rPr>
          <w:rFonts w:hint="eastAsia" w:ascii="宋体" w:hAnsi="宋体" w:eastAsia="宋体" w:cs="宋体"/>
          <w:szCs w:val="21"/>
        </w:rPr>
      </w:pPr>
    </w:p>
    <w:p w14:paraId="4E5B4744">
      <w:pPr>
        <w:ind w:firstLine="422" w:firstLineChars="200"/>
        <w:rPr>
          <w:rFonts w:hint="eastAsia" w:ascii="宋体" w:hAnsi="宋体" w:eastAsia="宋体" w:cs="宋体"/>
          <w:b/>
          <w:bCs/>
        </w:rPr>
      </w:pPr>
      <w:r>
        <w:rPr>
          <w:rFonts w:hint="eastAsia" w:ascii="宋体" w:hAnsi="宋体" w:eastAsia="宋体" w:cs="宋体"/>
          <w:b/>
          <w:bCs/>
        </w:rPr>
        <w:t>注：如</w:t>
      </w:r>
      <w:r>
        <w:rPr>
          <w:rFonts w:hint="eastAsia" w:ascii="宋体" w:hAnsi="宋体" w:cs="宋体"/>
          <w:b/>
          <w:bCs/>
          <w:lang w:eastAsia="zh-CN"/>
        </w:rPr>
        <w:t>供应商</w:t>
      </w:r>
      <w:r>
        <w:rPr>
          <w:rFonts w:hint="eastAsia" w:ascii="宋体" w:hAnsi="宋体" w:eastAsia="宋体" w:cs="宋体"/>
          <w:b/>
          <w:bCs/>
        </w:rPr>
        <w:t>是由法定代表人参加投标，则不需提供法定代表人授权委托书</w:t>
      </w:r>
    </w:p>
    <w:p w14:paraId="6F4AEA25">
      <w:pPr>
        <w:rPr>
          <w:rFonts w:hint="eastAsia" w:ascii="宋体" w:hAnsi="宋体" w:eastAsia="宋体" w:cs="宋体"/>
          <w:b/>
          <w:bCs/>
          <w:sz w:val="28"/>
          <w:szCs w:val="28"/>
        </w:rPr>
      </w:pPr>
      <w:r>
        <w:rPr>
          <w:rFonts w:hint="eastAsia" w:ascii="宋体" w:hAnsi="宋体" w:eastAsia="宋体" w:cs="宋体"/>
          <w:b/>
          <w:bCs/>
          <w:sz w:val="28"/>
          <w:szCs w:val="28"/>
        </w:rPr>
        <w:br w:type="page"/>
      </w:r>
    </w:p>
    <w:p w14:paraId="3343CDD4">
      <w:pPr>
        <w:spacing w:line="360" w:lineRule="auto"/>
        <w:jc w:val="center"/>
        <w:rPr>
          <w:rFonts w:hint="eastAsia" w:ascii="宋体" w:hAnsi="宋体" w:eastAsia="宋体" w:cs="宋体"/>
          <w:b/>
          <w:bCs/>
          <w:sz w:val="24"/>
        </w:rPr>
      </w:pPr>
      <w:r>
        <w:rPr>
          <w:rFonts w:hint="eastAsia" w:ascii="宋体" w:hAnsi="宋体" w:eastAsia="宋体" w:cs="宋体"/>
          <w:b/>
          <w:bCs/>
          <w:sz w:val="28"/>
          <w:szCs w:val="28"/>
        </w:rPr>
        <w:t>法定代表人授权委托书</w:t>
      </w:r>
    </w:p>
    <w:p w14:paraId="2484B107">
      <w:pPr>
        <w:pStyle w:val="9"/>
        <w:rPr>
          <w:rFonts w:hint="eastAsia" w:ascii="宋体" w:hAnsi="宋体" w:eastAsia="宋体" w:cs="宋体"/>
        </w:rPr>
      </w:pPr>
    </w:p>
    <w:p w14:paraId="0212D5A4">
      <w:pPr>
        <w:pStyle w:val="9"/>
        <w:rPr>
          <w:rFonts w:hint="eastAsia" w:ascii="宋体" w:hAnsi="宋体" w:eastAsia="宋体" w:cs="宋体"/>
        </w:rPr>
      </w:pPr>
    </w:p>
    <w:p w14:paraId="5C848B0E">
      <w:pPr>
        <w:topLinePunct/>
        <w:spacing w:line="440" w:lineRule="exact"/>
        <w:ind w:firstLine="480" w:firstLineChars="200"/>
        <w:rPr>
          <w:rFonts w:hint="eastAsia" w:ascii="宋体" w:hAnsi="宋体" w:eastAsia="宋体" w:cs="宋体"/>
          <w:sz w:val="24"/>
        </w:rPr>
      </w:pPr>
      <w:r>
        <w:rPr>
          <w:rFonts w:hint="eastAsia" w:ascii="宋体" w:hAnsi="宋体" w:eastAsia="宋体" w:cs="宋体"/>
          <w:sz w:val="24"/>
        </w:rPr>
        <w:t>本人</w:t>
      </w:r>
      <w:r>
        <w:rPr>
          <w:rFonts w:hint="eastAsia" w:ascii="宋体" w:hAnsi="宋体" w:eastAsia="宋体" w:cs="宋体"/>
          <w:sz w:val="24"/>
          <w:u w:val="single"/>
        </w:rPr>
        <w:t xml:space="preserve">       </w:t>
      </w:r>
      <w:r>
        <w:rPr>
          <w:rFonts w:hint="eastAsia" w:ascii="宋体" w:hAnsi="宋体" w:eastAsia="宋体" w:cs="宋体"/>
          <w:sz w:val="24"/>
        </w:rPr>
        <w:t>（姓名）系</w:t>
      </w:r>
      <w:r>
        <w:rPr>
          <w:rFonts w:hint="eastAsia" w:ascii="宋体" w:hAnsi="宋体" w:eastAsia="宋体" w:cs="宋体"/>
          <w:sz w:val="24"/>
          <w:u w:val="single"/>
        </w:rPr>
        <w:t xml:space="preserve">        </w:t>
      </w:r>
      <w:r>
        <w:rPr>
          <w:rFonts w:hint="eastAsia" w:ascii="宋体" w:hAnsi="宋体" w:eastAsia="宋体" w:cs="宋体"/>
          <w:sz w:val="24"/>
        </w:rPr>
        <w:t>（</w:t>
      </w:r>
      <w:r>
        <w:rPr>
          <w:rFonts w:hint="eastAsia" w:ascii="宋体" w:hAnsi="宋体" w:cs="宋体"/>
          <w:sz w:val="24"/>
          <w:lang w:eastAsia="zh-CN"/>
        </w:rPr>
        <w:t>供应商</w:t>
      </w:r>
      <w:r>
        <w:rPr>
          <w:rFonts w:hint="eastAsia" w:ascii="宋体" w:hAnsi="宋体" w:eastAsia="宋体" w:cs="宋体"/>
          <w:sz w:val="24"/>
        </w:rPr>
        <w:t>名称）的法定代表人，现委托</w:t>
      </w:r>
      <w:r>
        <w:rPr>
          <w:rFonts w:hint="eastAsia" w:ascii="宋体" w:hAnsi="宋体" w:eastAsia="宋体" w:cs="宋体"/>
          <w:sz w:val="24"/>
          <w:u w:val="single"/>
        </w:rPr>
        <w:t xml:space="preserve">        </w:t>
      </w:r>
      <w:r>
        <w:rPr>
          <w:rFonts w:hint="eastAsia" w:ascii="宋体" w:hAnsi="宋体" w:eastAsia="宋体" w:cs="宋体"/>
          <w:sz w:val="24"/>
        </w:rPr>
        <w:t>（姓名）为我方委托代理人。委托代理人根据授权，以我方名义签署、澄清、说明、补正、递交、撤回、修改</w:t>
      </w:r>
      <w:r>
        <w:rPr>
          <w:rFonts w:hint="eastAsia" w:ascii="宋体" w:hAnsi="宋体" w:eastAsia="宋体" w:cs="宋体"/>
          <w:sz w:val="24"/>
          <w:u w:val="single"/>
        </w:rPr>
        <w:t xml:space="preserve">           </w:t>
      </w:r>
      <w:r>
        <w:rPr>
          <w:rFonts w:hint="eastAsia" w:ascii="宋体" w:hAnsi="宋体" w:eastAsia="宋体" w:cs="宋体"/>
          <w:sz w:val="24"/>
        </w:rPr>
        <w:t>（项目名称）</w:t>
      </w:r>
      <w:r>
        <w:rPr>
          <w:rFonts w:hint="eastAsia" w:ascii="宋体" w:hAnsi="宋体" w:eastAsia="宋体" w:cs="宋体"/>
          <w:sz w:val="24"/>
          <w:u w:val="single"/>
        </w:rPr>
        <w:t xml:space="preserve">           </w:t>
      </w:r>
      <w:r>
        <w:rPr>
          <w:rFonts w:hint="eastAsia" w:ascii="宋体" w:hAnsi="宋体" w:eastAsia="宋体" w:cs="宋体"/>
          <w:sz w:val="24"/>
        </w:rPr>
        <w:t>标段</w:t>
      </w:r>
      <w:r>
        <w:rPr>
          <w:rFonts w:hint="eastAsia" w:ascii="宋体" w:hAnsi="宋体" w:cs="宋体"/>
          <w:sz w:val="24"/>
          <w:lang w:eastAsia="zh-CN"/>
        </w:rPr>
        <w:t>响应文件</w:t>
      </w:r>
      <w:r>
        <w:rPr>
          <w:rFonts w:hint="eastAsia" w:ascii="宋体" w:hAnsi="宋体" w:eastAsia="宋体" w:cs="宋体"/>
          <w:sz w:val="24"/>
        </w:rPr>
        <w:t>、签订合同和处理有关事宜，其法律后果由我方承担。</w:t>
      </w:r>
    </w:p>
    <w:p w14:paraId="0A73C5DC">
      <w:pPr>
        <w:spacing w:line="440" w:lineRule="exact"/>
        <w:rPr>
          <w:rFonts w:hint="eastAsia" w:ascii="宋体" w:hAnsi="宋体" w:eastAsia="宋体" w:cs="宋体"/>
          <w:sz w:val="24"/>
        </w:rPr>
      </w:pPr>
      <w:r>
        <w:rPr>
          <w:rFonts w:hint="eastAsia" w:ascii="宋体" w:hAnsi="宋体" w:eastAsia="宋体" w:cs="宋体"/>
          <w:sz w:val="24"/>
        </w:rPr>
        <w:t xml:space="preserve">    委托期限：</w:t>
      </w:r>
      <w:r>
        <w:rPr>
          <w:rFonts w:hint="eastAsia" w:ascii="宋体" w:hAnsi="宋体" w:eastAsia="宋体" w:cs="宋体"/>
          <w:sz w:val="24"/>
          <w:u w:val="single"/>
        </w:rPr>
        <w:t xml:space="preserve">             </w:t>
      </w:r>
      <w:r>
        <w:rPr>
          <w:rFonts w:hint="eastAsia" w:ascii="宋体" w:hAnsi="宋体" w:eastAsia="宋体" w:cs="宋体"/>
          <w:sz w:val="24"/>
        </w:rPr>
        <w:t>。</w:t>
      </w:r>
    </w:p>
    <w:p w14:paraId="68DD67F2">
      <w:pPr>
        <w:spacing w:line="440" w:lineRule="exact"/>
        <w:ind w:firstLine="480" w:firstLineChars="200"/>
        <w:rPr>
          <w:rFonts w:hint="eastAsia" w:ascii="宋体" w:hAnsi="宋体" w:eastAsia="宋体" w:cs="宋体"/>
          <w:sz w:val="24"/>
        </w:rPr>
      </w:pPr>
      <w:r>
        <w:rPr>
          <w:rFonts w:hint="eastAsia" w:ascii="宋体" w:hAnsi="宋体" w:eastAsia="宋体" w:cs="宋体"/>
          <w:sz w:val="24"/>
        </w:rPr>
        <w:t>委托代理人无转委托权。</w:t>
      </w:r>
    </w:p>
    <w:p w14:paraId="41BDCBC2">
      <w:pPr>
        <w:spacing w:line="440" w:lineRule="exact"/>
        <w:ind w:firstLine="480" w:firstLineChars="200"/>
        <w:rPr>
          <w:rFonts w:hint="eastAsia" w:ascii="宋体" w:hAnsi="宋体" w:eastAsia="宋体" w:cs="宋体"/>
          <w:sz w:val="24"/>
        </w:rPr>
      </w:pPr>
      <w:r>
        <w:rPr>
          <w:rFonts w:hint="eastAsia" w:ascii="宋体" w:hAnsi="宋体" w:eastAsia="宋体" w:cs="宋体"/>
          <w:sz w:val="24"/>
        </w:rPr>
        <w:t>附：法定代表人及委托代理人身份证正反面</w:t>
      </w:r>
    </w:p>
    <w:p w14:paraId="0959D3EB">
      <w:pPr>
        <w:spacing w:line="440" w:lineRule="exact"/>
        <w:rPr>
          <w:rFonts w:hint="eastAsia" w:ascii="宋体" w:hAnsi="宋体" w:eastAsia="宋体" w:cs="宋体"/>
          <w:sz w:val="24"/>
        </w:rPr>
      </w:pPr>
    </w:p>
    <w:p w14:paraId="767FE067">
      <w:pPr>
        <w:pStyle w:val="9"/>
        <w:rPr>
          <w:rFonts w:hint="eastAsia" w:ascii="宋体" w:hAnsi="宋体" w:eastAsia="宋体" w:cs="宋体"/>
          <w:sz w:val="24"/>
          <w:szCs w:val="24"/>
        </w:rPr>
      </w:pPr>
    </w:p>
    <w:p w14:paraId="48B7B7A7">
      <w:pPr>
        <w:pStyle w:val="9"/>
        <w:rPr>
          <w:rFonts w:hint="eastAsia" w:ascii="宋体" w:hAnsi="宋体" w:eastAsia="宋体" w:cs="宋体"/>
          <w:sz w:val="24"/>
          <w:szCs w:val="24"/>
        </w:rPr>
      </w:pPr>
    </w:p>
    <w:p w14:paraId="56C8B6BA">
      <w:pPr>
        <w:spacing w:line="480" w:lineRule="auto"/>
        <w:ind w:firstLine="480" w:firstLineChars="200"/>
        <w:rPr>
          <w:rFonts w:hint="eastAsia" w:ascii="宋体" w:hAnsi="宋体" w:eastAsia="宋体" w:cs="宋体"/>
          <w:sz w:val="24"/>
        </w:rPr>
      </w:pPr>
      <w:r>
        <w:rPr>
          <w:rFonts w:hint="eastAsia" w:ascii="宋体" w:hAnsi="宋体" w:cs="宋体"/>
          <w:sz w:val="24"/>
          <w:lang w:eastAsia="zh-CN"/>
        </w:rPr>
        <w:t>供应商</w:t>
      </w:r>
      <w:r>
        <w:rPr>
          <w:rFonts w:hint="eastAsia" w:ascii="宋体" w:hAnsi="宋体" w:eastAsia="宋体" w:cs="宋体"/>
          <w:sz w:val="24"/>
        </w:rPr>
        <w:t>：</w:t>
      </w:r>
      <w:r>
        <w:rPr>
          <w:rFonts w:hint="eastAsia" w:ascii="宋体" w:hAnsi="宋体" w:eastAsia="宋体" w:cs="宋体"/>
          <w:sz w:val="24"/>
          <w:u w:val="single"/>
        </w:rPr>
        <w:t xml:space="preserve">                          </w:t>
      </w:r>
      <w:r>
        <w:rPr>
          <w:rFonts w:hint="eastAsia" w:ascii="宋体" w:hAnsi="宋体" w:eastAsia="宋体" w:cs="宋体"/>
          <w:sz w:val="24"/>
        </w:rPr>
        <w:t>（盖单位章）</w:t>
      </w:r>
    </w:p>
    <w:p w14:paraId="1B6E4BC3">
      <w:pPr>
        <w:spacing w:line="480" w:lineRule="auto"/>
        <w:ind w:firstLine="480" w:firstLineChars="200"/>
        <w:rPr>
          <w:rFonts w:hint="eastAsia" w:ascii="宋体" w:hAnsi="宋体" w:eastAsia="宋体" w:cs="宋体"/>
          <w:sz w:val="24"/>
        </w:rPr>
      </w:pPr>
      <w:r>
        <w:rPr>
          <w:rFonts w:hint="eastAsia" w:ascii="宋体" w:hAnsi="宋体" w:eastAsia="宋体" w:cs="宋体"/>
          <w:sz w:val="24"/>
        </w:rPr>
        <w:t>法定代表人：</w:t>
      </w:r>
      <w:r>
        <w:rPr>
          <w:rFonts w:hint="eastAsia" w:ascii="宋体" w:hAnsi="宋体" w:eastAsia="宋体" w:cs="宋体"/>
          <w:sz w:val="24"/>
          <w:u w:val="single"/>
        </w:rPr>
        <w:t xml:space="preserve">                          </w:t>
      </w:r>
      <w:r>
        <w:rPr>
          <w:rFonts w:hint="eastAsia" w:ascii="宋体" w:hAnsi="宋体" w:eastAsia="宋体" w:cs="宋体"/>
          <w:sz w:val="24"/>
        </w:rPr>
        <w:t>（签字）</w:t>
      </w:r>
    </w:p>
    <w:p w14:paraId="5F33AC4D">
      <w:pPr>
        <w:spacing w:line="480" w:lineRule="auto"/>
        <w:ind w:firstLine="480" w:firstLineChars="200"/>
        <w:rPr>
          <w:rFonts w:hint="eastAsia" w:ascii="宋体" w:hAnsi="宋体" w:eastAsia="宋体" w:cs="宋体"/>
          <w:sz w:val="24"/>
        </w:rPr>
      </w:pPr>
      <w:r>
        <w:rPr>
          <w:rFonts w:hint="eastAsia" w:ascii="宋体" w:hAnsi="宋体" w:eastAsia="宋体" w:cs="宋体"/>
          <w:sz w:val="24"/>
        </w:rPr>
        <w:t>身份证号码：</w:t>
      </w:r>
      <w:r>
        <w:rPr>
          <w:rFonts w:hint="eastAsia" w:ascii="宋体" w:hAnsi="宋体" w:eastAsia="宋体" w:cs="宋体"/>
          <w:sz w:val="24"/>
          <w:u w:val="single"/>
        </w:rPr>
        <w:t xml:space="preserve">                          </w:t>
      </w:r>
    </w:p>
    <w:p w14:paraId="70BE8A3F">
      <w:pPr>
        <w:spacing w:line="480" w:lineRule="auto"/>
        <w:ind w:firstLine="480" w:firstLineChars="200"/>
        <w:rPr>
          <w:rFonts w:hint="eastAsia" w:ascii="宋体" w:hAnsi="宋体" w:eastAsia="宋体" w:cs="宋体"/>
          <w:sz w:val="24"/>
        </w:rPr>
      </w:pPr>
      <w:r>
        <w:rPr>
          <w:rFonts w:hint="eastAsia" w:ascii="宋体" w:hAnsi="宋体" w:eastAsia="宋体" w:cs="宋体"/>
          <w:sz w:val="24"/>
        </w:rPr>
        <w:t>委托代理人：</w:t>
      </w:r>
      <w:r>
        <w:rPr>
          <w:rFonts w:hint="eastAsia" w:ascii="宋体" w:hAnsi="宋体" w:eastAsia="宋体" w:cs="宋体"/>
          <w:sz w:val="24"/>
          <w:u w:val="single"/>
        </w:rPr>
        <w:t xml:space="preserve">                          </w:t>
      </w:r>
      <w:r>
        <w:rPr>
          <w:rFonts w:hint="eastAsia" w:ascii="宋体" w:hAnsi="宋体" w:eastAsia="宋体" w:cs="宋体"/>
          <w:sz w:val="24"/>
        </w:rPr>
        <w:t xml:space="preserve">（签字） </w:t>
      </w:r>
    </w:p>
    <w:p w14:paraId="40B6B1A3">
      <w:pPr>
        <w:spacing w:line="480" w:lineRule="auto"/>
        <w:ind w:firstLine="480" w:firstLineChars="200"/>
        <w:rPr>
          <w:rFonts w:hint="default" w:ascii="宋体" w:hAnsi="宋体" w:eastAsia="宋体" w:cs="宋体"/>
          <w:sz w:val="24"/>
          <w:u w:val="single"/>
          <w:lang w:val="en-US" w:eastAsia="zh-CN"/>
        </w:rPr>
      </w:pPr>
      <w:r>
        <w:rPr>
          <w:rFonts w:hint="eastAsia" w:ascii="宋体" w:hAnsi="宋体" w:eastAsia="宋体" w:cs="宋体"/>
          <w:sz w:val="24"/>
        </w:rPr>
        <w:t>身份证号码：</w:t>
      </w:r>
      <w:r>
        <w:rPr>
          <w:rFonts w:hint="eastAsia" w:ascii="宋体" w:hAnsi="宋体" w:cs="宋体"/>
          <w:sz w:val="24"/>
          <w:u w:val="single"/>
          <w:lang w:val="en-US" w:eastAsia="zh-CN"/>
        </w:rPr>
        <w:t xml:space="preserve">                       </w:t>
      </w:r>
    </w:p>
    <w:p w14:paraId="72E4982B">
      <w:pPr>
        <w:pStyle w:val="9"/>
        <w:rPr>
          <w:rFonts w:hint="eastAsia" w:ascii="宋体" w:hAnsi="宋体" w:eastAsia="宋体" w:cs="宋体"/>
          <w:sz w:val="24"/>
          <w:szCs w:val="24"/>
        </w:rPr>
      </w:pPr>
    </w:p>
    <w:p w14:paraId="4B7C128B">
      <w:pPr>
        <w:pStyle w:val="9"/>
        <w:rPr>
          <w:rFonts w:hint="eastAsia" w:ascii="宋体" w:hAnsi="宋体" w:eastAsia="宋体" w:cs="宋体"/>
          <w:sz w:val="24"/>
          <w:szCs w:val="24"/>
        </w:rPr>
      </w:pPr>
    </w:p>
    <w:p w14:paraId="6CF01E3A">
      <w:pPr>
        <w:spacing w:line="440" w:lineRule="exact"/>
        <w:jc w:val="right"/>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rPr>
        <w:t>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w:t>
      </w:r>
    </w:p>
    <w:p w14:paraId="539F0CC4">
      <w:pPr>
        <w:pStyle w:val="9"/>
        <w:rPr>
          <w:rFonts w:hint="eastAsia" w:ascii="宋体" w:hAnsi="宋体" w:eastAsia="宋体" w:cs="宋体"/>
          <w:sz w:val="24"/>
          <w:szCs w:val="24"/>
        </w:rPr>
      </w:pPr>
    </w:p>
    <w:p w14:paraId="6787C5F7">
      <w:pPr>
        <w:pStyle w:val="9"/>
        <w:rPr>
          <w:rFonts w:hint="eastAsia" w:ascii="宋体" w:hAnsi="宋体" w:eastAsia="宋体" w:cs="宋体"/>
          <w:sz w:val="24"/>
          <w:szCs w:val="24"/>
        </w:rPr>
      </w:pPr>
    </w:p>
    <w:p w14:paraId="730E2411">
      <w:pPr>
        <w:pStyle w:val="9"/>
        <w:rPr>
          <w:rFonts w:hint="eastAsia" w:ascii="宋体" w:hAnsi="宋体" w:eastAsia="宋体" w:cs="宋体"/>
          <w:sz w:val="24"/>
          <w:szCs w:val="24"/>
        </w:rPr>
      </w:pPr>
    </w:p>
    <w:p w14:paraId="4E97D78C">
      <w:pPr>
        <w:pStyle w:val="9"/>
        <w:rPr>
          <w:rFonts w:hint="eastAsia" w:ascii="宋体" w:hAnsi="宋体" w:eastAsia="宋体" w:cs="宋体"/>
          <w:sz w:val="24"/>
          <w:szCs w:val="24"/>
        </w:rPr>
      </w:pPr>
    </w:p>
    <w:p w14:paraId="028624D1">
      <w:pPr>
        <w:pStyle w:val="9"/>
        <w:ind w:firstLine="482" w:firstLineChars="200"/>
        <w:rPr>
          <w:rFonts w:hint="eastAsia" w:ascii="宋体" w:hAnsi="宋体" w:eastAsia="宋体" w:cs="宋体"/>
          <w:b/>
          <w:bCs/>
        </w:rPr>
      </w:pPr>
      <w:r>
        <w:rPr>
          <w:rFonts w:hint="eastAsia" w:ascii="宋体" w:hAnsi="宋体" w:eastAsia="宋体" w:cs="宋体"/>
          <w:b/>
          <w:bCs/>
          <w:sz w:val="24"/>
          <w:szCs w:val="24"/>
        </w:rPr>
        <w:t>注：如</w:t>
      </w:r>
      <w:r>
        <w:rPr>
          <w:rFonts w:hint="eastAsia" w:ascii="宋体" w:hAnsi="宋体" w:eastAsia="宋体" w:cs="宋体"/>
          <w:b/>
          <w:bCs/>
          <w:sz w:val="24"/>
          <w:szCs w:val="24"/>
          <w:lang w:eastAsia="zh-CN"/>
        </w:rPr>
        <w:t>供应商</w:t>
      </w:r>
      <w:r>
        <w:rPr>
          <w:rFonts w:hint="eastAsia" w:ascii="宋体" w:hAnsi="宋体" w:eastAsia="宋体" w:cs="宋体"/>
          <w:b/>
          <w:bCs/>
          <w:sz w:val="24"/>
          <w:szCs w:val="24"/>
        </w:rPr>
        <w:t>是由法定代表人参加投标，则不需提供授权委托书。</w:t>
      </w:r>
    </w:p>
    <w:p w14:paraId="2D146A7C">
      <w:pPr>
        <w:pStyle w:val="9"/>
        <w:rPr>
          <w:rFonts w:hint="eastAsia" w:ascii="宋体" w:hAnsi="宋体" w:eastAsia="宋体" w:cs="宋体"/>
          <w:sz w:val="24"/>
          <w:szCs w:val="24"/>
        </w:rPr>
      </w:pPr>
    </w:p>
    <w:p w14:paraId="77EEFB43">
      <w:pPr>
        <w:pStyle w:val="9"/>
        <w:rPr>
          <w:rFonts w:hint="eastAsia" w:ascii="宋体" w:hAnsi="宋体" w:eastAsia="宋体" w:cs="宋体"/>
          <w:sz w:val="24"/>
          <w:szCs w:val="24"/>
        </w:rPr>
      </w:pPr>
    </w:p>
    <w:p w14:paraId="01084D15">
      <w:pPr>
        <w:pStyle w:val="2"/>
        <w:ind w:left="0" w:leftChars="0" w:firstLine="0" w:firstLineChars="0"/>
        <w:jc w:val="left"/>
        <w:rPr>
          <w:rFonts w:hint="eastAsia" w:ascii="宋体" w:hAnsi="宋体" w:eastAsia="宋体" w:cs="宋体"/>
        </w:rPr>
      </w:pPr>
      <w:r>
        <w:rPr>
          <w:rFonts w:hint="eastAsia" w:ascii="宋体" w:hAnsi="宋体" w:eastAsia="宋体" w:cs="宋体"/>
          <w:sz w:val="24"/>
        </w:rPr>
        <w:br w:type="page"/>
      </w:r>
      <w:r>
        <w:rPr>
          <w:rFonts w:hint="eastAsia" w:ascii="宋体" w:hAnsi="宋体" w:eastAsia="宋体" w:cs="宋体"/>
          <w:b/>
          <w:bCs/>
          <w:sz w:val="24"/>
        </w:rPr>
        <w:t>附件</w:t>
      </w:r>
      <w:r>
        <w:rPr>
          <w:rFonts w:hint="eastAsia" w:ascii="宋体" w:hAnsi="宋体" w:cs="宋体"/>
          <w:b/>
          <w:bCs/>
          <w:sz w:val="24"/>
          <w:lang w:val="en-US" w:eastAsia="zh-CN"/>
        </w:rPr>
        <w:t>三</w:t>
      </w:r>
      <w:r>
        <w:rPr>
          <w:rFonts w:hint="eastAsia" w:ascii="宋体" w:hAnsi="宋体" w:eastAsia="宋体" w:cs="宋体"/>
          <w:b/>
          <w:bCs/>
          <w:sz w:val="24"/>
        </w:rPr>
        <w:t>：</w:t>
      </w:r>
    </w:p>
    <w:p w14:paraId="6CDC9E25">
      <w:pPr>
        <w:jc w:val="left"/>
        <w:rPr>
          <w:rFonts w:ascii="宋体" w:hAnsi="宋体" w:cs="宋体"/>
          <w:b/>
          <w:kern w:val="0"/>
          <w:sz w:val="24"/>
          <w:szCs w:val="24"/>
        </w:rPr>
      </w:pPr>
      <w:r>
        <w:rPr>
          <w:rFonts w:hint="eastAsia" w:ascii="宋体" w:hAnsi="宋体" w:cs="宋体"/>
          <w:b/>
          <w:kern w:val="0"/>
          <w:sz w:val="24"/>
          <w:szCs w:val="24"/>
        </w:rPr>
        <w:t>信用中国查询方式</w:t>
      </w:r>
    </w:p>
    <w:p w14:paraId="06A138A2">
      <w:pPr>
        <w:rPr>
          <w:rFonts w:ascii="宋体" w:hAnsi="宋体" w:cs="宋体"/>
          <w:kern w:val="0"/>
          <w:sz w:val="24"/>
          <w:szCs w:val="24"/>
        </w:rPr>
      </w:pPr>
      <w:r>
        <w:rPr>
          <w:rFonts w:hint="eastAsia" w:ascii="宋体" w:hAnsi="宋体" w:cs="宋体"/>
          <w:kern w:val="0"/>
          <w:sz w:val="24"/>
          <w:szCs w:val="24"/>
        </w:rPr>
        <w:t>1、国家信息中心主办“信用中国”网站地址：http://www.creditchina.gov.cn打开网页后，点击“信用服务”。</w:t>
      </w:r>
    </w:p>
    <w:p w14:paraId="71921413">
      <w:pPr>
        <w:rPr>
          <w:rFonts w:ascii="宋体" w:hAnsi="宋体" w:cs="宋体"/>
          <w:szCs w:val="22"/>
        </w:rPr>
      </w:pPr>
      <w:r>
        <w:rPr>
          <w:rFonts w:hint="eastAsia" w:ascii="宋体" w:hAnsi="宋体" w:cs="宋体"/>
          <w:kern w:val="0"/>
          <w:sz w:val="21"/>
          <w:szCs w:val="21"/>
        </w:rPr>
        <w:drawing>
          <wp:inline distT="0" distB="0" distL="114300" distR="114300">
            <wp:extent cx="5676265" cy="3137535"/>
            <wp:effectExtent l="0" t="0" r="63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676265" cy="3137535"/>
                    </a:xfrm>
                    <a:prstGeom prst="rect">
                      <a:avLst/>
                    </a:prstGeom>
                    <a:noFill/>
                    <a:ln>
                      <a:noFill/>
                    </a:ln>
                  </pic:spPr>
                </pic:pic>
              </a:graphicData>
            </a:graphic>
          </wp:inline>
        </w:drawing>
      </w:r>
    </w:p>
    <w:p w14:paraId="28D0CF3C">
      <w:pPr>
        <w:rPr>
          <w:rFonts w:ascii="宋体" w:hAnsi="宋体" w:cs="宋体"/>
          <w:kern w:val="0"/>
          <w:sz w:val="24"/>
          <w:szCs w:val="24"/>
        </w:rPr>
      </w:pPr>
      <w:r>
        <w:rPr>
          <w:rFonts w:hint="eastAsia" w:ascii="宋体" w:hAnsi="宋体" w:cs="宋体"/>
          <w:sz w:val="24"/>
          <w:szCs w:val="24"/>
        </w:rPr>
        <w:t>2、</w:t>
      </w:r>
      <w:r>
        <w:rPr>
          <w:rFonts w:hint="eastAsia" w:ascii="宋体" w:hAnsi="宋体" w:cs="宋体"/>
          <w:kern w:val="0"/>
          <w:sz w:val="24"/>
          <w:szCs w:val="24"/>
        </w:rPr>
        <w:t>在以下页面中点击“失信被执行人”</w:t>
      </w:r>
    </w:p>
    <w:p w14:paraId="40310C1C">
      <w:pPr>
        <w:ind w:firstLine="482"/>
        <w:rPr>
          <w:rFonts w:ascii="宋体" w:hAnsi="宋体" w:cs="宋体"/>
          <w:szCs w:val="22"/>
        </w:rPr>
      </w:pPr>
      <w:r>
        <w:rPr>
          <w:rFonts w:hint="eastAsia" w:ascii="宋体" w:hAnsi="宋体" w:cs="宋体"/>
          <w:szCs w:val="22"/>
        </w:rPr>
        <w:drawing>
          <wp:anchor distT="0" distB="0" distL="114300" distR="114300" simplePos="0" relativeHeight="251665408" behindDoc="0" locked="0" layoutInCell="1" allowOverlap="1">
            <wp:simplePos x="0" y="0"/>
            <wp:positionH relativeFrom="column">
              <wp:posOffset>-46355</wp:posOffset>
            </wp:positionH>
            <wp:positionV relativeFrom="paragraph">
              <wp:posOffset>22225</wp:posOffset>
            </wp:positionV>
            <wp:extent cx="5810885" cy="3295015"/>
            <wp:effectExtent l="0" t="0" r="18415" b="635"/>
            <wp:wrapTopAndBottom/>
            <wp:docPr id="1055" name="图片 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图片 5" descr="失信"/>
                    <pic:cNvPicPr>
                      <a:picLocks noChangeAspect="1"/>
                    </pic:cNvPicPr>
                  </pic:nvPicPr>
                  <pic:blipFill>
                    <a:blip r:embed="rId5" cstate="print"/>
                    <a:stretch>
                      <a:fillRect/>
                    </a:stretch>
                  </pic:blipFill>
                  <pic:spPr>
                    <a:xfrm>
                      <a:off x="0" y="0"/>
                      <a:ext cx="5810885" cy="3295015"/>
                    </a:xfrm>
                    <a:prstGeom prst="rect">
                      <a:avLst/>
                    </a:prstGeom>
                    <a:noFill/>
                    <a:ln>
                      <a:noFill/>
                    </a:ln>
                  </pic:spPr>
                </pic:pic>
              </a:graphicData>
            </a:graphic>
          </wp:anchor>
        </w:drawing>
      </w:r>
    </w:p>
    <w:p w14:paraId="1E17B4A2">
      <w:pPr>
        <w:ind w:firstLine="420"/>
        <w:rPr>
          <w:rFonts w:ascii="宋体" w:hAnsi="宋体" w:cs="宋体"/>
          <w:szCs w:val="22"/>
        </w:rPr>
      </w:pPr>
    </w:p>
    <w:p w14:paraId="51386731">
      <w:pPr>
        <w:widowControl/>
        <w:autoSpaceDE w:val="0"/>
        <w:autoSpaceDN w:val="0"/>
        <w:snapToGrid w:val="0"/>
        <w:spacing w:line="360" w:lineRule="auto"/>
        <w:ind w:firstLine="680" w:firstLineChars="200"/>
        <w:rPr>
          <w:rFonts w:ascii="宋体" w:hAnsi="宋体" w:cs="宋体"/>
          <w:kern w:val="0"/>
          <w:sz w:val="34"/>
          <w:szCs w:val="21"/>
        </w:rPr>
        <w:sectPr>
          <w:pgSz w:w="11905" w:h="16838"/>
          <w:pgMar w:top="1417" w:right="1417" w:bottom="1417" w:left="1417" w:header="850" w:footer="992" w:gutter="0"/>
          <w:cols w:space="0" w:num="1"/>
          <w:docGrid w:type="lines" w:linePitch="389" w:charSpace="0"/>
        </w:sectPr>
      </w:pPr>
    </w:p>
    <w:p w14:paraId="39860DF8">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t>3、在弹出窗口进入链接网站，在查询窗口输入查询企业名称，将查询结果截图。</w:t>
      </w:r>
    </w:p>
    <w:p w14:paraId="2D7F8BB2">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drawing>
          <wp:inline distT="0" distB="0" distL="114300" distR="114300">
            <wp:extent cx="5898515" cy="3856355"/>
            <wp:effectExtent l="0" t="0" r="6985" b="10795"/>
            <wp:docPr id="10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图片 6"/>
                    <pic:cNvPicPr>
                      <a:picLocks noChangeAspect="1"/>
                    </pic:cNvPicPr>
                  </pic:nvPicPr>
                  <pic:blipFill>
                    <a:blip r:embed="rId6" cstate="print"/>
                    <a:stretch>
                      <a:fillRect/>
                    </a:stretch>
                  </pic:blipFill>
                  <pic:spPr>
                    <a:xfrm>
                      <a:off x="0" y="0"/>
                      <a:ext cx="5898515" cy="3856355"/>
                    </a:xfrm>
                    <a:prstGeom prst="rect">
                      <a:avLst/>
                    </a:prstGeom>
                    <a:noFill/>
                    <a:ln>
                      <a:noFill/>
                    </a:ln>
                  </pic:spPr>
                </pic:pic>
              </a:graphicData>
            </a:graphic>
          </wp:inline>
        </w:drawing>
      </w:r>
    </w:p>
    <w:p w14:paraId="7F78F5CA">
      <w:pPr>
        <w:jc w:val="left"/>
        <w:rPr>
          <w:rFonts w:hint="eastAsia" w:ascii="宋体" w:hAnsi="宋体" w:eastAsia="宋体" w:cs="宋体"/>
          <w:b/>
          <w:kern w:val="0"/>
          <w:sz w:val="28"/>
          <w:szCs w:val="18"/>
          <w:lang w:val="en-US" w:eastAsia="zh-CN"/>
        </w:rPr>
      </w:pPr>
      <w:r>
        <w:drawing>
          <wp:inline distT="0" distB="0" distL="114300" distR="114300">
            <wp:extent cx="5928995" cy="4526280"/>
            <wp:effectExtent l="0" t="0" r="14605" b="762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7"/>
                    <a:stretch>
                      <a:fillRect/>
                    </a:stretch>
                  </pic:blipFill>
                  <pic:spPr>
                    <a:xfrm>
                      <a:off x="0" y="0"/>
                      <a:ext cx="5928995" cy="4526280"/>
                    </a:xfrm>
                    <a:prstGeom prst="rect">
                      <a:avLst/>
                    </a:prstGeom>
                    <a:noFill/>
                    <a:ln>
                      <a:noFill/>
                    </a:ln>
                  </pic:spPr>
                </pic:pic>
              </a:graphicData>
            </a:graphic>
          </wp:inline>
        </w:drawing>
      </w:r>
      <w:r>
        <w:rPr>
          <w:rFonts w:hint="eastAsia" w:ascii="宋体" w:hAnsi="宋体" w:eastAsia="宋体" w:cs="宋体"/>
          <w:b/>
          <w:kern w:val="0"/>
          <w:sz w:val="28"/>
          <w:szCs w:val="18"/>
          <w:lang w:val="en-US" w:eastAsia="zh-CN"/>
        </w:rPr>
        <w:br w:type="page"/>
      </w:r>
    </w:p>
    <w:p w14:paraId="581D5935">
      <w:pPr>
        <w:pStyle w:val="2"/>
        <w:ind w:firstLine="0"/>
        <w:jc w:val="left"/>
        <w:rPr>
          <w:rFonts w:ascii="宋体" w:hAnsi="宋体" w:cs="宋体"/>
          <w:b/>
          <w:bCs/>
          <w:sz w:val="24"/>
        </w:rPr>
      </w:pPr>
      <w:r>
        <w:rPr>
          <w:rFonts w:hint="eastAsia" w:ascii="宋体" w:hAnsi="宋体" w:cs="宋体"/>
          <w:b/>
          <w:bCs/>
          <w:sz w:val="24"/>
        </w:rPr>
        <w:t>附件四：</w:t>
      </w:r>
    </w:p>
    <w:p w14:paraId="4E426B81">
      <w:pPr>
        <w:pStyle w:val="2"/>
        <w:ind w:firstLine="0"/>
        <w:jc w:val="left"/>
        <w:rPr>
          <w:rFonts w:ascii="宋体" w:hAnsi="宋体" w:cs="宋体"/>
          <w:b/>
          <w:kern w:val="0"/>
          <w:sz w:val="24"/>
          <w:szCs w:val="24"/>
        </w:rPr>
      </w:pPr>
      <w:r>
        <w:rPr>
          <w:rFonts w:hint="eastAsia" w:ascii="宋体" w:hAnsi="宋体" w:cs="宋体"/>
          <w:b/>
          <w:bCs/>
          <w:sz w:val="24"/>
        </w:rPr>
        <w:t>“中国裁判文书网”（wenshu.court.gov.cn）站查询截图；</w:t>
      </w:r>
    </w:p>
    <w:p w14:paraId="0F76E445">
      <w:pPr>
        <w:pStyle w:val="2"/>
        <w:ind w:firstLine="0"/>
        <w:jc w:val="left"/>
        <w:rPr>
          <w:rFonts w:ascii="宋体" w:hAnsi="宋体" w:cs="宋体"/>
          <w:sz w:val="24"/>
        </w:rPr>
      </w:pPr>
      <w:r>
        <w:rPr>
          <w:rFonts w:hint="eastAsia" w:ascii="宋体" w:hAnsi="宋体" w:cs="宋体"/>
          <w:sz w:val="24"/>
        </w:rPr>
        <w:t>第1步：打开系统首页。</w:t>
      </w:r>
    </w:p>
    <w:p w14:paraId="7B72B80C">
      <w:r>
        <w:drawing>
          <wp:inline distT="0" distB="0" distL="114300" distR="114300">
            <wp:extent cx="5914390" cy="4012565"/>
            <wp:effectExtent l="0" t="0" r="10160" b="6985"/>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8"/>
                    <a:stretch>
                      <a:fillRect/>
                    </a:stretch>
                  </pic:blipFill>
                  <pic:spPr>
                    <a:xfrm>
                      <a:off x="0" y="0"/>
                      <a:ext cx="5914390" cy="4012565"/>
                    </a:xfrm>
                    <a:prstGeom prst="rect">
                      <a:avLst/>
                    </a:prstGeom>
                    <a:noFill/>
                    <a:ln>
                      <a:noFill/>
                    </a:ln>
                  </pic:spPr>
                </pic:pic>
              </a:graphicData>
            </a:graphic>
          </wp:inline>
        </w:drawing>
      </w:r>
    </w:p>
    <w:p w14:paraId="77707957">
      <w:pPr>
        <w:rPr>
          <w:sz w:val="24"/>
          <w:szCs w:val="24"/>
        </w:rPr>
      </w:pPr>
      <w:r>
        <w:rPr>
          <w:rFonts w:hint="eastAsia"/>
          <w:sz w:val="24"/>
          <w:szCs w:val="24"/>
        </w:rPr>
        <w:br w:type="page"/>
      </w:r>
    </w:p>
    <w:p w14:paraId="6138978C">
      <w:pPr>
        <w:adjustRightInd w:val="0"/>
        <w:snapToGrid w:val="0"/>
        <w:spacing w:line="360" w:lineRule="auto"/>
        <w:ind w:firstLine="480" w:firstLineChars="200"/>
        <w:rPr>
          <w:sz w:val="24"/>
          <w:szCs w:val="24"/>
        </w:rPr>
      </w:pPr>
      <w:r>
        <w:rPr>
          <w:rFonts w:hint="eastAsia"/>
          <w:sz w:val="24"/>
          <w:szCs w:val="24"/>
        </w:rPr>
        <w:t>第2步：点击“高级检索”，“当事人”为供应商名称或供应商法定代表人，“全文”为“行贿罪”，“裁判日期”不得少于近三年（自询比采购文件</w:t>
      </w:r>
      <w:r>
        <w:rPr>
          <w:rFonts w:hint="eastAsia"/>
          <w:sz w:val="24"/>
          <w:szCs w:val="24"/>
          <w:lang w:eastAsia="zh-CN"/>
        </w:rPr>
        <w:t>发布</w:t>
      </w:r>
      <w:r>
        <w:rPr>
          <w:rFonts w:hint="eastAsia"/>
          <w:sz w:val="24"/>
          <w:szCs w:val="24"/>
        </w:rPr>
        <w:t>之日起前三年，多于三年或不选裁判日期均可）。</w:t>
      </w:r>
    </w:p>
    <w:p w14:paraId="6AC4D5CE">
      <w:pPr>
        <w:rPr>
          <w:b/>
        </w:rPr>
      </w:pPr>
      <w:r>
        <w:drawing>
          <wp:inline distT="0" distB="0" distL="114300" distR="114300">
            <wp:extent cx="6031230" cy="4309745"/>
            <wp:effectExtent l="0" t="0" r="7620" b="14605"/>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9"/>
                    <a:stretch>
                      <a:fillRect/>
                    </a:stretch>
                  </pic:blipFill>
                  <pic:spPr>
                    <a:xfrm>
                      <a:off x="0" y="0"/>
                      <a:ext cx="6031230" cy="4309745"/>
                    </a:xfrm>
                    <a:prstGeom prst="rect">
                      <a:avLst/>
                    </a:prstGeom>
                    <a:noFill/>
                    <a:ln>
                      <a:noFill/>
                    </a:ln>
                  </pic:spPr>
                </pic:pic>
              </a:graphicData>
            </a:graphic>
          </wp:inline>
        </w:drawing>
      </w:r>
    </w:p>
    <w:p w14:paraId="0B8A5C91">
      <w:pPr>
        <w:spacing w:line="360" w:lineRule="auto"/>
        <w:rPr>
          <w:rFonts w:ascii="宋体" w:hAnsi="宋体" w:cs="宋体"/>
          <w:b/>
          <w:bCs/>
          <w:sz w:val="24"/>
          <w:szCs w:val="24"/>
        </w:rPr>
      </w:pPr>
    </w:p>
    <w:p w14:paraId="2622E6B1">
      <w:pPr>
        <w:spacing w:beforeLines="0" w:after="120" w:afterLines="0"/>
        <w:jc w:val="left"/>
        <w:rPr>
          <w:rFonts w:hint="eastAsia" w:ascii="宋体" w:hAnsi="宋体" w:eastAsia="宋体" w:cs="宋体"/>
          <w:kern w:val="0"/>
          <w:sz w:val="20"/>
          <w:szCs w:val="24"/>
          <w:highlight w:val="none"/>
          <w:lang w:eastAsia="zh-CN"/>
        </w:rPr>
      </w:pPr>
    </w:p>
    <w:p w14:paraId="4D2A8627">
      <w:pPr>
        <w:ind w:right="-1029" w:rightChars="-490"/>
        <w:jc w:val="left"/>
        <w:outlineLvl w:val="9"/>
        <w:rPr>
          <w:rFonts w:hint="eastAsia" w:ascii="宋体" w:hAnsi="宋体" w:eastAsia="宋体" w:cs="宋体"/>
          <w:b/>
          <w:kern w:val="0"/>
          <w:sz w:val="32"/>
          <w:szCs w:val="22"/>
          <w:highlight w:val="none"/>
        </w:rPr>
      </w:pPr>
      <w:bookmarkStart w:id="1" w:name="_Toc9085"/>
      <w:bookmarkStart w:id="2" w:name="_Toc26244"/>
      <w:bookmarkStart w:id="3" w:name="_Toc13476"/>
      <w:bookmarkStart w:id="4" w:name="_Toc9800"/>
      <w:bookmarkStart w:id="5" w:name="_Toc15378"/>
      <w:bookmarkStart w:id="6" w:name="_Toc4949"/>
    </w:p>
    <w:p w14:paraId="22FC57CE">
      <w:pPr>
        <w:rPr>
          <w:rFonts w:hint="eastAsia" w:ascii="宋体" w:hAnsi="宋体" w:eastAsia="宋体" w:cs="宋体"/>
          <w:b/>
          <w:kern w:val="0"/>
          <w:sz w:val="32"/>
          <w:szCs w:val="22"/>
          <w:highlight w:val="none"/>
        </w:rPr>
      </w:pPr>
      <w:r>
        <w:rPr>
          <w:rFonts w:hint="eastAsia" w:ascii="宋体" w:hAnsi="宋体" w:eastAsia="宋体" w:cs="宋体"/>
          <w:b/>
          <w:kern w:val="0"/>
          <w:sz w:val="32"/>
          <w:szCs w:val="22"/>
          <w:highlight w:val="none"/>
        </w:rPr>
        <w:br w:type="page"/>
      </w:r>
    </w:p>
    <w:bookmarkEnd w:id="1"/>
    <w:bookmarkEnd w:id="2"/>
    <w:bookmarkEnd w:id="3"/>
    <w:bookmarkEnd w:id="4"/>
    <w:bookmarkEnd w:id="5"/>
    <w:bookmarkEnd w:id="6"/>
    <w:p w14:paraId="7AE956AB">
      <w:pPr>
        <w:rPr>
          <w:rFonts w:hint="eastAsia" w:ascii="宋体" w:hAnsi="宋体" w:eastAsia="宋体" w:cs="宋体"/>
          <w:highlight w:val="none"/>
          <w:lang w:eastAsia="zh-CN"/>
        </w:rPr>
      </w:pPr>
    </w:p>
    <w:p w14:paraId="27FF8C10">
      <w:pPr>
        <w:spacing w:line="360" w:lineRule="auto"/>
        <w:rPr>
          <w:rFonts w:ascii="宋体" w:hAnsi="宋体" w:cs="宋体"/>
          <w:b/>
          <w:bCs/>
          <w:sz w:val="24"/>
          <w:szCs w:val="24"/>
        </w:rPr>
      </w:pPr>
      <w:r>
        <w:rPr>
          <w:rFonts w:hint="eastAsia" w:ascii="宋体" w:hAnsi="宋体" w:cs="宋体"/>
          <w:b/>
          <w:bCs/>
          <w:sz w:val="24"/>
          <w:szCs w:val="24"/>
        </w:rPr>
        <w:t>附件五：</w:t>
      </w:r>
    </w:p>
    <w:p w14:paraId="7CED5543">
      <w:pPr>
        <w:spacing w:line="360" w:lineRule="auto"/>
        <w:rPr>
          <w:rFonts w:ascii="宋体" w:hAnsi="宋体" w:cs="宋体"/>
          <w:b/>
          <w:bCs/>
          <w:sz w:val="24"/>
          <w:szCs w:val="24"/>
        </w:rPr>
      </w:pPr>
      <w:r>
        <w:rPr>
          <w:rFonts w:hint="eastAsia" w:ascii="宋体" w:hAnsi="宋体" w:cs="宋体"/>
          <w:b/>
          <w:bCs/>
          <w:sz w:val="24"/>
          <w:szCs w:val="24"/>
        </w:rPr>
        <w:t>国家企业信用信息公示系统网站截图</w:t>
      </w:r>
    </w:p>
    <w:p w14:paraId="1CAADFAC">
      <w:pPr>
        <w:pStyle w:val="2"/>
        <w:adjustRightInd w:val="0"/>
        <w:snapToGrid w:val="0"/>
        <w:spacing w:line="360" w:lineRule="auto"/>
        <w:ind w:firstLine="560"/>
        <w:rPr>
          <w:rFonts w:ascii="宋体" w:hAnsi="宋体" w:cs="宋体"/>
          <w:kern w:val="0"/>
          <w:sz w:val="24"/>
          <w:szCs w:val="24"/>
        </w:rPr>
      </w:pPr>
      <w:r>
        <w:rPr>
          <w:rFonts w:hint="eastAsia" w:ascii="宋体" w:hAnsi="宋体" w:cs="宋体"/>
          <w:kern w:val="0"/>
          <w:sz w:val="24"/>
          <w:szCs w:val="24"/>
        </w:rPr>
        <w:t>第1步：打开系统首页。</w:t>
      </w:r>
    </w:p>
    <w:p w14:paraId="156B4F18">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第2步：空白处输入供应商名称并点击“查询”。</w:t>
      </w:r>
    </w:p>
    <w:p w14:paraId="47A17627">
      <w:pPr>
        <w:ind w:firstLine="420" w:firstLineChars="200"/>
        <w:jc w:val="center"/>
        <w:rPr>
          <w:rFonts w:ascii="仿宋" w:hAnsi="仿宋" w:eastAsia="仿宋" w:cs="仿宋"/>
          <w:kern w:val="0"/>
        </w:rPr>
      </w:pPr>
      <w:r>
        <w:drawing>
          <wp:inline distT="0" distB="0" distL="114300" distR="114300">
            <wp:extent cx="5028565" cy="2008505"/>
            <wp:effectExtent l="0" t="0" r="635" b="10795"/>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0"/>
                    <a:stretch>
                      <a:fillRect/>
                    </a:stretch>
                  </pic:blipFill>
                  <pic:spPr>
                    <a:xfrm>
                      <a:off x="0" y="0"/>
                      <a:ext cx="5028565" cy="2008505"/>
                    </a:xfrm>
                    <a:prstGeom prst="rect">
                      <a:avLst/>
                    </a:prstGeom>
                    <a:noFill/>
                    <a:ln>
                      <a:noFill/>
                    </a:ln>
                  </pic:spPr>
                </pic:pic>
              </a:graphicData>
            </a:graphic>
          </wp:inline>
        </w:drawing>
      </w:r>
    </w:p>
    <w:p w14:paraId="2482B49F">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第3步：点击选择供应商名称。</w:t>
      </w:r>
    </w:p>
    <w:p w14:paraId="4993937E">
      <w:pPr>
        <w:ind w:firstLine="420" w:firstLineChars="200"/>
        <w:jc w:val="center"/>
      </w:pPr>
      <w:r>
        <w:drawing>
          <wp:inline distT="0" distB="0" distL="114300" distR="114300">
            <wp:extent cx="5175885" cy="2152650"/>
            <wp:effectExtent l="0" t="0" r="5715" b="0"/>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11"/>
                    <a:stretch>
                      <a:fillRect/>
                    </a:stretch>
                  </pic:blipFill>
                  <pic:spPr>
                    <a:xfrm>
                      <a:off x="0" y="0"/>
                      <a:ext cx="5175885" cy="2152650"/>
                    </a:xfrm>
                    <a:prstGeom prst="rect">
                      <a:avLst/>
                    </a:prstGeom>
                    <a:noFill/>
                    <a:ln>
                      <a:noFill/>
                    </a:ln>
                  </pic:spPr>
                </pic:pic>
              </a:graphicData>
            </a:graphic>
          </wp:inline>
        </w:drawing>
      </w:r>
    </w:p>
    <w:p w14:paraId="68022642">
      <w:pPr>
        <w:rPr>
          <w:rFonts w:ascii="宋体" w:hAnsi="宋体" w:cs="宋体"/>
          <w:kern w:val="0"/>
          <w:sz w:val="24"/>
          <w:szCs w:val="24"/>
        </w:rPr>
      </w:pPr>
      <w:r>
        <w:rPr>
          <w:rFonts w:hint="eastAsia" w:ascii="宋体" w:hAnsi="宋体" w:cs="宋体"/>
          <w:kern w:val="0"/>
          <w:sz w:val="24"/>
          <w:szCs w:val="24"/>
        </w:rPr>
        <w:br w:type="page"/>
      </w:r>
    </w:p>
    <w:p w14:paraId="59CE3E67">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第4步：选择“列入经营异常名录信息”，截取当前页面，显示“暂无列入经营异常名录信息”，即可报名。</w:t>
      </w:r>
    </w:p>
    <w:p w14:paraId="784E852A">
      <w:pPr>
        <w:pStyle w:val="2"/>
        <w:ind w:left="0" w:leftChars="0" w:firstLine="0" w:firstLineChars="0"/>
        <w:jc w:val="center"/>
        <w:rPr>
          <w:rFonts w:eastAsia="等线"/>
        </w:rPr>
      </w:pPr>
      <w:r>
        <w:rPr>
          <w:rFonts w:ascii="仿宋" w:hAnsi="仿宋" w:eastAsia="仿宋" w:cs="仿宋"/>
          <w:b/>
          <w:kern w:val="0"/>
        </w:rPr>
        <w:drawing>
          <wp:inline distT="0" distB="0" distL="114300" distR="114300">
            <wp:extent cx="4975225" cy="2550160"/>
            <wp:effectExtent l="0" t="0" r="15875" b="2540"/>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pic:cNvPicPr>
                  </pic:nvPicPr>
                  <pic:blipFill>
                    <a:blip r:embed="rId12"/>
                    <a:stretch>
                      <a:fillRect/>
                    </a:stretch>
                  </pic:blipFill>
                  <pic:spPr>
                    <a:xfrm>
                      <a:off x="0" y="0"/>
                      <a:ext cx="4975225" cy="2550160"/>
                    </a:xfrm>
                    <a:prstGeom prst="rect">
                      <a:avLst/>
                    </a:prstGeom>
                    <a:noFill/>
                    <a:ln>
                      <a:noFill/>
                    </a:ln>
                  </pic:spPr>
                </pic:pic>
              </a:graphicData>
            </a:graphic>
          </wp:inline>
        </w:drawing>
      </w:r>
    </w:p>
    <w:p w14:paraId="55FEAA7D">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第5步：选择“列入严重违法失信企业名单（黑名单）信息”，截取当前页面，显示“暂无列入严重违法失信企业名单（黑名单）信息”即可报名。</w:t>
      </w:r>
    </w:p>
    <w:p w14:paraId="7B537B70">
      <w:pPr>
        <w:spacing w:line="360" w:lineRule="auto"/>
        <w:jc w:val="center"/>
        <w:rPr>
          <w:rFonts w:ascii="宋体" w:hAnsi="宋体" w:cs="宋体"/>
          <w:b/>
          <w:kern w:val="0"/>
          <w:sz w:val="24"/>
          <w:szCs w:val="24"/>
        </w:rPr>
      </w:pPr>
      <w:r>
        <w:drawing>
          <wp:inline distT="0" distB="0" distL="114300" distR="114300">
            <wp:extent cx="5238115" cy="2458720"/>
            <wp:effectExtent l="0" t="0" r="635" b="17780"/>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pic:cNvPicPr>
                  </pic:nvPicPr>
                  <pic:blipFill>
                    <a:blip r:embed="rId13"/>
                    <a:stretch>
                      <a:fillRect/>
                    </a:stretch>
                  </pic:blipFill>
                  <pic:spPr>
                    <a:xfrm>
                      <a:off x="0" y="0"/>
                      <a:ext cx="5238115" cy="2458720"/>
                    </a:xfrm>
                    <a:prstGeom prst="rect">
                      <a:avLst/>
                    </a:prstGeom>
                    <a:noFill/>
                    <a:ln>
                      <a:noFill/>
                    </a:ln>
                  </pic:spPr>
                </pic:pic>
              </a:graphicData>
            </a:graphic>
          </wp:inline>
        </w:drawing>
      </w:r>
      <w:r>
        <w:rPr>
          <w:rFonts w:hint="eastAsia" w:ascii="宋体" w:hAnsi="宋体" w:cs="宋体"/>
          <w:b/>
          <w:bCs/>
          <w:sz w:val="24"/>
          <w:szCs w:val="24"/>
        </w:rPr>
        <w:br w:type="page"/>
      </w:r>
      <w:r>
        <w:rPr>
          <w:rFonts w:hint="eastAsia" w:ascii="宋体" w:hAnsi="宋体" w:cs="宋体"/>
          <w:b/>
          <w:bCs/>
          <w:sz w:val="24"/>
          <w:szCs w:val="24"/>
        </w:rPr>
        <w:t>附件六：</w:t>
      </w:r>
    </w:p>
    <w:p w14:paraId="4E1BE3C7">
      <w:pPr>
        <w:pStyle w:val="9"/>
        <w:jc w:val="center"/>
        <w:rPr>
          <w:rFonts w:ascii="宋体" w:hAnsi="宋体" w:cs="宋体"/>
          <w:b/>
          <w:bCs/>
          <w:sz w:val="28"/>
          <w:szCs w:val="28"/>
        </w:rPr>
      </w:pPr>
      <w:r>
        <w:rPr>
          <w:rFonts w:hint="eastAsia" w:ascii="宋体" w:hAnsi="宋体" w:cs="宋体"/>
          <w:b/>
          <w:bCs/>
          <w:sz w:val="28"/>
          <w:szCs w:val="28"/>
        </w:rPr>
        <w:t>响应真实性承诺书</w:t>
      </w:r>
    </w:p>
    <w:p w14:paraId="3A90F6D6">
      <w:pPr>
        <w:spacing w:line="360" w:lineRule="auto"/>
        <w:rPr>
          <w:rFonts w:ascii="宋体" w:hAnsi="宋体" w:cs="宋体"/>
          <w:sz w:val="24"/>
          <w:szCs w:val="24"/>
        </w:rPr>
      </w:pPr>
    </w:p>
    <w:p w14:paraId="1F9C84CA">
      <w:pPr>
        <w:spacing w:line="360" w:lineRule="auto"/>
        <w:rPr>
          <w:rFonts w:ascii="宋体" w:hAnsi="宋体" w:cs="宋体"/>
          <w:sz w:val="24"/>
          <w:szCs w:val="24"/>
        </w:rPr>
      </w:pPr>
      <w:r>
        <w:rPr>
          <w:rFonts w:hint="eastAsia" w:ascii="宋体" w:hAnsi="宋体" w:cs="宋体"/>
          <w:sz w:val="24"/>
          <w:szCs w:val="24"/>
        </w:rPr>
        <w:t>致：</w:t>
      </w:r>
      <w:r>
        <w:rPr>
          <w:rFonts w:hint="eastAsia" w:ascii="宋体" w:hAnsi="宋体" w:cs="宋体"/>
          <w:sz w:val="24"/>
          <w:szCs w:val="24"/>
          <w:u w:val="single"/>
        </w:rPr>
        <w:t xml:space="preserve">              </w:t>
      </w:r>
      <w:r>
        <w:rPr>
          <w:rFonts w:hint="eastAsia" w:ascii="宋体" w:hAnsi="宋体" w:cs="宋体"/>
          <w:sz w:val="24"/>
          <w:szCs w:val="24"/>
        </w:rPr>
        <w:t>（采购人）</w:t>
      </w:r>
    </w:p>
    <w:p w14:paraId="1C878309">
      <w:pPr>
        <w:spacing w:line="360" w:lineRule="auto"/>
        <w:ind w:firstLine="3570"/>
        <w:rPr>
          <w:rFonts w:ascii="宋体" w:hAnsi="宋体" w:cs="宋体"/>
          <w:sz w:val="24"/>
          <w:szCs w:val="24"/>
        </w:rPr>
      </w:pPr>
    </w:p>
    <w:p w14:paraId="50A83280">
      <w:pPr>
        <w:spacing w:line="360" w:lineRule="auto"/>
        <w:ind w:firstLine="480" w:firstLineChars="200"/>
        <w:rPr>
          <w:rFonts w:ascii="宋体" w:hAnsi="宋体" w:cs="宋体"/>
          <w:sz w:val="24"/>
          <w:szCs w:val="24"/>
        </w:rPr>
      </w:pPr>
      <w:r>
        <w:rPr>
          <w:rFonts w:hint="eastAsia" w:ascii="宋体" w:hAnsi="宋体" w:cs="宋体"/>
          <w:sz w:val="24"/>
          <w:szCs w:val="24"/>
        </w:rPr>
        <w:t>我公司郑重承诺提交的报名审查资料及响应文件中提供所有资料等内容均真实有效，并对所提交的所有资料内容的真实性负责，如有不实，我公司自愿承担由此引发的所有责任及接受相应的处罚。</w:t>
      </w:r>
    </w:p>
    <w:p w14:paraId="5B36F3CD">
      <w:pPr>
        <w:spacing w:line="360" w:lineRule="auto"/>
        <w:ind w:firstLine="3570"/>
        <w:rPr>
          <w:rFonts w:ascii="宋体" w:hAnsi="宋体" w:cs="宋体"/>
          <w:sz w:val="24"/>
          <w:szCs w:val="24"/>
        </w:rPr>
      </w:pPr>
    </w:p>
    <w:p w14:paraId="7C012B6D">
      <w:pPr>
        <w:spacing w:line="360" w:lineRule="auto"/>
        <w:ind w:firstLine="3570"/>
        <w:rPr>
          <w:rFonts w:ascii="宋体" w:hAnsi="宋体" w:cs="宋体"/>
          <w:sz w:val="24"/>
          <w:szCs w:val="24"/>
        </w:rPr>
      </w:pPr>
    </w:p>
    <w:p w14:paraId="7B5FFABC">
      <w:pPr>
        <w:spacing w:line="360" w:lineRule="auto"/>
        <w:ind w:firstLine="3570"/>
        <w:rPr>
          <w:rFonts w:ascii="宋体" w:hAnsi="宋体" w:cs="宋体"/>
          <w:sz w:val="24"/>
          <w:szCs w:val="24"/>
        </w:rPr>
      </w:pPr>
    </w:p>
    <w:p w14:paraId="20A362E8">
      <w:pPr>
        <w:spacing w:line="360" w:lineRule="auto"/>
        <w:ind w:firstLine="3570"/>
        <w:rPr>
          <w:rFonts w:ascii="宋体" w:hAnsi="宋体" w:cs="宋体"/>
          <w:sz w:val="24"/>
          <w:szCs w:val="24"/>
        </w:rPr>
      </w:pPr>
    </w:p>
    <w:p w14:paraId="16DA884B">
      <w:pPr>
        <w:spacing w:line="360" w:lineRule="auto"/>
        <w:ind w:firstLine="3570"/>
        <w:rPr>
          <w:rFonts w:ascii="宋体" w:hAnsi="宋体" w:cs="宋体"/>
          <w:sz w:val="24"/>
          <w:szCs w:val="24"/>
        </w:rPr>
      </w:pPr>
    </w:p>
    <w:p w14:paraId="3E44324A">
      <w:pPr>
        <w:spacing w:line="360" w:lineRule="auto"/>
        <w:ind w:firstLine="3570"/>
        <w:rPr>
          <w:rFonts w:ascii="宋体" w:hAnsi="宋体" w:cs="宋体"/>
          <w:sz w:val="24"/>
          <w:szCs w:val="24"/>
        </w:rPr>
      </w:pPr>
    </w:p>
    <w:p w14:paraId="0BAF727E">
      <w:pPr>
        <w:spacing w:line="360" w:lineRule="auto"/>
        <w:ind w:firstLine="3570"/>
        <w:rPr>
          <w:rFonts w:ascii="宋体" w:hAnsi="宋体" w:cs="宋体"/>
          <w:sz w:val="24"/>
          <w:szCs w:val="24"/>
        </w:rPr>
      </w:pPr>
    </w:p>
    <w:p w14:paraId="041620B6">
      <w:pPr>
        <w:spacing w:line="360" w:lineRule="auto"/>
        <w:ind w:firstLine="357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258C4C23">
      <w:pPr>
        <w:spacing w:line="360" w:lineRule="auto"/>
        <w:ind w:firstLine="3570"/>
        <w:rPr>
          <w:rFonts w:ascii="宋体" w:hAnsi="宋体" w:cs="宋体"/>
          <w:sz w:val="24"/>
          <w:szCs w:val="24"/>
        </w:rPr>
      </w:pPr>
      <w:r>
        <w:rPr>
          <w:rFonts w:hint="eastAsia" w:ascii="宋体" w:hAnsi="宋体" w:cs="宋体"/>
          <w:sz w:val="24"/>
          <w:szCs w:val="24"/>
        </w:rPr>
        <w:t>______年_____月______日</w:t>
      </w:r>
    </w:p>
    <w:p w14:paraId="5D1EE48E">
      <w:pPr>
        <w:jc w:val="center"/>
        <w:rPr>
          <w:rFonts w:hint="eastAsia" w:ascii="宋体" w:hAnsi="宋体" w:eastAsia="宋体" w:cs="宋体"/>
          <w:b/>
          <w:bCs/>
          <w:sz w:val="24"/>
        </w:rPr>
      </w:pPr>
      <w:r>
        <w:rPr>
          <w:rFonts w:hint="eastAsia" w:ascii="宋体" w:hAnsi="宋体" w:eastAsia="宋体" w:cs="宋体"/>
          <w:b/>
          <w:bCs/>
          <w:sz w:val="24"/>
        </w:rPr>
        <w:br w:type="page"/>
      </w:r>
    </w:p>
    <w:p w14:paraId="6FA093DB">
      <w:pPr>
        <w:tabs>
          <w:tab w:val="left" w:pos="840"/>
        </w:tabs>
        <w:spacing w:line="400" w:lineRule="exact"/>
        <w:jc w:val="left"/>
        <w:rPr>
          <w:rFonts w:hint="eastAsia" w:ascii="宋体" w:hAnsi="宋体" w:eastAsia="宋体" w:cs="宋体"/>
          <w:b/>
          <w:sz w:val="24"/>
        </w:rPr>
      </w:pPr>
      <w:r>
        <w:rPr>
          <w:rFonts w:hint="eastAsia" w:ascii="宋体" w:hAnsi="宋体" w:eastAsia="宋体" w:cs="宋体"/>
          <w:b/>
          <w:sz w:val="24"/>
        </w:rPr>
        <w:t>附件</w:t>
      </w:r>
      <w:r>
        <w:rPr>
          <w:rFonts w:hint="eastAsia" w:ascii="宋体" w:hAnsi="宋体" w:cs="宋体"/>
          <w:b/>
          <w:sz w:val="24"/>
          <w:lang w:val="en-US" w:eastAsia="zh-CN"/>
        </w:rPr>
        <w:t>七</w:t>
      </w:r>
      <w:r>
        <w:rPr>
          <w:rFonts w:hint="eastAsia" w:ascii="宋体" w:hAnsi="宋体" w:eastAsia="宋体" w:cs="宋体"/>
          <w:b/>
          <w:sz w:val="24"/>
        </w:rPr>
        <w:t>：</w:t>
      </w:r>
    </w:p>
    <w:p w14:paraId="0F683929">
      <w:pPr>
        <w:spacing w:line="220" w:lineRule="atLeast"/>
        <w:ind w:firstLine="0" w:firstLineChars="0"/>
        <w:jc w:val="center"/>
        <w:outlineLvl w:val="9"/>
        <w:rPr>
          <w:rFonts w:ascii="宋体" w:hAnsi="宋体" w:eastAsia="宋体"/>
          <w:b/>
          <w:sz w:val="32"/>
        </w:rPr>
      </w:pPr>
      <w:r>
        <w:rPr>
          <w:rFonts w:hint="eastAsia" w:ascii="宋体" w:hAnsi="宋体" w:eastAsia="宋体"/>
          <w:b/>
          <w:sz w:val="32"/>
        </w:rPr>
        <w:t>异议函</w:t>
      </w:r>
    </w:p>
    <w:p w14:paraId="0DD3A826">
      <w:pPr>
        <w:tabs>
          <w:tab w:val="center" w:pos="4201"/>
          <w:tab w:val="right" w:leader="dot" w:pos="9298"/>
        </w:tabs>
        <w:autoSpaceDE w:val="0"/>
        <w:autoSpaceDN w:val="0"/>
        <w:spacing w:line="276" w:lineRule="auto"/>
        <w:ind w:firstLine="0" w:firstLineChars="0"/>
        <w:outlineLvl w:val="9"/>
        <w:rPr>
          <w:rFonts w:ascii="宋体" w:hAnsi="宋体" w:eastAsia="宋体" w:cs="Times New Roman"/>
          <w:sz w:val="21"/>
          <w:szCs w:val="21"/>
        </w:rPr>
      </w:pPr>
    </w:p>
    <w:p w14:paraId="2ADE12FE">
      <w:pPr>
        <w:autoSpaceDE w:val="0"/>
        <w:autoSpaceDN w:val="0"/>
        <w:adjustRightInd w:val="0"/>
        <w:snapToGrid w:val="0"/>
        <w:outlineLvl w:val="9"/>
        <w:rPr>
          <w:rFonts w:ascii="宋体" w:hAnsi="宋体" w:eastAsia="宋体" w:cs="Times New Roman"/>
          <w:bCs/>
        </w:rPr>
      </w:pPr>
      <w:r>
        <w:rPr>
          <w:rFonts w:hint="eastAsia" w:ascii="宋体" w:hAnsi="宋体" w:eastAsia="宋体" w:cs="Times New Roman"/>
          <w:bCs/>
        </w:rPr>
        <w:t>致</w:t>
      </w:r>
      <w:r>
        <w:rPr>
          <w:rFonts w:hint="eastAsia" w:ascii="宋体" w:hAnsi="宋体" w:eastAsia="宋体" w:cs="Times New Roman"/>
          <w:bCs/>
          <w:lang w:eastAsia="zh-CN"/>
        </w:rPr>
        <w:t>（</w:t>
      </w:r>
      <w:r>
        <w:rPr>
          <w:rFonts w:hint="eastAsia" w:ascii="宋体" w:hAnsi="宋体" w:eastAsia="宋体" w:cs="Times New Roman"/>
          <w:bCs/>
          <w:lang w:val="en-US" w:eastAsia="zh-CN"/>
        </w:rPr>
        <w:t>采购人）</w:t>
      </w:r>
      <w:r>
        <w:rPr>
          <w:rFonts w:hint="eastAsia" w:ascii="宋体" w:hAnsi="宋体" w:eastAsia="宋体" w:cs="Times New Roman"/>
          <w:bCs/>
        </w:rPr>
        <w:t>：</w:t>
      </w:r>
    </w:p>
    <w:p w14:paraId="5F606D6C">
      <w:pPr>
        <w:tabs>
          <w:tab w:val="center" w:pos="4201"/>
          <w:tab w:val="right" w:leader="dot" w:pos="9298"/>
        </w:tabs>
        <w:autoSpaceDE w:val="0"/>
        <w:autoSpaceDN w:val="0"/>
        <w:ind w:firstLine="480"/>
        <w:outlineLvl w:val="9"/>
        <w:rPr>
          <w:rFonts w:ascii="宋体" w:hAnsi="宋体" w:eastAsia="宋体" w:cs="宋体"/>
        </w:rPr>
      </w:pPr>
    </w:p>
    <w:p w14:paraId="5E78206F">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我公司依法参与了贵公司于</w:t>
      </w:r>
      <w:r>
        <w:rPr>
          <w:rFonts w:hint="eastAsia" w:ascii="宋体" w:hAnsi="宋体" w:eastAsia="宋体" w:cs="宋体"/>
          <w:u w:val="single"/>
        </w:rPr>
        <w:t xml:space="preserve">       </w:t>
      </w:r>
      <w:r>
        <w:rPr>
          <w:rFonts w:hint="eastAsia" w:ascii="宋体" w:hAnsi="宋体" w:eastAsia="宋体" w:cs="宋体"/>
        </w:rPr>
        <w:t xml:space="preserve"> 年</w:t>
      </w:r>
      <w:r>
        <w:rPr>
          <w:rFonts w:hint="eastAsia" w:ascii="宋体" w:hAnsi="宋体" w:eastAsia="宋体" w:cs="宋体"/>
          <w:u w:val="single"/>
        </w:rPr>
        <w:t xml:space="preserve">      </w:t>
      </w:r>
      <w:r>
        <w:rPr>
          <w:rFonts w:hint="eastAsia" w:ascii="宋体" w:hAnsi="宋体" w:eastAsia="宋体" w:cs="宋体"/>
        </w:rPr>
        <w:t>月</w:t>
      </w:r>
      <w:r>
        <w:rPr>
          <w:rFonts w:hint="eastAsia" w:ascii="宋体" w:hAnsi="宋体" w:eastAsia="宋体" w:cs="宋体"/>
          <w:u w:val="single"/>
        </w:rPr>
        <w:t xml:space="preserve">      </w:t>
      </w:r>
      <w:r>
        <w:rPr>
          <w:rFonts w:hint="eastAsia" w:ascii="宋体" w:hAnsi="宋体" w:eastAsia="宋体" w:cs="宋体"/>
        </w:rPr>
        <w:t>日组织的项目名称为</w:t>
      </w:r>
      <w:r>
        <w:rPr>
          <w:rFonts w:hint="eastAsia" w:ascii="宋体" w:hAnsi="宋体" w:eastAsia="宋体" w:cs="宋体"/>
          <w:u w:val="single"/>
        </w:rPr>
        <w:t xml:space="preserve">                         </w:t>
      </w:r>
      <w:r>
        <w:rPr>
          <w:rFonts w:hint="eastAsia" w:ascii="宋体" w:hAnsi="宋体" w:eastAsia="宋体" w:cs="宋体"/>
        </w:rPr>
        <w:t>，项目编号为：</w:t>
      </w:r>
      <w:r>
        <w:rPr>
          <w:rFonts w:hint="eastAsia" w:ascii="宋体" w:hAnsi="宋体" w:eastAsia="宋体" w:cs="宋体"/>
          <w:u w:val="single"/>
        </w:rPr>
        <w:t xml:space="preserve">                 </w:t>
      </w:r>
      <w:r>
        <w:rPr>
          <w:rFonts w:hint="eastAsia" w:ascii="宋体" w:hAnsi="宋体" w:eastAsia="宋体" w:cs="宋体"/>
        </w:rPr>
        <w:t>，标段名称：</w:t>
      </w:r>
      <w:r>
        <w:rPr>
          <w:rFonts w:hint="eastAsia" w:ascii="宋体" w:hAnsi="宋体" w:eastAsia="宋体" w:cs="宋体"/>
          <w:u w:val="single"/>
        </w:rPr>
        <w:t xml:space="preserve"> </w:t>
      </w:r>
      <w:r>
        <w:rPr>
          <w:rFonts w:ascii="宋体" w:hAnsi="宋体" w:eastAsia="宋体" w:cs="宋体"/>
          <w:u w:val="single"/>
        </w:rPr>
        <w:t xml:space="preserve">    </w:t>
      </w:r>
      <w:r>
        <w:rPr>
          <w:rFonts w:hint="eastAsia" w:ascii="宋体" w:hAnsi="宋体" w:eastAsia="宋体" w:cs="宋体"/>
          <w:u w:val="single"/>
        </w:rPr>
        <w:t xml:space="preserve"> </w:t>
      </w:r>
      <w:r>
        <w:rPr>
          <w:rFonts w:hint="eastAsia" w:ascii="宋体" w:hAnsi="宋体" w:eastAsia="宋体" w:cs="宋体"/>
        </w:rPr>
        <w:t>的采购活动，该项目目前正处于：</w:t>
      </w:r>
      <w:r>
        <w:rPr>
          <w:rFonts w:hint="eastAsia" w:ascii="宋体" w:hAnsi="宋体" w:eastAsia="宋体" w:cs="宋体"/>
          <w:u w:val="single"/>
        </w:rPr>
        <w:t xml:space="preserve">                     </w:t>
      </w:r>
      <w:r>
        <w:rPr>
          <w:rFonts w:hint="eastAsia" w:ascii="宋体" w:hAnsi="宋体" w:eastAsia="宋体" w:cs="宋体"/>
        </w:rPr>
        <w:t>。现我公司对</w:t>
      </w:r>
      <w:r>
        <w:rPr>
          <w:rFonts w:hint="eastAsia" w:ascii="宋体" w:hAnsi="宋体" w:eastAsia="宋体" w:cs="宋体"/>
          <w:u w:val="single"/>
        </w:rPr>
        <w:t xml:space="preserve">                  </w:t>
      </w:r>
      <w:r>
        <w:rPr>
          <w:rFonts w:hint="eastAsia" w:ascii="宋体" w:hAnsi="宋体" w:eastAsia="宋体" w:cs="宋体"/>
        </w:rPr>
        <w:t>提出异议。</w:t>
      </w:r>
    </w:p>
    <w:p w14:paraId="6770B8DD">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一、被异议人</w:t>
      </w:r>
    </w:p>
    <w:p w14:paraId="653F0957">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0784C069">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二、异议事项的基本事实</w:t>
      </w:r>
    </w:p>
    <w:p w14:paraId="5066FC1E">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35E6D6A8">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三、请求及主张</w:t>
      </w:r>
    </w:p>
    <w:p w14:paraId="79358098">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44FD85C1">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四、法律依据、有效线索及相关材料</w:t>
      </w:r>
    </w:p>
    <w:p w14:paraId="0D6170BA">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50B91963">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五、 附件：1.异议授权函</w:t>
      </w:r>
    </w:p>
    <w:p w14:paraId="271D9FF2">
      <w:pPr>
        <w:keepNext w:val="0"/>
        <w:keepLines w:val="0"/>
        <w:pageBreakBefore w:val="0"/>
        <w:widowControl w:val="0"/>
        <w:kinsoku/>
        <w:wordWrap w:val="0"/>
        <w:overflowPunct/>
        <w:topLinePunct w:val="0"/>
        <w:bidi w:val="0"/>
        <w:adjustRightInd/>
        <w:snapToGrid/>
        <w:spacing w:line="440" w:lineRule="exact"/>
        <w:ind w:firstLine="420" w:firstLineChars="200"/>
        <w:jc w:val="left"/>
        <w:textAlignment w:val="auto"/>
        <w:outlineLvl w:val="9"/>
        <w:rPr>
          <w:rFonts w:ascii="宋体" w:hAnsi="宋体" w:eastAsia="宋体" w:cs="宋体"/>
          <w:kern w:val="0"/>
        </w:rPr>
      </w:pPr>
      <w:r>
        <w:rPr>
          <w:rFonts w:hint="eastAsia" w:ascii="宋体" w:hAnsi="宋体" w:eastAsia="宋体" w:cs="宋体"/>
          <w:kern w:val="0"/>
        </w:rPr>
        <w:t>2.营业执照复印件（加盖公章）</w:t>
      </w:r>
    </w:p>
    <w:p w14:paraId="69E40A64">
      <w:pPr>
        <w:keepNext w:val="0"/>
        <w:keepLines w:val="0"/>
        <w:pageBreakBefore w:val="0"/>
        <w:widowControl w:val="0"/>
        <w:kinsoku/>
        <w:wordWrap w:val="0"/>
        <w:overflowPunct/>
        <w:topLinePunct w:val="0"/>
        <w:bidi w:val="0"/>
        <w:adjustRightInd/>
        <w:snapToGrid/>
        <w:spacing w:line="440" w:lineRule="exact"/>
        <w:ind w:firstLine="420" w:firstLineChars="200"/>
        <w:jc w:val="left"/>
        <w:textAlignment w:val="auto"/>
        <w:outlineLvl w:val="9"/>
        <w:rPr>
          <w:rFonts w:ascii="宋体" w:hAnsi="宋体" w:eastAsia="宋体" w:cs="宋体"/>
          <w:kern w:val="0"/>
        </w:rPr>
      </w:pPr>
      <w:r>
        <w:rPr>
          <w:rFonts w:hint="eastAsia" w:ascii="宋体" w:hAnsi="宋体" w:eastAsia="宋体" w:cs="宋体"/>
          <w:kern w:val="0"/>
        </w:rPr>
        <w:t>3.异议真实性承诺函</w:t>
      </w:r>
    </w:p>
    <w:p w14:paraId="3DF9F4C5">
      <w:pPr>
        <w:keepNext w:val="0"/>
        <w:keepLines w:val="0"/>
        <w:pageBreakBefore w:val="0"/>
        <w:widowControl w:val="0"/>
        <w:kinsoku/>
        <w:wordWrap w:val="0"/>
        <w:overflowPunct/>
        <w:topLinePunct w:val="0"/>
        <w:bidi w:val="0"/>
        <w:adjustRightInd/>
        <w:snapToGrid/>
        <w:spacing w:line="440" w:lineRule="exact"/>
        <w:jc w:val="left"/>
        <w:textAlignment w:val="auto"/>
        <w:outlineLvl w:val="9"/>
        <w:rPr>
          <w:rFonts w:ascii="宋体" w:hAnsi="宋体" w:eastAsia="宋体" w:cs="宋体"/>
          <w:kern w:val="0"/>
        </w:rPr>
      </w:pPr>
    </w:p>
    <w:p w14:paraId="6E8CA0BF">
      <w:pPr>
        <w:spacing w:after="312" w:afterLines="100"/>
        <w:jc w:val="left"/>
        <w:outlineLvl w:val="9"/>
        <w:rPr>
          <w:rFonts w:ascii="宋体" w:hAnsi="宋体" w:eastAsia="宋体" w:cs="宋体"/>
          <w:kern w:val="0"/>
        </w:rPr>
      </w:pPr>
    </w:p>
    <w:p w14:paraId="7E7335E1">
      <w:pPr>
        <w:keepNext w:val="0"/>
        <w:keepLines w:val="0"/>
        <w:pageBreakBefore w:val="0"/>
        <w:widowControl w:val="0"/>
        <w:tabs>
          <w:tab w:val="center" w:pos="4201"/>
          <w:tab w:val="right" w:leader="dot" w:pos="9298"/>
        </w:tabs>
        <w:kinsoku/>
        <w:wordWrap/>
        <w:overflowPunct/>
        <w:topLinePunct w:val="0"/>
        <w:autoSpaceDE w:val="0"/>
        <w:autoSpaceDN w:val="0"/>
        <w:bidi w:val="0"/>
        <w:adjustRightInd/>
        <w:snapToGrid/>
        <w:ind w:right="0"/>
        <w:jc w:val="right"/>
        <w:textAlignment w:val="auto"/>
        <w:outlineLvl w:val="9"/>
        <w:rPr>
          <w:rFonts w:hint="eastAsia" w:ascii="宋体" w:hAnsi="宋体" w:eastAsia="宋体" w:cs="宋体"/>
          <w:lang w:eastAsia="zh-CN"/>
        </w:rPr>
      </w:pPr>
      <w:r>
        <w:rPr>
          <w:rFonts w:hint="eastAsia" w:ascii="宋体" w:hAnsi="宋体" w:eastAsia="宋体" w:cs="宋体"/>
        </w:rPr>
        <w:t>公司名称（公章）：</w:t>
      </w:r>
      <w:r>
        <w:rPr>
          <w:rFonts w:hint="eastAsia" w:ascii="宋体" w:hAnsi="宋体" w:eastAsia="宋体" w:cs="宋体"/>
          <w:u w:val="single"/>
        </w:rPr>
        <w:t xml:space="preserve">               </w:t>
      </w:r>
      <w:r>
        <w:rPr>
          <w:rFonts w:hint="eastAsia" w:ascii="宋体" w:hAnsi="宋体" w:cs="宋体"/>
          <w:u w:val="single"/>
          <w:lang w:eastAsia="zh-CN"/>
        </w:rPr>
        <w:t>；</w:t>
      </w:r>
    </w:p>
    <w:p w14:paraId="7407B7D5">
      <w:pPr>
        <w:tabs>
          <w:tab w:val="center" w:pos="4201"/>
          <w:tab w:val="right" w:leader="dot" w:pos="9298"/>
        </w:tabs>
        <w:autoSpaceDE w:val="0"/>
        <w:autoSpaceDN w:val="0"/>
        <w:jc w:val="right"/>
        <w:outlineLvl w:val="9"/>
        <w:rPr>
          <w:rFonts w:hint="eastAsia" w:ascii="宋体" w:hAnsi="宋体" w:eastAsia="宋体" w:cs="宋体"/>
        </w:rPr>
      </w:pPr>
    </w:p>
    <w:p w14:paraId="48948747">
      <w:pPr>
        <w:tabs>
          <w:tab w:val="center" w:pos="4201"/>
          <w:tab w:val="right" w:leader="dot" w:pos="9298"/>
        </w:tabs>
        <w:autoSpaceDE w:val="0"/>
        <w:autoSpaceDN w:val="0"/>
        <w:jc w:val="right"/>
        <w:outlineLvl w:val="9"/>
        <w:rPr>
          <w:rFonts w:hint="eastAsia" w:ascii="宋体" w:hAnsi="宋体" w:eastAsia="宋体" w:cs="宋体"/>
          <w:kern w:val="0"/>
          <w:lang w:eastAsia="zh-CN"/>
        </w:rPr>
      </w:pPr>
      <w:r>
        <w:rPr>
          <w:rFonts w:hint="eastAsia" w:ascii="宋体" w:hAnsi="宋体" w:eastAsia="宋体" w:cs="宋体"/>
        </w:rPr>
        <w:t>联系电话：</w:t>
      </w:r>
      <w:r>
        <w:rPr>
          <w:rFonts w:hint="eastAsia" w:ascii="宋体" w:hAnsi="宋体" w:eastAsia="宋体" w:cs="宋体"/>
          <w:u w:val="single"/>
        </w:rPr>
        <w:t xml:space="preserve">        </w:t>
      </w:r>
      <w:r>
        <w:rPr>
          <w:rFonts w:hint="eastAsia" w:ascii="宋体" w:hAnsi="宋体" w:cs="宋体"/>
          <w:u w:val="single"/>
          <w:lang w:val="en-US" w:eastAsia="zh-CN"/>
        </w:rPr>
        <w:t xml:space="preserve">        </w:t>
      </w:r>
      <w:r>
        <w:rPr>
          <w:rFonts w:hint="eastAsia" w:ascii="宋体" w:hAnsi="宋体" w:eastAsia="宋体" w:cs="宋体"/>
          <w:u w:val="single"/>
        </w:rPr>
        <w:t xml:space="preserve">       </w:t>
      </w:r>
      <w:r>
        <w:rPr>
          <w:rFonts w:hint="eastAsia" w:ascii="宋体" w:hAnsi="宋体" w:cs="宋体"/>
          <w:u w:val="single"/>
          <w:lang w:eastAsia="zh-CN"/>
        </w:rPr>
        <w:t>；</w:t>
      </w:r>
    </w:p>
    <w:p w14:paraId="3C54ED44">
      <w:pPr>
        <w:tabs>
          <w:tab w:val="center" w:pos="4201"/>
          <w:tab w:val="right" w:leader="dot" w:pos="9298"/>
        </w:tabs>
        <w:autoSpaceDE w:val="0"/>
        <w:autoSpaceDN w:val="0"/>
        <w:jc w:val="right"/>
        <w:outlineLvl w:val="9"/>
        <w:rPr>
          <w:rFonts w:hint="eastAsia" w:ascii="宋体" w:hAnsi="宋体" w:eastAsia="宋体" w:cs="宋体"/>
          <w:kern w:val="0"/>
        </w:rPr>
      </w:pPr>
    </w:p>
    <w:p w14:paraId="59AAEBD2">
      <w:pPr>
        <w:tabs>
          <w:tab w:val="center" w:pos="4201"/>
          <w:tab w:val="right" w:leader="dot" w:pos="9298"/>
        </w:tabs>
        <w:autoSpaceDE w:val="0"/>
        <w:autoSpaceDN w:val="0"/>
        <w:jc w:val="right"/>
        <w:outlineLvl w:val="9"/>
        <w:rPr>
          <w:rFonts w:hint="eastAsia" w:ascii="宋体" w:hAnsi="宋体" w:eastAsia="宋体" w:cs="宋体"/>
          <w:color w:val="FF0000"/>
          <w:kern w:val="0"/>
          <w:sz w:val="21"/>
          <w:szCs w:val="21"/>
          <w:lang w:val="en-US" w:eastAsia="zh-CN"/>
        </w:rPr>
      </w:pPr>
      <w:r>
        <w:rPr>
          <w:rFonts w:hint="eastAsia" w:ascii="宋体" w:hAnsi="宋体" w:eastAsia="宋体" w:cs="宋体"/>
          <w:kern w:val="0"/>
        </w:rPr>
        <w:t>联系地址：</w:t>
      </w:r>
      <w:r>
        <w:rPr>
          <w:rFonts w:hint="eastAsia" w:ascii="宋体" w:hAnsi="宋体" w:eastAsia="宋体" w:cs="宋体"/>
          <w:u w:val="single"/>
        </w:rPr>
        <w:t xml:space="preserve">           </w:t>
      </w:r>
      <w:r>
        <w:rPr>
          <w:rFonts w:hint="eastAsia" w:ascii="宋体" w:hAnsi="宋体" w:cs="宋体"/>
          <w:u w:val="single"/>
          <w:lang w:val="en-US" w:eastAsia="zh-CN"/>
        </w:rPr>
        <w:t xml:space="preserve">         </w:t>
      </w:r>
      <w:r>
        <w:rPr>
          <w:rFonts w:hint="eastAsia" w:ascii="宋体" w:hAnsi="宋体" w:eastAsia="宋体" w:cs="宋体"/>
          <w:u w:val="single"/>
        </w:rPr>
        <w:t xml:space="preserve">   </w:t>
      </w:r>
      <w:r>
        <w:rPr>
          <w:rFonts w:hint="eastAsia" w:ascii="宋体" w:hAnsi="宋体" w:cs="宋体"/>
          <w:u w:val="single"/>
          <w:lang w:eastAsia="zh-CN"/>
        </w:rPr>
        <w:t>；</w:t>
      </w:r>
    </w:p>
    <w:p w14:paraId="057833C9">
      <w:pPr>
        <w:spacing w:line="276" w:lineRule="auto"/>
        <w:ind w:firstLine="420"/>
        <w:outlineLvl w:val="9"/>
        <w:rPr>
          <w:rFonts w:ascii="宋体" w:hAnsi="宋体" w:eastAsia="宋体" w:cs="宋体"/>
          <w:color w:val="FF0000"/>
          <w:kern w:val="0"/>
          <w:sz w:val="21"/>
          <w:szCs w:val="21"/>
        </w:rPr>
      </w:pPr>
      <w:r>
        <w:rPr>
          <w:rFonts w:ascii="宋体" w:hAnsi="宋体" w:eastAsia="宋体" w:cs="宋体"/>
          <w:color w:val="FF0000"/>
          <w:kern w:val="0"/>
          <w:sz w:val="21"/>
          <w:szCs w:val="21"/>
        </w:rPr>
        <w:br w:type="page"/>
      </w:r>
    </w:p>
    <w:p w14:paraId="436BCDAD">
      <w:pPr>
        <w:spacing w:line="220" w:lineRule="atLeast"/>
        <w:ind w:firstLine="0" w:firstLineChars="0"/>
        <w:jc w:val="center"/>
        <w:outlineLvl w:val="9"/>
        <w:rPr>
          <w:rFonts w:ascii="宋体" w:hAnsi="宋体" w:eastAsia="宋体"/>
          <w:b/>
          <w:sz w:val="32"/>
        </w:rPr>
      </w:pPr>
      <w:r>
        <w:rPr>
          <w:rFonts w:hint="eastAsia" w:ascii="宋体" w:hAnsi="宋体" w:eastAsia="宋体"/>
          <w:b/>
          <w:sz w:val="32"/>
        </w:rPr>
        <w:t>异议授权函</w:t>
      </w:r>
    </w:p>
    <w:p w14:paraId="55860FEC">
      <w:pPr>
        <w:keepNext w:val="0"/>
        <w:keepLines w:val="0"/>
        <w:pageBreakBefore w:val="0"/>
        <w:widowControl w:val="0"/>
        <w:kinsoku/>
        <w:wordWrap/>
        <w:overflowPunct/>
        <w:topLinePunct w:val="0"/>
        <w:autoSpaceDE w:val="0"/>
        <w:autoSpaceDN w:val="0"/>
        <w:bidi w:val="0"/>
        <w:adjustRightInd/>
        <w:snapToGrid/>
        <w:spacing w:line="440" w:lineRule="exact"/>
        <w:ind w:right="0" w:firstLine="602" w:firstLineChars="200"/>
        <w:jc w:val="center"/>
        <w:textAlignment w:val="auto"/>
        <w:outlineLvl w:val="9"/>
        <w:rPr>
          <w:rFonts w:ascii="宋体" w:hAnsi="宋体" w:eastAsia="宋体" w:cs="Times New Roman"/>
          <w:b/>
          <w:bCs/>
          <w:sz w:val="30"/>
          <w:szCs w:val="30"/>
        </w:rPr>
      </w:pPr>
    </w:p>
    <w:p w14:paraId="3BCA0E2C">
      <w:pPr>
        <w:keepNext w:val="0"/>
        <w:keepLines w:val="0"/>
        <w:pageBreakBefore w:val="0"/>
        <w:widowControl w:val="0"/>
        <w:kinsoku/>
        <w:wordWrap/>
        <w:overflowPunct/>
        <w:topLinePunct w:val="0"/>
        <w:autoSpaceDE w:val="0"/>
        <w:autoSpaceDN w:val="0"/>
        <w:bidi w:val="0"/>
        <w:adjustRightInd/>
        <w:snapToGrid/>
        <w:spacing w:line="440" w:lineRule="exact"/>
        <w:ind w:right="0" w:firstLine="420" w:firstLineChars="200"/>
        <w:textAlignment w:val="auto"/>
        <w:outlineLvl w:val="9"/>
        <w:rPr>
          <w:rFonts w:ascii="宋体" w:hAnsi="宋体" w:eastAsia="宋体" w:cs="Times New Roman"/>
          <w:bCs/>
        </w:rPr>
      </w:pPr>
      <w:r>
        <w:rPr>
          <w:rFonts w:hint="eastAsia" w:ascii="宋体" w:hAnsi="宋体" w:eastAsia="宋体" w:cs="Times New Roman"/>
          <w:bCs/>
        </w:rPr>
        <w:t>致</w:t>
      </w:r>
      <w:r>
        <w:rPr>
          <w:rFonts w:hint="eastAsia" w:ascii="宋体" w:hAnsi="宋体" w:eastAsia="宋体" w:cs="Times New Roman"/>
          <w:bCs/>
          <w:lang w:eastAsia="zh-CN"/>
        </w:rPr>
        <w:t>（</w:t>
      </w:r>
      <w:r>
        <w:rPr>
          <w:rFonts w:hint="eastAsia" w:ascii="宋体" w:hAnsi="宋体" w:eastAsia="宋体" w:cs="Times New Roman"/>
          <w:bCs/>
          <w:lang w:val="en-US" w:eastAsia="zh-CN"/>
        </w:rPr>
        <w:t>采购人）</w:t>
      </w:r>
      <w:r>
        <w:rPr>
          <w:rFonts w:hint="eastAsia" w:ascii="宋体" w:hAnsi="宋体" w:eastAsia="宋体" w:cs="Times New Roman"/>
          <w:bCs/>
        </w:rPr>
        <w:t>：</w:t>
      </w:r>
    </w:p>
    <w:p w14:paraId="4292C1D4">
      <w:pPr>
        <w:keepNext w:val="0"/>
        <w:keepLines w:val="0"/>
        <w:pageBreakBefore w:val="0"/>
        <w:widowControl w:val="0"/>
        <w:kinsoku/>
        <w:wordWrap/>
        <w:overflowPunct/>
        <w:topLinePunct w:val="0"/>
        <w:bidi w:val="0"/>
        <w:adjustRightInd/>
        <w:snapToGrid/>
        <w:spacing w:line="440" w:lineRule="exact"/>
        <w:ind w:right="0" w:firstLine="420" w:firstLineChars="200"/>
        <w:jc w:val="left"/>
        <w:textAlignment w:val="auto"/>
        <w:outlineLvl w:val="9"/>
        <w:rPr>
          <w:rFonts w:ascii="宋体" w:hAnsi="宋体" w:eastAsia="宋体" w:cs="Times New Roman"/>
        </w:rPr>
      </w:pPr>
    </w:p>
    <w:p w14:paraId="11343B38">
      <w:pPr>
        <w:keepNext w:val="0"/>
        <w:keepLines w:val="0"/>
        <w:pageBreakBefore w:val="0"/>
        <w:widowControl w:val="0"/>
        <w:kinsoku/>
        <w:wordWrap/>
        <w:overflowPunct/>
        <w:topLinePunct w:val="0"/>
        <w:bidi w:val="0"/>
        <w:adjustRightInd/>
        <w:snapToGrid/>
        <w:spacing w:line="440" w:lineRule="exact"/>
        <w:ind w:right="0" w:firstLine="420" w:firstLineChars="200"/>
        <w:jc w:val="left"/>
        <w:textAlignment w:val="auto"/>
        <w:outlineLvl w:val="9"/>
        <w:rPr>
          <w:rFonts w:ascii="宋体" w:hAnsi="宋体" w:eastAsia="宋体" w:cs="Times New Roman"/>
        </w:rPr>
      </w:pPr>
      <w:r>
        <w:rPr>
          <w:rFonts w:ascii="宋体" w:hAnsi="宋体" w:eastAsia="宋体" w:cs="Times New Roman"/>
        </w:rPr>
        <w:t>_____________</w:t>
      </w:r>
      <w:r>
        <w:rPr>
          <w:rFonts w:hint="eastAsia" w:ascii="宋体" w:hAnsi="宋体" w:eastAsia="宋体" w:cs="Times New Roman"/>
        </w:rPr>
        <w:t>（供应商名称），中华人民共和国合法企业，法定地址：</w:t>
      </w:r>
      <w:r>
        <w:rPr>
          <w:rFonts w:ascii="宋体" w:hAnsi="宋体" w:eastAsia="宋体" w:cs="Times New Roman"/>
          <w:u w:val="single"/>
        </w:rPr>
        <w:t xml:space="preserve">             </w:t>
      </w:r>
      <w:r>
        <w:rPr>
          <w:rFonts w:hint="eastAsia" w:ascii="宋体" w:hAnsi="宋体" w:eastAsia="宋体" w:cs="Times New Roman"/>
          <w:u w:val="single"/>
        </w:rPr>
        <w:t xml:space="preserve">      </w:t>
      </w:r>
      <w:r>
        <w:rPr>
          <w:rFonts w:ascii="宋体" w:hAnsi="宋体" w:eastAsia="宋体" w:cs="Times New Roman"/>
          <w:u w:val="single"/>
        </w:rPr>
        <w:t xml:space="preserve">  </w:t>
      </w:r>
      <w:r>
        <w:rPr>
          <w:rFonts w:hint="eastAsia" w:ascii="宋体" w:hAnsi="宋体" w:eastAsia="宋体" w:cs="Times New Roman"/>
        </w:rPr>
        <w:t>。</w:t>
      </w:r>
    </w:p>
    <w:p w14:paraId="7CA2AB85">
      <w:pPr>
        <w:keepNext w:val="0"/>
        <w:keepLines w:val="0"/>
        <w:pageBreakBefore w:val="0"/>
        <w:widowControl w:val="0"/>
        <w:kinsoku/>
        <w:wordWrap/>
        <w:overflowPunct/>
        <w:topLinePunct w:val="0"/>
        <w:bidi w:val="0"/>
        <w:adjustRightInd/>
        <w:snapToGrid/>
        <w:spacing w:line="440" w:lineRule="exact"/>
        <w:ind w:right="0" w:firstLine="420" w:firstLineChars="200"/>
        <w:jc w:val="left"/>
        <w:textAlignment w:val="auto"/>
        <w:outlineLvl w:val="9"/>
        <w:rPr>
          <w:rFonts w:ascii="宋体" w:hAnsi="宋体" w:eastAsia="宋体" w:cs="Times New Roman"/>
        </w:rPr>
      </w:pPr>
      <w:r>
        <w:rPr>
          <w:rFonts w:ascii="宋体" w:hAnsi="宋体" w:eastAsia="宋体" w:cs="Times New Roman"/>
        </w:rPr>
        <w:t>_____________</w:t>
      </w:r>
      <w:r>
        <w:rPr>
          <w:rFonts w:hint="eastAsia" w:ascii="宋体" w:hAnsi="宋体" w:eastAsia="宋体" w:cs="Times New Roman"/>
        </w:rPr>
        <w:t>（营业执照法定代表人）特授权</w:t>
      </w:r>
      <w:r>
        <w:rPr>
          <w:rFonts w:ascii="宋体" w:hAnsi="宋体" w:eastAsia="宋体" w:cs="Times New Roman"/>
        </w:rPr>
        <w:t>________</w:t>
      </w:r>
      <w:r>
        <w:rPr>
          <w:rFonts w:hint="eastAsia" w:ascii="宋体" w:hAnsi="宋体" w:eastAsia="宋体" w:cs="Times New Roman"/>
        </w:rPr>
        <w:t>代表我公司全权办理</w:t>
      </w:r>
      <w:r>
        <w:rPr>
          <w:rFonts w:ascii="宋体" w:hAnsi="宋体" w:eastAsia="宋体" w:cs="Times New Roman"/>
        </w:rPr>
        <w:t>____________</w:t>
      </w:r>
      <w:r>
        <w:rPr>
          <w:rFonts w:hint="eastAsia" w:ascii="宋体" w:hAnsi="宋体" w:eastAsia="宋体" w:cs="Times New Roman"/>
        </w:rPr>
        <w:t>（项目名称）</w:t>
      </w:r>
      <w:r>
        <w:rPr>
          <w:rFonts w:hint="eastAsia" w:ascii="宋体" w:hAnsi="宋体" w:cs="Times New Roman"/>
          <w:u w:val="single"/>
          <w:lang w:val="en-US" w:eastAsia="zh-CN"/>
        </w:rPr>
        <w:t xml:space="preserve">      </w:t>
      </w:r>
      <w:r>
        <w:rPr>
          <w:rFonts w:hint="eastAsia" w:ascii="宋体" w:hAnsi="宋体" w:eastAsia="宋体" w:cs="Times New Roman"/>
        </w:rPr>
        <w:t>（招标编号）</w:t>
      </w:r>
      <w:r>
        <w:rPr>
          <w:rFonts w:hint="eastAsia" w:ascii="宋体" w:hAnsi="宋体" w:eastAsia="宋体" w:cs="Times New Roman"/>
          <w:u w:val="single"/>
        </w:rPr>
        <w:t xml:space="preserve">    </w:t>
      </w:r>
      <w:r>
        <w:rPr>
          <w:rFonts w:hint="eastAsia" w:ascii="宋体" w:hAnsi="宋体" w:eastAsia="宋体" w:cs="Times New Roman"/>
        </w:rPr>
        <w:t>（标段</w:t>
      </w:r>
      <w:r>
        <w:rPr>
          <w:rFonts w:hint="eastAsia" w:ascii="宋体" w:hAnsi="宋体" w:cs="Times New Roman"/>
          <w:lang w:val="en-US" w:eastAsia="zh-CN"/>
        </w:rPr>
        <w:t>名称</w:t>
      </w:r>
      <w:r>
        <w:rPr>
          <w:rFonts w:hint="eastAsia" w:ascii="宋体" w:hAnsi="宋体" w:eastAsia="宋体" w:cs="Times New Roman"/>
        </w:rPr>
        <w:t>）的</w:t>
      </w:r>
      <w:r>
        <w:rPr>
          <w:rFonts w:hint="eastAsia" w:ascii="宋体" w:hAnsi="宋体" w:eastAsia="宋体" w:cs="Times New Roman"/>
          <w:b/>
          <w:bCs/>
        </w:rPr>
        <w:t>异议</w:t>
      </w:r>
      <w:r>
        <w:rPr>
          <w:rFonts w:hint="eastAsia" w:ascii="宋体" w:hAnsi="宋体" w:eastAsia="宋体" w:cs="Times New Roman"/>
        </w:rPr>
        <w:t>等具体工作，并签署全部有关的文件。我公司对被授权人签署的所有文件负全部责任。</w:t>
      </w:r>
    </w:p>
    <w:p w14:paraId="0BE2B3D3">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在收到撤销本授权的通知以前，本授权书一直有效。被授权人签署的所有文件（在本授权书有效期内签署的）不因授权的撤销而失效。</w:t>
      </w:r>
    </w:p>
    <w:p w14:paraId="16DFE523">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被授权人不得转授权。</w:t>
      </w:r>
    </w:p>
    <w:p w14:paraId="59B63CAB">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p>
    <w:p w14:paraId="2FAD0A80">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被授权人签名：</w:t>
      </w:r>
      <w:r>
        <w:rPr>
          <w:rFonts w:ascii="宋体" w:hAnsi="宋体" w:eastAsia="宋体" w:cs="Times New Roman"/>
        </w:rPr>
        <w:t xml:space="preserve">_________   </w:t>
      </w:r>
      <w:r>
        <w:rPr>
          <w:rFonts w:hint="eastAsia" w:ascii="宋体" w:hAnsi="宋体" w:eastAsia="宋体" w:cs="Times New Roman"/>
        </w:rPr>
        <w:t xml:space="preserve">                  授权人签名：</w:t>
      </w:r>
      <w:r>
        <w:rPr>
          <w:rFonts w:ascii="宋体" w:hAnsi="宋体" w:eastAsia="宋体" w:cs="Times New Roman"/>
        </w:rPr>
        <w:t>__________</w:t>
      </w:r>
    </w:p>
    <w:p w14:paraId="503275F9">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u w:val="single"/>
        </w:rPr>
      </w:pPr>
      <w:r>
        <w:rPr>
          <w:rFonts w:hint="eastAsia" w:ascii="宋体" w:hAnsi="宋体" w:eastAsia="宋体" w:cs="Times New Roman"/>
        </w:rPr>
        <w:t>职</w:t>
      </w:r>
      <w:r>
        <w:rPr>
          <w:rFonts w:hint="eastAsia" w:ascii="宋体" w:hAnsi="宋体" w:cs="Times New Roman"/>
          <w:lang w:val="en-US" w:eastAsia="zh-CN"/>
        </w:rPr>
        <w:t xml:space="preserve">    </w:t>
      </w:r>
      <w:r>
        <w:rPr>
          <w:rFonts w:hint="eastAsia" w:ascii="宋体" w:hAnsi="宋体" w:eastAsia="宋体" w:cs="Times New Roman"/>
        </w:rPr>
        <w:t>务：</w:t>
      </w:r>
      <w:r>
        <w:rPr>
          <w:rFonts w:ascii="宋体" w:hAnsi="宋体" w:eastAsia="宋体" w:cs="Times New Roman"/>
        </w:rPr>
        <w:t xml:space="preserve">_____________  </w:t>
      </w:r>
      <w:r>
        <w:rPr>
          <w:rFonts w:hint="eastAsia" w:ascii="宋体" w:hAnsi="宋体" w:eastAsia="宋体" w:cs="Times New Roman"/>
        </w:rPr>
        <w:t xml:space="preserve">        </w:t>
      </w:r>
      <w:r>
        <w:rPr>
          <w:rFonts w:ascii="宋体" w:hAnsi="宋体" w:eastAsia="宋体" w:cs="Times New Roman"/>
        </w:rPr>
        <w:t xml:space="preserve">     </w:t>
      </w:r>
      <w:r>
        <w:rPr>
          <w:rFonts w:hint="eastAsia" w:ascii="宋体" w:hAnsi="宋体" w:eastAsia="宋体" w:cs="Times New Roman"/>
        </w:rPr>
        <w:t xml:space="preserve">      职</w:t>
      </w:r>
      <w:r>
        <w:rPr>
          <w:rFonts w:hint="eastAsia" w:ascii="宋体" w:hAnsi="宋体" w:cs="Times New Roman"/>
          <w:lang w:val="en-US" w:eastAsia="zh-CN"/>
        </w:rPr>
        <w:t xml:space="preserve">    </w:t>
      </w:r>
      <w:r>
        <w:rPr>
          <w:rFonts w:hint="eastAsia" w:ascii="宋体" w:hAnsi="宋体" w:eastAsia="宋体" w:cs="Times New Roman"/>
        </w:rPr>
        <w:t>务：</w:t>
      </w:r>
      <w:r>
        <w:rPr>
          <w:rFonts w:ascii="宋体" w:hAnsi="宋体" w:eastAsia="宋体" w:cs="Times New Roman"/>
        </w:rPr>
        <w:t>____________</w:t>
      </w:r>
    </w:p>
    <w:p w14:paraId="67FFC713">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联系电话：</w:t>
      </w:r>
      <w:r>
        <w:rPr>
          <w:rFonts w:ascii="宋体" w:hAnsi="宋体" w:eastAsia="宋体" w:cs="Times New Roman"/>
        </w:rPr>
        <w:t xml:space="preserve">_____________ </w:t>
      </w:r>
      <w:r>
        <w:rPr>
          <w:rFonts w:hint="eastAsia" w:ascii="宋体" w:hAnsi="宋体" w:eastAsia="宋体" w:cs="Times New Roman"/>
        </w:rPr>
        <w:t xml:space="preserve">                   </w:t>
      </w:r>
      <w:r>
        <w:rPr>
          <w:rFonts w:hint="eastAsia" w:ascii="宋体" w:hAnsi="宋体" w:cs="Times New Roman"/>
          <w:lang w:val="en-US" w:eastAsia="zh-CN"/>
        </w:rPr>
        <w:t xml:space="preserve"> </w:t>
      </w:r>
      <w:r>
        <w:rPr>
          <w:rFonts w:hint="eastAsia" w:ascii="宋体" w:hAnsi="宋体" w:eastAsia="宋体" w:cs="Times New Roman"/>
        </w:rPr>
        <w:t>联系电话：</w:t>
      </w:r>
      <w:r>
        <w:rPr>
          <w:rFonts w:ascii="宋体" w:hAnsi="宋体" w:eastAsia="宋体" w:cs="Times New Roman"/>
        </w:rPr>
        <w:t>____________</w:t>
      </w:r>
    </w:p>
    <w:p w14:paraId="5B9E4D9B">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日</w:t>
      </w:r>
      <w:r>
        <w:rPr>
          <w:rFonts w:hint="eastAsia" w:ascii="宋体" w:hAnsi="宋体" w:cs="Times New Roman"/>
          <w:lang w:val="en-US" w:eastAsia="zh-CN"/>
        </w:rPr>
        <w:t xml:space="preserve">    </w:t>
      </w:r>
      <w:r>
        <w:rPr>
          <w:rFonts w:hint="eastAsia" w:ascii="宋体" w:hAnsi="宋体" w:eastAsia="宋体" w:cs="Times New Roman"/>
        </w:rPr>
        <w:t>期：</w:t>
      </w:r>
      <w:r>
        <w:rPr>
          <w:rFonts w:ascii="宋体" w:hAnsi="宋体" w:eastAsia="宋体" w:cs="Times New Roman"/>
        </w:rPr>
        <w:t xml:space="preserve">____________                     </w:t>
      </w:r>
      <w:r>
        <w:rPr>
          <w:rFonts w:hint="eastAsia" w:ascii="宋体" w:hAnsi="宋体" w:eastAsia="宋体" w:cs="Times New Roman"/>
        </w:rPr>
        <w:t xml:space="preserve"> 日</w:t>
      </w:r>
      <w:r>
        <w:rPr>
          <w:rFonts w:hint="eastAsia" w:ascii="宋体" w:hAnsi="宋体" w:cs="Times New Roman"/>
          <w:lang w:val="en-US" w:eastAsia="zh-CN"/>
        </w:rPr>
        <w:t xml:space="preserve">    </w:t>
      </w:r>
      <w:r>
        <w:rPr>
          <w:rFonts w:hint="eastAsia" w:ascii="宋体" w:hAnsi="宋体" w:eastAsia="宋体" w:cs="Times New Roman"/>
        </w:rPr>
        <w:t>期：</w:t>
      </w:r>
      <w:r>
        <w:rPr>
          <w:rFonts w:ascii="宋体" w:hAnsi="宋体" w:eastAsia="宋体" w:cs="Times New Roman"/>
        </w:rPr>
        <w:t>____________</w:t>
      </w:r>
    </w:p>
    <w:p w14:paraId="6FC164C4">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color w:val="FF0000"/>
        </w:rPr>
        <w:t>附：授权人身份证扫描件（正反面）及被授权人身份证扫描件（正反面）。</w:t>
      </w:r>
    </w:p>
    <w:p w14:paraId="16CF4E89">
      <w:pPr>
        <w:ind w:firstLine="420"/>
        <w:outlineLvl w:val="9"/>
        <w:rPr>
          <w:rFonts w:ascii="宋体" w:hAnsi="宋体" w:eastAsia="宋体" w:cs="Arial"/>
          <w:sz w:val="21"/>
          <w:szCs w:val="21"/>
        </w:rPr>
      </w:pPr>
      <w:r>
        <w:rPr>
          <w:rFonts w:ascii="宋体" w:hAnsi="宋体" w:eastAsia="宋体" w:cs="Times New Roman"/>
          <w:sz w:val="21"/>
        </w:rPr>
        <mc:AlternateContent>
          <mc:Choice Requires="wps">
            <w:drawing>
              <wp:anchor distT="0" distB="0" distL="114300" distR="114300" simplePos="0" relativeHeight="251660288" behindDoc="0" locked="0" layoutInCell="1" allowOverlap="1">
                <wp:simplePos x="0" y="0"/>
                <wp:positionH relativeFrom="column">
                  <wp:posOffset>2834005</wp:posOffset>
                </wp:positionH>
                <wp:positionV relativeFrom="paragraph">
                  <wp:posOffset>4445</wp:posOffset>
                </wp:positionV>
                <wp:extent cx="2362200" cy="1171575"/>
                <wp:effectExtent l="5080" t="5080" r="13970" b="4445"/>
                <wp:wrapNone/>
                <wp:docPr id="30" name="圆角矩形 30"/>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FD39306">
                            <w:pPr>
                              <w:ind w:firstLine="420"/>
                              <w:jc w:val="center"/>
                              <w:rPr>
                                <w:rFonts w:ascii="Times New Roman" w:hAnsi="Times New Roman" w:cs="Times New Roman"/>
                                <w:sz w:val="21"/>
                              </w:rPr>
                            </w:pPr>
                          </w:p>
                          <w:p w14:paraId="155E7C85">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w:t>
                            </w:r>
                            <w:r>
                              <w:rPr>
                                <w:rFonts w:hint="eastAsia" w:ascii="Times New Roman" w:hAnsi="Times New Roman" w:cs="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0288;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Ne2gY5n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L/6C5bWAAAACAEAAA8AAAAAAAAAAQAgAAAAIgAAAGRycy9kb3ducmV2LnhtbFBLAQIU&#10;ABQAAAAIAIdO4kDXtoGOZwIAAKQEAAAOAAAAAAAAAAEAIAAAACUBAABkcnMvZTJvRG9jLnhtbFBL&#10;BQYAAAAABgAGAFkBAAD+BQAAAAA=&#10;">
                <v:fill on="f" focussize="0,0"/>
                <v:stroke weight="0.5pt" color="#000000" joinstyle="round" dashstyle="dash"/>
                <v:imagedata o:title=""/>
                <o:lock v:ext="edit" aspectratio="f"/>
                <v:textbox>
                  <w:txbxContent>
                    <w:p w14:paraId="2FD39306">
                      <w:pPr>
                        <w:ind w:firstLine="420"/>
                        <w:jc w:val="center"/>
                        <w:rPr>
                          <w:rFonts w:ascii="Times New Roman" w:hAnsi="Times New Roman" w:cs="Times New Roman"/>
                          <w:sz w:val="21"/>
                        </w:rPr>
                      </w:pPr>
                    </w:p>
                    <w:p w14:paraId="155E7C85">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w:t>
                      </w:r>
                      <w:r>
                        <w:rPr>
                          <w:rFonts w:hint="eastAsia" w:ascii="Times New Roman" w:hAnsi="Times New Roman" w:cs="Times New Roman"/>
                          <w:sz w:val="21"/>
                        </w:rPr>
                        <w:t>扫描件</w:t>
                      </w:r>
                    </w:p>
                  </w:txbxContent>
                </v:textbox>
              </v:roundrect>
            </w:pict>
          </mc:Fallback>
        </mc:AlternateContent>
      </w:r>
      <w:r>
        <w:rPr>
          <w:rFonts w:ascii="宋体" w:hAnsi="宋体" w:eastAsia="宋体" w:cs="Times New Roman"/>
          <w:sz w:val="21"/>
        </w:rPr>
        <mc:AlternateContent>
          <mc:Choice Requires="wps">
            <w:drawing>
              <wp:anchor distT="0" distB="0" distL="114300" distR="114300" simplePos="0" relativeHeight="251659264" behindDoc="0" locked="0" layoutInCell="1" allowOverlap="1">
                <wp:simplePos x="0" y="0"/>
                <wp:positionH relativeFrom="column">
                  <wp:posOffset>193040</wp:posOffset>
                </wp:positionH>
                <wp:positionV relativeFrom="paragraph">
                  <wp:posOffset>32385</wp:posOffset>
                </wp:positionV>
                <wp:extent cx="2362200" cy="1171575"/>
                <wp:effectExtent l="5080" t="5080" r="13970" b="4445"/>
                <wp:wrapNone/>
                <wp:docPr id="25" name="圆角矩形 25"/>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CBBFD30">
                            <w:pPr>
                              <w:ind w:firstLine="420"/>
                              <w:jc w:val="center"/>
                              <w:rPr>
                                <w:rFonts w:ascii="Times New Roman" w:hAnsi="Times New Roman" w:cs="Times New Roman"/>
                                <w:sz w:val="21"/>
                              </w:rPr>
                            </w:pPr>
                          </w:p>
                          <w:p w14:paraId="00195FAD">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59264;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K7wGSVo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r6OuU1gAAAAgBAAAPAAAAAAAAAAEAIAAAACIAAABkcnMvZG93bnJldi54bWxQSwEC&#10;FAAUAAAACACHTuJArvAZJWgCAACkBAAADgAAAAAAAAABACAAAAAlAQAAZHJzL2Uyb0RvYy54bWxQ&#10;SwUGAAAAAAYABgBZAQAA/wUAAAAA&#10;">
                <v:fill on="f" focussize="0,0"/>
                <v:stroke weight="0.5pt" color="#000000" joinstyle="round" dashstyle="dash"/>
                <v:imagedata o:title=""/>
                <o:lock v:ext="edit" aspectratio="f"/>
                <v:textbox>
                  <w:txbxContent>
                    <w:p w14:paraId="2CBBFD30">
                      <w:pPr>
                        <w:ind w:firstLine="420"/>
                        <w:jc w:val="center"/>
                        <w:rPr>
                          <w:rFonts w:ascii="Times New Roman" w:hAnsi="Times New Roman" w:cs="Times New Roman"/>
                          <w:sz w:val="21"/>
                        </w:rPr>
                      </w:pPr>
                    </w:p>
                    <w:p w14:paraId="00195FAD">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授权人身份证扫描件</w:t>
                      </w:r>
                    </w:p>
                  </w:txbxContent>
                </v:textbox>
              </v:roundrect>
            </w:pict>
          </mc:Fallback>
        </mc:AlternateContent>
      </w:r>
    </w:p>
    <w:p w14:paraId="1127D756">
      <w:pPr>
        <w:ind w:firstLine="420"/>
        <w:outlineLvl w:val="9"/>
        <w:rPr>
          <w:rFonts w:ascii="宋体" w:hAnsi="宋体" w:eastAsia="宋体" w:cs="Arial"/>
          <w:sz w:val="21"/>
          <w:szCs w:val="21"/>
        </w:rPr>
      </w:pPr>
    </w:p>
    <w:p w14:paraId="53814F5E">
      <w:pPr>
        <w:ind w:firstLine="420"/>
        <w:outlineLvl w:val="9"/>
        <w:rPr>
          <w:rFonts w:ascii="宋体" w:hAnsi="宋体" w:eastAsia="宋体" w:cs="Arial"/>
          <w:sz w:val="21"/>
          <w:szCs w:val="21"/>
        </w:rPr>
      </w:pPr>
    </w:p>
    <w:p w14:paraId="4D5FF9CC">
      <w:pPr>
        <w:ind w:firstLine="420"/>
        <w:outlineLvl w:val="9"/>
        <w:rPr>
          <w:rFonts w:ascii="宋体" w:hAnsi="宋体" w:eastAsia="宋体" w:cs="Arial"/>
          <w:sz w:val="21"/>
          <w:szCs w:val="21"/>
        </w:rPr>
      </w:pPr>
      <w:r>
        <w:rPr>
          <w:rFonts w:ascii="宋体" w:hAnsi="宋体" w:eastAsia="宋体" w:cs="Times New Roman"/>
          <w:sz w:val="21"/>
        </w:rPr>
        <mc:AlternateContent>
          <mc:Choice Requires="wps">
            <w:drawing>
              <wp:anchor distT="0" distB="0" distL="114300" distR="114300" simplePos="0" relativeHeight="251663360" behindDoc="0" locked="0" layoutInCell="1" allowOverlap="1">
                <wp:simplePos x="0" y="0"/>
                <wp:positionH relativeFrom="column">
                  <wp:posOffset>2041525</wp:posOffset>
                </wp:positionH>
                <wp:positionV relativeFrom="paragraph">
                  <wp:posOffset>24765</wp:posOffset>
                </wp:positionV>
                <wp:extent cx="1266825" cy="1238250"/>
                <wp:effectExtent l="4445" t="4445" r="5080" b="14605"/>
                <wp:wrapNone/>
                <wp:docPr id="16" name="椭圆 16"/>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14:paraId="65816A3B">
                            <w:pPr>
                              <w:ind w:firstLine="0" w:firstLineChars="0"/>
                              <w:rPr>
                                <w:rFonts w:ascii="Times New Roman" w:hAnsi="Times New Roman" w:cs="Times New Roman"/>
                                <w:sz w:val="21"/>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0.75pt;margin-top:1.95pt;height:97.5pt;width:99.75pt;z-index:251663360;mso-width-relative:page;mso-height-relative:page;" filled="f" stroked="t" coordsize="21600,21600" o:gfxdata="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1PjAdgAAAAJAQAADwAAAAAAAAABACAAAAAiAAAA&#10;ZHJzL2Rvd25yZXYueG1sUEsBAhQAFAAAAAgAh07iQMseMmdAAgAAcAQAAA4AAAAAAAAAAQAgAAAA&#10;JwEAAGRycy9lMm9Eb2MueG1sUEsFBgAAAAAGAAYAWQEAANkFAAAAAA==&#10;">
                <v:fill on="f" focussize="0,0"/>
                <v:stroke weight="0.5pt" color="#000000" joinstyle="round" dashstyle="dash"/>
                <v:imagedata o:title=""/>
                <o:lock v:ext="edit" aspectratio="f"/>
                <v:textbox>
                  <w:txbxContent>
                    <w:p w14:paraId="65816A3B">
                      <w:pPr>
                        <w:ind w:firstLine="0" w:firstLineChars="0"/>
                        <w:rPr>
                          <w:rFonts w:ascii="Times New Roman" w:hAnsi="Times New Roman" w:cs="Times New Roman"/>
                          <w:sz w:val="21"/>
                        </w:rPr>
                      </w:pPr>
                    </w:p>
                  </w:txbxContent>
                </v:textbox>
              </v:shape>
            </w:pict>
          </mc:Fallback>
        </mc:AlternateContent>
      </w:r>
    </w:p>
    <w:p w14:paraId="4147B003">
      <w:pPr>
        <w:ind w:firstLine="420"/>
        <w:outlineLvl w:val="9"/>
        <w:rPr>
          <w:rFonts w:ascii="宋体" w:hAnsi="宋体" w:eastAsia="宋体" w:cs="Arial"/>
          <w:sz w:val="21"/>
          <w:szCs w:val="21"/>
        </w:rPr>
      </w:pPr>
    </w:p>
    <w:p w14:paraId="7D527CD4">
      <w:pPr>
        <w:ind w:firstLine="420"/>
        <w:outlineLvl w:val="9"/>
        <w:rPr>
          <w:rFonts w:ascii="宋体" w:hAnsi="宋体" w:eastAsia="宋体" w:cs="Arial"/>
          <w:sz w:val="21"/>
          <w:szCs w:val="21"/>
        </w:rPr>
      </w:pPr>
    </w:p>
    <w:p w14:paraId="4F36F750">
      <w:pPr>
        <w:ind w:firstLine="420"/>
        <w:outlineLvl w:val="9"/>
        <w:rPr>
          <w:rFonts w:ascii="宋体" w:hAnsi="宋体" w:eastAsia="宋体" w:cs="Arial"/>
          <w:sz w:val="21"/>
          <w:szCs w:val="21"/>
        </w:rPr>
      </w:pPr>
      <w:r>
        <w:rPr>
          <w:rFonts w:ascii="宋体" w:hAnsi="宋体" w:eastAsia="宋体" w:cs="Times New Roman"/>
          <w:sz w:val="21"/>
        </w:rPr>
        <mc:AlternateContent>
          <mc:Choice Requires="wps">
            <w:drawing>
              <wp:anchor distT="0" distB="0" distL="114300" distR="114300" simplePos="0" relativeHeight="251664384" behindDoc="0" locked="0" layoutInCell="1" allowOverlap="1">
                <wp:simplePos x="0" y="0"/>
                <wp:positionH relativeFrom="column">
                  <wp:posOffset>2044700</wp:posOffset>
                </wp:positionH>
                <wp:positionV relativeFrom="paragraph">
                  <wp:posOffset>109855</wp:posOffset>
                </wp:positionV>
                <wp:extent cx="1028700" cy="304800"/>
                <wp:effectExtent l="0" t="0" r="0" b="0"/>
                <wp:wrapNone/>
                <wp:docPr id="31" name="文本框 31"/>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a:effectLst/>
                      </wps:spPr>
                      <wps:txbx>
                        <w:txbxContent>
                          <w:p w14:paraId="2AE58764">
                            <w:pPr>
                              <w:ind w:firstLine="420"/>
                              <w:rPr>
                                <w:rFonts w:ascii="Times New Roman" w:hAnsi="Times New Roman" w:cs="Times New Roman"/>
                                <w:sz w:val="21"/>
                              </w:rPr>
                            </w:pPr>
                            <w:r>
                              <w:rPr>
                                <w:rFonts w:hint="eastAsia" w:ascii="Times New Roman" w:hAnsi="Times New Roman" w:cs="Times New Roman"/>
                                <w:sz w:val="21"/>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61pt;margin-top:8.65pt;height:24pt;width:81pt;z-index:251664384;mso-width-relative:page;mso-height-relative:page;" filled="f" stroked="f" coordsize="21600,21600" o:gfxdata="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t4GmC1wAAAAkB&#10;AAAPAAAAAAAAAAEAIAAAACIAAABkcnMvZG93bnJldi54bWxQSwECFAAUAAAACACHTuJAeWiy9hwC&#10;AAAlBAAADgAAAAAAAAABACAAAAAmAQAAZHJzL2Uyb0RvYy54bWxQSwUGAAAAAAYABgBZAQAAtAUA&#10;AAAA&#10;">
                <v:fill on="f" focussize="0,0"/>
                <v:stroke on="f"/>
                <v:imagedata o:title=""/>
                <o:lock v:ext="edit" aspectratio="f"/>
                <v:textbox>
                  <w:txbxContent>
                    <w:p w14:paraId="2AE58764">
                      <w:pPr>
                        <w:ind w:firstLine="420"/>
                        <w:rPr>
                          <w:rFonts w:ascii="Times New Roman" w:hAnsi="Times New Roman" w:cs="Times New Roman"/>
                          <w:sz w:val="21"/>
                        </w:rPr>
                      </w:pPr>
                      <w:r>
                        <w:rPr>
                          <w:rFonts w:hint="eastAsia" w:ascii="Times New Roman" w:hAnsi="Times New Roman" w:cs="Times New Roman"/>
                          <w:sz w:val="21"/>
                          <w:highlight w:val="white"/>
                        </w:rPr>
                        <w:t>加盖单位公章</w:t>
                      </w:r>
                    </w:p>
                  </w:txbxContent>
                </v:textbox>
              </v:shape>
            </w:pict>
          </mc:Fallback>
        </mc:AlternateContent>
      </w:r>
    </w:p>
    <w:p w14:paraId="66B8D5A1">
      <w:pPr>
        <w:ind w:firstLine="420"/>
        <w:outlineLvl w:val="9"/>
        <w:rPr>
          <w:rFonts w:ascii="宋体" w:hAnsi="宋体" w:eastAsia="宋体" w:cs="Times New Roman"/>
          <w:sz w:val="21"/>
          <w:szCs w:val="21"/>
        </w:rPr>
      </w:pPr>
      <w:r>
        <w:rPr>
          <w:rFonts w:ascii="宋体" w:hAnsi="宋体" w:eastAsia="宋体" w:cs="Times New Roman"/>
          <w:sz w:val="21"/>
        </w:rPr>
        <mc:AlternateContent>
          <mc:Choice Requires="wps">
            <w:drawing>
              <wp:anchor distT="0" distB="0" distL="114300" distR="114300" simplePos="0" relativeHeight="251662336" behindDoc="0" locked="0" layoutInCell="1" allowOverlap="1">
                <wp:simplePos x="0" y="0"/>
                <wp:positionH relativeFrom="column">
                  <wp:posOffset>2842260</wp:posOffset>
                </wp:positionH>
                <wp:positionV relativeFrom="paragraph">
                  <wp:posOffset>15240</wp:posOffset>
                </wp:positionV>
                <wp:extent cx="2362200" cy="1171575"/>
                <wp:effectExtent l="5080" t="5080" r="13970" b="4445"/>
                <wp:wrapNone/>
                <wp:docPr id="17" name="圆角矩形 17"/>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70A3088">
                            <w:pPr>
                              <w:ind w:firstLine="420"/>
                              <w:jc w:val="center"/>
                              <w:rPr>
                                <w:rFonts w:ascii="Times New Roman" w:hAnsi="Times New Roman" w:cs="Times New Roman"/>
                                <w:sz w:val="21"/>
                              </w:rPr>
                            </w:pPr>
                          </w:p>
                          <w:p w14:paraId="470D5ED4">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被授权人身份证</w:t>
                            </w:r>
                            <w:r>
                              <w:rPr>
                                <w:rFonts w:hint="eastAsia" w:ascii="Times New Roman" w:hAnsi="Times New Roman" w:cs="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2336;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pJG+YdcAAAAJAQAADwAAAAAAAAABACAAAAAiAAAAZHJzL2Rvd25yZXYueG1sUEsB&#10;AhQAFAAAAAgAh07iQCPGeI1oAgAApAQAAA4AAAAAAAAAAQAgAAAAJgEAAGRycy9lMm9Eb2MueG1s&#10;UEsFBgAAAAAGAAYAWQEAAAAGAAAAAA==&#10;">
                <v:fill on="f" focussize="0,0"/>
                <v:stroke weight="0.5pt" color="#000000" joinstyle="round" dashstyle="dash"/>
                <v:imagedata o:title=""/>
                <o:lock v:ext="edit" aspectratio="f"/>
                <v:textbox>
                  <w:txbxContent>
                    <w:p w14:paraId="270A3088">
                      <w:pPr>
                        <w:ind w:firstLine="420"/>
                        <w:jc w:val="center"/>
                        <w:rPr>
                          <w:rFonts w:ascii="Times New Roman" w:hAnsi="Times New Roman" w:cs="Times New Roman"/>
                          <w:sz w:val="21"/>
                        </w:rPr>
                      </w:pPr>
                    </w:p>
                    <w:p w14:paraId="470D5ED4">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被授权人身份证</w:t>
                      </w:r>
                      <w:r>
                        <w:rPr>
                          <w:rFonts w:hint="eastAsia" w:ascii="Times New Roman" w:hAnsi="Times New Roman" w:cs="Times New Roman"/>
                          <w:sz w:val="21"/>
                        </w:rPr>
                        <w:t>扫描件</w:t>
                      </w:r>
                    </w:p>
                  </w:txbxContent>
                </v:textbox>
              </v:roundrect>
            </w:pict>
          </mc:Fallback>
        </mc:AlternateContent>
      </w:r>
      <w:r>
        <w:rPr>
          <w:rFonts w:ascii="宋体" w:hAnsi="宋体" w:eastAsia="宋体" w:cs="Times New Roman"/>
          <w:sz w:val="21"/>
        </w:rPr>
        <mc:AlternateContent>
          <mc:Choice Requires="wps">
            <w:drawing>
              <wp:anchor distT="0" distB="0" distL="114300" distR="114300" simplePos="0" relativeHeight="251661312" behindDoc="0" locked="0" layoutInCell="1" allowOverlap="1">
                <wp:simplePos x="0" y="0"/>
                <wp:positionH relativeFrom="column">
                  <wp:posOffset>179070</wp:posOffset>
                </wp:positionH>
                <wp:positionV relativeFrom="paragraph">
                  <wp:posOffset>16510</wp:posOffset>
                </wp:positionV>
                <wp:extent cx="2362200" cy="1171575"/>
                <wp:effectExtent l="5080" t="5080" r="13970" b="4445"/>
                <wp:wrapNone/>
                <wp:docPr id="19" name="圆角矩形 19"/>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35A007A0">
                            <w:pPr>
                              <w:ind w:firstLine="420"/>
                              <w:jc w:val="center"/>
                              <w:rPr>
                                <w:rFonts w:ascii="Times New Roman" w:hAnsi="Times New Roman" w:cs="Times New Roman"/>
                                <w:sz w:val="21"/>
                              </w:rPr>
                            </w:pPr>
                          </w:p>
                          <w:p w14:paraId="67FFCB22">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w:t>
                            </w:r>
                            <w:r>
                              <w:rPr>
                                <w:rFonts w:hint="eastAsia" w:ascii="Times New Roman" w:hAnsi="Times New Roman" w:cs="Times New Roman"/>
                                <w:sz w:val="21"/>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1312;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SlsrudUAAAAIAQAADwAAAAAAAAABACAAAAAiAAAAZHJzL2Rvd25yZXYueG1sUEsBAhQA&#10;FAAAAAgAh07iQKXWtYlnAgAApAQAAA4AAAAAAAAAAQAgAAAAJAEAAGRycy9lMm9Eb2MueG1sUEsF&#10;BgAAAAAGAAYAWQEAAP0FAAAAAA==&#10;">
                <v:fill on="f" focussize="0,0"/>
                <v:stroke weight="0.5pt" color="#000000" joinstyle="round" dashstyle="dash"/>
                <v:imagedata o:title=""/>
                <o:lock v:ext="edit" aspectratio="f"/>
                <v:textbox>
                  <w:txbxContent>
                    <w:p w14:paraId="35A007A0">
                      <w:pPr>
                        <w:ind w:firstLine="420"/>
                        <w:jc w:val="center"/>
                        <w:rPr>
                          <w:rFonts w:ascii="Times New Roman" w:hAnsi="Times New Roman" w:cs="Times New Roman"/>
                          <w:sz w:val="21"/>
                        </w:rPr>
                      </w:pPr>
                    </w:p>
                    <w:p w14:paraId="67FFCB22">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w:t>
                      </w:r>
                      <w:r>
                        <w:rPr>
                          <w:rFonts w:hint="eastAsia" w:ascii="Times New Roman" w:hAnsi="Times New Roman" w:cs="Times New Roman"/>
                          <w:sz w:val="21"/>
                        </w:rPr>
                        <w:t>份证扫描件</w:t>
                      </w:r>
                    </w:p>
                  </w:txbxContent>
                </v:textbox>
              </v:roundrect>
            </w:pict>
          </mc:Fallback>
        </mc:AlternateContent>
      </w:r>
    </w:p>
    <w:p w14:paraId="3B18BE78">
      <w:pPr>
        <w:ind w:firstLine="420"/>
        <w:outlineLvl w:val="9"/>
        <w:rPr>
          <w:rFonts w:ascii="宋体" w:hAnsi="宋体" w:eastAsia="宋体" w:cs="Times New Roman"/>
          <w:sz w:val="21"/>
          <w:szCs w:val="21"/>
        </w:rPr>
      </w:pPr>
    </w:p>
    <w:p w14:paraId="54A815AD">
      <w:pPr>
        <w:spacing w:line="220" w:lineRule="atLeast"/>
        <w:ind w:firstLine="0" w:firstLineChars="0"/>
        <w:outlineLvl w:val="9"/>
        <w:rPr>
          <w:rFonts w:hint="eastAsia" w:ascii="宋体" w:hAnsi="宋体" w:eastAsia="宋体"/>
          <w:b/>
        </w:rPr>
      </w:pPr>
    </w:p>
    <w:p w14:paraId="7DB1DBD1">
      <w:pPr>
        <w:spacing w:line="220" w:lineRule="atLeast"/>
        <w:ind w:firstLine="0" w:firstLineChars="0"/>
        <w:outlineLvl w:val="9"/>
        <w:rPr>
          <w:rFonts w:hint="eastAsia" w:ascii="宋体" w:hAnsi="宋体" w:eastAsia="宋体"/>
          <w:b/>
        </w:rPr>
      </w:pPr>
    </w:p>
    <w:p w14:paraId="2A0F292C">
      <w:pPr>
        <w:spacing w:line="220" w:lineRule="atLeast"/>
        <w:ind w:firstLine="0" w:firstLineChars="0"/>
        <w:outlineLvl w:val="9"/>
        <w:rPr>
          <w:rFonts w:hint="eastAsia" w:ascii="宋体" w:hAnsi="宋体" w:eastAsia="宋体"/>
          <w:b/>
        </w:rPr>
      </w:pPr>
    </w:p>
    <w:p w14:paraId="7696D2C5">
      <w:pPr>
        <w:spacing w:line="220" w:lineRule="atLeast"/>
        <w:ind w:firstLine="0" w:firstLineChars="0"/>
        <w:outlineLvl w:val="9"/>
        <w:rPr>
          <w:rFonts w:hint="eastAsia" w:ascii="宋体" w:hAnsi="宋体" w:eastAsia="宋体"/>
          <w:b/>
        </w:rPr>
      </w:pPr>
    </w:p>
    <w:p w14:paraId="4A3B7659">
      <w:pPr>
        <w:spacing w:line="220" w:lineRule="atLeast"/>
        <w:ind w:firstLine="0" w:firstLineChars="0"/>
        <w:outlineLvl w:val="9"/>
        <w:rPr>
          <w:rFonts w:hint="eastAsia" w:ascii="宋体" w:hAnsi="宋体" w:eastAsia="宋体"/>
          <w:b/>
        </w:rPr>
      </w:pPr>
    </w:p>
    <w:p w14:paraId="33C2F262">
      <w:pPr>
        <w:spacing w:line="220" w:lineRule="atLeast"/>
        <w:ind w:firstLine="0" w:firstLineChars="0"/>
        <w:outlineLvl w:val="9"/>
        <w:rPr>
          <w:rFonts w:hint="eastAsia" w:ascii="宋体" w:hAnsi="宋体" w:eastAsia="宋体"/>
          <w:b/>
        </w:rPr>
      </w:pPr>
    </w:p>
    <w:p w14:paraId="733379AC">
      <w:pPr>
        <w:spacing w:line="220" w:lineRule="atLeast"/>
        <w:ind w:firstLine="0" w:firstLineChars="0"/>
        <w:outlineLvl w:val="9"/>
        <w:rPr>
          <w:rFonts w:hint="eastAsia" w:ascii="宋体" w:hAnsi="宋体" w:eastAsia="宋体"/>
          <w:b/>
        </w:rPr>
      </w:pPr>
    </w:p>
    <w:p w14:paraId="6C565636">
      <w:pPr>
        <w:spacing w:line="220" w:lineRule="atLeast"/>
        <w:ind w:firstLine="0" w:firstLineChars="0"/>
        <w:outlineLvl w:val="9"/>
        <w:rPr>
          <w:rFonts w:hint="eastAsia" w:ascii="宋体" w:hAnsi="宋体" w:eastAsia="宋体"/>
          <w:b/>
        </w:rPr>
      </w:pPr>
    </w:p>
    <w:p w14:paraId="0FE7C933">
      <w:pPr>
        <w:spacing w:line="220" w:lineRule="atLeast"/>
        <w:ind w:firstLine="0" w:firstLineChars="0"/>
        <w:outlineLvl w:val="9"/>
        <w:rPr>
          <w:rFonts w:hint="eastAsia" w:ascii="宋体" w:hAnsi="宋体" w:eastAsia="宋体"/>
          <w:b/>
        </w:rPr>
      </w:pPr>
    </w:p>
    <w:p w14:paraId="03895545">
      <w:pPr>
        <w:spacing w:line="220" w:lineRule="atLeast"/>
        <w:ind w:firstLine="0" w:firstLineChars="0"/>
        <w:outlineLvl w:val="9"/>
        <w:rPr>
          <w:rFonts w:hint="eastAsia" w:ascii="宋体" w:hAnsi="宋体" w:eastAsia="宋体"/>
          <w:b/>
        </w:rPr>
      </w:pPr>
    </w:p>
    <w:p w14:paraId="4322F52E">
      <w:pPr>
        <w:spacing w:line="220" w:lineRule="atLeast"/>
        <w:ind w:firstLine="0" w:firstLineChars="0"/>
        <w:jc w:val="center"/>
        <w:outlineLvl w:val="9"/>
        <w:rPr>
          <w:rFonts w:ascii="宋体" w:hAnsi="宋体" w:eastAsia="宋体"/>
          <w:b/>
          <w:sz w:val="32"/>
        </w:rPr>
      </w:pPr>
      <w:r>
        <w:rPr>
          <w:rFonts w:hint="eastAsia" w:ascii="宋体" w:hAnsi="宋体" w:eastAsia="宋体"/>
          <w:b/>
          <w:sz w:val="32"/>
        </w:rPr>
        <w:t>异议真实性承诺函</w:t>
      </w:r>
    </w:p>
    <w:p w14:paraId="6FDC8088">
      <w:pPr>
        <w:autoSpaceDE w:val="0"/>
        <w:autoSpaceDN w:val="0"/>
        <w:adjustRightInd w:val="0"/>
        <w:snapToGrid w:val="0"/>
        <w:ind w:firstLine="602"/>
        <w:jc w:val="center"/>
        <w:outlineLvl w:val="9"/>
        <w:rPr>
          <w:rFonts w:ascii="宋体" w:hAnsi="宋体" w:eastAsia="宋体" w:cs="Times New Roman"/>
          <w:b/>
          <w:bCs/>
          <w:sz w:val="30"/>
          <w:szCs w:val="30"/>
        </w:rPr>
      </w:pPr>
    </w:p>
    <w:p w14:paraId="763669BB">
      <w:pPr>
        <w:keepNext w:val="0"/>
        <w:keepLines w:val="0"/>
        <w:pageBreakBefore w:val="0"/>
        <w:widowControl w:val="0"/>
        <w:kinsoku/>
        <w:wordWrap/>
        <w:overflowPunct/>
        <w:topLinePunct w:val="0"/>
        <w:autoSpaceDE w:val="0"/>
        <w:autoSpaceDN w:val="0"/>
        <w:bidi w:val="0"/>
        <w:adjustRightInd w:val="0"/>
        <w:snapToGrid w:val="0"/>
        <w:spacing w:line="440" w:lineRule="exact"/>
        <w:ind w:firstLine="480" w:firstLineChars="200"/>
        <w:textAlignment w:val="auto"/>
        <w:outlineLvl w:val="9"/>
        <w:rPr>
          <w:rFonts w:ascii="宋体" w:hAnsi="宋体" w:eastAsia="宋体" w:cs="Times New Roman"/>
          <w:bCs/>
          <w:sz w:val="24"/>
          <w:szCs w:val="32"/>
        </w:rPr>
      </w:pPr>
      <w:r>
        <w:rPr>
          <w:rFonts w:hint="eastAsia" w:ascii="宋体" w:hAnsi="宋体" w:eastAsia="宋体" w:cs="Times New Roman"/>
          <w:bCs/>
          <w:sz w:val="24"/>
          <w:szCs w:val="32"/>
        </w:rPr>
        <w:t>致</w:t>
      </w:r>
      <w:r>
        <w:rPr>
          <w:rFonts w:hint="eastAsia" w:ascii="宋体" w:hAnsi="宋体" w:eastAsia="宋体" w:cs="Times New Roman"/>
          <w:bCs/>
          <w:sz w:val="24"/>
          <w:szCs w:val="32"/>
          <w:lang w:eastAsia="zh-CN"/>
        </w:rPr>
        <w:t>（</w:t>
      </w:r>
      <w:r>
        <w:rPr>
          <w:rFonts w:hint="eastAsia" w:ascii="宋体" w:hAnsi="宋体" w:eastAsia="宋体" w:cs="Times New Roman"/>
          <w:bCs/>
          <w:sz w:val="24"/>
          <w:szCs w:val="32"/>
          <w:lang w:val="en-US" w:eastAsia="zh-CN"/>
        </w:rPr>
        <w:t>采购人）</w:t>
      </w:r>
      <w:r>
        <w:rPr>
          <w:rFonts w:hint="eastAsia" w:ascii="宋体" w:hAnsi="宋体" w:eastAsia="宋体" w:cs="Times New Roman"/>
          <w:bCs/>
          <w:sz w:val="24"/>
          <w:szCs w:val="32"/>
        </w:rPr>
        <w:t>：</w:t>
      </w:r>
    </w:p>
    <w:p w14:paraId="69F7A3EE">
      <w:pPr>
        <w:keepNext w:val="0"/>
        <w:keepLines w:val="0"/>
        <w:pageBreakBefore w:val="0"/>
        <w:widowControl w:val="0"/>
        <w:kinsoku/>
        <w:wordWrap/>
        <w:overflowPunct/>
        <w:topLinePunct w:val="0"/>
        <w:bidi w:val="0"/>
        <w:adjustRightInd w:val="0"/>
        <w:snapToGrid w:val="0"/>
        <w:spacing w:line="440" w:lineRule="exact"/>
        <w:ind w:firstLine="480" w:firstLineChars="200"/>
        <w:textAlignment w:val="auto"/>
        <w:outlineLvl w:val="9"/>
        <w:rPr>
          <w:rFonts w:ascii="宋体" w:hAnsi="宋体" w:eastAsia="宋体" w:cs="Times New Roman"/>
          <w:sz w:val="24"/>
          <w:szCs w:val="32"/>
        </w:rPr>
      </w:pPr>
      <w:r>
        <w:rPr>
          <w:rFonts w:hint="eastAsia" w:ascii="宋体" w:hAnsi="宋体" w:eastAsia="宋体" w:cs="Times New Roman"/>
          <w:sz w:val="24"/>
          <w:szCs w:val="32"/>
        </w:rPr>
        <w:t>我公司参与贵公司组织采购的</w:t>
      </w:r>
      <w:r>
        <w:rPr>
          <w:rFonts w:hint="eastAsia" w:ascii="宋体" w:hAnsi="宋体" w:eastAsia="宋体" w:cs="Times New Roman"/>
          <w:sz w:val="24"/>
          <w:szCs w:val="32"/>
          <w:u w:val="single"/>
        </w:rPr>
        <w:t xml:space="preserve">     </w:t>
      </w:r>
      <w:r>
        <w:rPr>
          <w:rFonts w:hint="eastAsia" w:ascii="宋体" w:hAnsi="宋体" w:eastAsia="宋体" w:cs="Times New Roman"/>
          <w:sz w:val="24"/>
          <w:szCs w:val="32"/>
        </w:rPr>
        <w:t>（项目名称）</w:t>
      </w:r>
      <w:r>
        <w:rPr>
          <w:rFonts w:hint="eastAsia" w:ascii="宋体" w:hAnsi="宋体" w:eastAsia="宋体" w:cs="Times New Roman"/>
          <w:sz w:val="24"/>
          <w:szCs w:val="32"/>
          <w:u w:val="single"/>
        </w:rPr>
        <w:t xml:space="preserve">     </w:t>
      </w:r>
      <w:r>
        <w:rPr>
          <w:rFonts w:hint="eastAsia" w:ascii="宋体" w:hAnsi="宋体" w:eastAsia="宋体" w:cs="Times New Roman"/>
          <w:sz w:val="24"/>
          <w:szCs w:val="32"/>
        </w:rPr>
        <w:t>（</w:t>
      </w:r>
      <w:r>
        <w:rPr>
          <w:rFonts w:hint="eastAsia" w:ascii="宋体" w:hAnsi="宋体" w:cs="Times New Roman"/>
          <w:sz w:val="24"/>
          <w:szCs w:val="32"/>
          <w:lang w:eastAsia="zh-CN"/>
        </w:rPr>
        <w:t>项目编号</w:t>
      </w:r>
      <w:r>
        <w:rPr>
          <w:rFonts w:hint="eastAsia" w:ascii="宋体" w:hAnsi="宋体" w:eastAsia="宋体" w:cs="Times New Roman"/>
          <w:sz w:val="24"/>
          <w:szCs w:val="32"/>
        </w:rPr>
        <w:t>）</w:t>
      </w:r>
      <w:r>
        <w:rPr>
          <w:rFonts w:hint="eastAsia" w:ascii="宋体" w:hAnsi="宋体" w:eastAsia="宋体" w:cs="Times New Roman"/>
          <w:sz w:val="24"/>
          <w:szCs w:val="32"/>
          <w:u w:val="single"/>
        </w:rPr>
        <w:t xml:space="preserve">     </w:t>
      </w:r>
      <w:r>
        <w:rPr>
          <w:rFonts w:hint="eastAsia" w:ascii="宋体" w:hAnsi="宋体" w:eastAsia="宋体" w:cs="Times New Roman"/>
          <w:sz w:val="24"/>
          <w:szCs w:val="32"/>
        </w:rPr>
        <w:t>（标段号及标段名称），我公司承诺所提交的异议函内容真实有效，所附线索及相关证明材料来源合法。若我公司捏造事实、提供虚假材料，提出恶意或不真实异议，扰乱正常采购秩序的，自愿接受贵公司《物资供应商不良行为管理办法》相关处理。</w:t>
      </w:r>
    </w:p>
    <w:p w14:paraId="26220BD3">
      <w:pPr>
        <w:adjustRightInd w:val="0"/>
        <w:snapToGrid w:val="0"/>
        <w:spacing w:line="360" w:lineRule="auto"/>
        <w:outlineLvl w:val="9"/>
        <w:rPr>
          <w:rFonts w:ascii="宋体" w:hAnsi="宋体" w:eastAsia="宋体" w:cs="Times New Roman"/>
        </w:rPr>
      </w:pPr>
    </w:p>
    <w:p w14:paraId="67B95B70">
      <w:pPr>
        <w:adjustRightInd w:val="0"/>
        <w:snapToGrid w:val="0"/>
        <w:spacing w:line="360" w:lineRule="auto"/>
        <w:outlineLvl w:val="9"/>
        <w:rPr>
          <w:rFonts w:ascii="宋体" w:hAnsi="宋体" w:eastAsia="宋体" w:cs="Times New Roman"/>
        </w:rPr>
      </w:pPr>
    </w:p>
    <w:p w14:paraId="14FF8D3C">
      <w:pPr>
        <w:adjustRightInd w:val="0"/>
        <w:snapToGrid w:val="0"/>
        <w:spacing w:line="360" w:lineRule="auto"/>
        <w:outlineLvl w:val="9"/>
        <w:rPr>
          <w:rFonts w:ascii="宋体" w:hAnsi="宋体" w:eastAsia="宋体" w:cs="Times New Roman"/>
        </w:rPr>
      </w:pPr>
    </w:p>
    <w:p w14:paraId="3FC279FC">
      <w:pPr>
        <w:adjustRightInd w:val="0"/>
        <w:snapToGrid w:val="0"/>
        <w:spacing w:line="360" w:lineRule="auto"/>
        <w:outlineLvl w:val="9"/>
        <w:rPr>
          <w:rFonts w:ascii="宋体" w:hAnsi="宋体" w:eastAsia="宋体" w:cs="Times New Roman"/>
        </w:rPr>
      </w:pPr>
    </w:p>
    <w:p w14:paraId="2558254C">
      <w:pPr>
        <w:adjustRightInd w:val="0"/>
        <w:snapToGrid w:val="0"/>
        <w:spacing w:line="360" w:lineRule="auto"/>
        <w:outlineLvl w:val="9"/>
        <w:rPr>
          <w:rFonts w:ascii="宋体" w:hAnsi="宋体" w:eastAsia="宋体" w:cs="Times New Roman"/>
        </w:rPr>
      </w:pPr>
    </w:p>
    <w:p w14:paraId="62053C14">
      <w:pPr>
        <w:keepNext w:val="0"/>
        <w:keepLines w:val="0"/>
        <w:pageBreakBefore w:val="0"/>
        <w:widowControl w:val="0"/>
        <w:kinsoku/>
        <w:wordWrap/>
        <w:overflowPunct/>
        <w:topLinePunct w:val="0"/>
        <w:autoSpaceDE/>
        <w:autoSpaceDN/>
        <w:bidi w:val="0"/>
        <w:adjustRightInd w:val="0"/>
        <w:snapToGrid w:val="0"/>
        <w:spacing w:line="360" w:lineRule="auto"/>
        <w:ind w:left="3360" w:leftChars="1600"/>
        <w:textAlignment w:val="auto"/>
        <w:outlineLvl w:val="9"/>
        <w:rPr>
          <w:rFonts w:ascii="宋体" w:hAnsi="宋体" w:eastAsia="宋体" w:cs="Times New Roman"/>
        </w:rPr>
      </w:pPr>
      <w:r>
        <w:rPr>
          <w:rFonts w:hint="eastAsia" w:ascii="宋体" w:hAnsi="宋体" w:eastAsia="宋体" w:cs="Times New Roman"/>
        </w:rPr>
        <w:t>公司名称（公章）：</w:t>
      </w:r>
    </w:p>
    <w:p w14:paraId="10BA9719">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hint="eastAsia" w:ascii="宋体" w:hAnsi="宋体" w:eastAsia="宋体" w:cs="Times New Roman"/>
        </w:rPr>
      </w:pPr>
    </w:p>
    <w:p w14:paraId="7887DE7D">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hint="eastAsia" w:ascii="宋体" w:hAnsi="宋体" w:eastAsia="宋体" w:cs="Times New Roman"/>
        </w:rPr>
      </w:pPr>
      <w:r>
        <w:rPr>
          <w:rFonts w:hint="eastAsia" w:ascii="宋体" w:hAnsi="宋体" w:eastAsia="宋体" w:cs="Times New Roman"/>
        </w:rPr>
        <w:t>法定代表人或其授权委托人（签字）：</w:t>
      </w:r>
    </w:p>
    <w:p w14:paraId="620A7F95">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hint="eastAsia" w:ascii="宋体" w:hAnsi="宋体" w:eastAsia="宋体" w:cs="Times New Roman"/>
        </w:rPr>
      </w:pPr>
    </w:p>
    <w:p w14:paraId="13D0B9E9">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ascii="宋体" w:hAnsi="宋体" w:eastAsia="宋体" w:cs="Times New Roman"/>
        </w:rPr>
      </w:pPr>
      <w:r>
        <w:rPr>
          <w:rFonts w:hint="eastAsia" w:ascii="宋体" w:hAnsi="宋体" w:eastAsia="宋体" w:cs="Times New Roman"/>
        </w:rPr>
        <w:t>电话：</w:t>
      </w:r>
    </w:p>
    <w:p w14:paraId="0E4C718D">
      <w:pPr>
        <w:adjustRightInd w:val="0"/>
        <w:snapToGrid w:val="0"/>
        <w:spacing w:line="360" w:lineRule="auto"/>
        <w:outlineLvl w:val="9"/>
        <w:rPr>
          <w:rFonts w:ascii="宋体" w:hAnsi="宋体" w:eastAsia="宋体" w:cs="Times New Roman"/>
        </w:rPr>
      </w:pPr>
    </w:p>
    <w:p w14:paraId="7CAECE8A">
      <w:pPr>
        <w:jc w:val="center"/>
      </w:pPr>
      <w:r>
        <w:rPr>
          <w:rFonts w:hint="eastAsia" w:ascii="宋体" w:hAnsi="宋体" w:cs="Times New Roman"/>
          <w:lang w:val="en-US" w:eastAsia="zh-CN"/>
        </w:rPr>
        <w:t xml:space="preserve">                                    </w:t>
      </w:r>
      <w:bookmarkStart w:id="7" w:name="_GoBack"/>
      <w:bookmarkEnd w:id="7"/>
      <w:r>
        <w:rPr>
          <w:rFonts w:hint="eastAsia" w:ascii="宋体" w:hAnsi="宋体" w:eastAsia="宋体" w:cs="Times New Roman"/>
        </w:rPr>
        <w:t>年      月      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9"/>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B790638"/>
    <w:rsid w:val="2B7906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qFormat/>
    <w:uiPriority w:val="0"/>
    <w:pPr>
      <w:keepNext/>
      <w:keepLines/>
      <w:spacing w:line="413" w:lineRule="auto"/>
      <w:outlineLvl w:val="1"/>
    </w:pPr>
    <w:rPr>
      <w:rFonts w:ascii="Arial" w:hAnsi="Arial" w:eastAsia="黑体"/>
      <w:b/>
      <w:bCs/>
      <w:sz w:val="32"/>
      <w:szCs w:val="32"/>
    </w:rPr>
  </w:style>
  <w:style w:type="character" w:default="1" w:styleId="7">
    <w:name w:val="Default Paragraph Font"/>
    <w:semiHidden/>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widowControl/>
      <w:ind w:firstLine="420"/>
      <w:jc w:val="left"/>
    </w:pPr>
    <w:rPr>
      <w:kern w:val="0"/>
      <w:sz w:val="20"/>
      <w:szCs w:val="20"/>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rFonts w:eastAsia="宋体"/>
      <w:sz w:val="18"/>
      <w:szCs w:val="18"/>
    </w:rPr>
  </w:style>
  <w:style w:type="paragraph" w:customStyle="1" w:styleId="8">
    <w:name w:val="Default"/>
    <w:qFormat/>
    <w:uiPriority w:val="0"/>
    <w:pPr>
      <w:widowControl w:val="0"/>
      <w:autoSpaceDE w:val="0"/>
      <w:autoSpaceDN w:val="0"/>
      <w:adjustRightInd w:val="0"/>
    </w:pPr>
    <w:rPr>
      <w:rFonts w:ascii="Arial" w:hAnsi="Arial" w:eastAsia="宋体" w:cs="Arial"/>
      <w:color w:val="000000"/>
      <w:sz w:val="24"/>
      <w:szCs w:val="24"/>
      <w:lang w:val="en-US" w:eastAsia="zh-CN" w:bidi="ar-SA"/>
    </w:rPr>
  </w:style>
  <w:style w:type="paragraph" w:customStyle="1" w:styleId="9">
    <w:name w:val="无间隔1"/>
    <w:next w:val="1"/>
    <w:qFormat/>
    <w:uiPriority w:val="0"/>
    <w:rPr>
      <w:rFonts w:ascii="Times New Roman" w:hAnsi="Times New Roman" w:eastAsia="Times New Roman" w:cs="Times New Roman"/>
      <w:sz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2025-01-21T01:04:00Z</dcterms:created>
  <dc:creator>WDS</dc:creator>
  <cp:lastModifiedBy>WDS</cp:lastModifiedBy>
  <dcterms:modified xsi:type="dcterms:W3CDTF">2025-01-21T01:04:52Z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A935AB31494445169D225ACC82989F0A_11</vt:lpwstr>
  </property>
  <property fmtid="{D5CDD505-2E9C-101B-9397-08002B2CF9AE}" pid="4" name="KSOTemplateDocerSaveRecord">
    <vt:lpwstr>eyJoZGlkIjoiMTMyZTBjOTU5NjYwNjAxYmVlNGQ4ZjI2NmU2MGJmN2MiLCJ1c2VySWQiOiIyNjA0NzIyNTQifQ==</vt:lpwstr>
  </property>
</Properties>
</file>