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p>
      <w:pPr>
        <w:pStyle w:val="15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2"/>
        <w:tblW w:w="499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1835"/>
        <w:gridCol w:w="1771"/>
        <w:gridCol w:w="417"/>
        <w:gridCol w:w="417"/>
        <w:gridCol w:w="916"/>
        <w:gridCol w:w="922"/>
        <w:gridCol w:w="589"/>
        <w:gridCol w:w="417"/>
        <w:gridCol w:w="1217"/>
        <w:gridCol w:w="617"/>
        <w:gridCol w:w="9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5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3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标段2 废旧蓄电池、变压器油处置</w:t>
            </w:r>
          </w:p>
        </w:tc>
        <w:tc>
          <w:tcPr>
            <w:tcW w:w="9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鄂尔多斯供电公司报废蓄电池、变压器油处置项目框架协议</w:t>
            </w: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废旧蓄电池处置</w:t>
            </w:r>
          </w:p>
        </w:tc>
        <w:tc>
          <w:tcPr>
            <w:tcW w:w="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吨</w:t>
            </w:r>
          </w:p>
        </w:tc>
        <w:tc>
          <w:tcPr>
            <w:tcW w:w="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5300.00 </w:t>
            </w:r>
          </w:p>
        </w:tc>
        <w:tc>
          <w:tcPr>
            <w:tcW w:w="36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物资供应处</w:t>
            </w:r>
          </w:p>
        </w:tc>
        <w:tc>
          <w:tcPr>
            <w:tcW w:w="27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2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合同签订后至2025-07-31</w:t>
            </w:r>
          </w:p>
        </w:tc>
        <w:tc>
          <w:tcPr>
            <w:tcW w:w="2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固定资产清理费、其他业务成本</w:t>
            </w:r>
          </w:p>
        </w:tc>
        <w:tc>
          <w:tcPr>
            <w:tcW w:w="53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入围供应商1家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3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废旧变压器油处置</w:t>
            </w:r>
          </w:p>
        </w:tc>
        <w:tc>
          <w:tcPr>
            <w:tcW w:w="1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吨</w:t>
            </w:r>
          </w:p>
        </w:tc>
        <w:tc>
          <w:tcPr>
            <w:tcW w:w="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1750.00 </w:t>
            </w:r>
          </w:p>
        </w:tc>
        <w:tc>
          <w:tcPr>
            <w:tcW w:w="36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89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7050.00 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说明：1、本次预算底价为含税价，各回收商在底价的基础上进行报价，报价不得低于底价，低于低价的将否决其响应。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2、本项目多轮报价采用5轮报价，即响应文件中的报价为一次报价。通过初步评审的回收商均可以参与之后的多轮报价，每轮报价必须高于上一次的报价，每次加价不得低于200元。每轮报价时长不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highlight w:val="none"/>
        </w:rPr>
        <w:t>得超过30分钟，若本轮未提交报价，以该回收商的上一次报价为准。未按要求加价的或低于上一次报价的，本轮次报价视为无效报价，以该回收商的上一次报价为准。当5轮报价完成后，同一标段出现两个及以上报价最高且报价相同的回收商，将针对以上回收商开启多轮报价，直至同一标段产生报价最高的回收商，否则不予开启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3、结算方式：每批回收价格按照=乙方所报单价（元/吨）*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本批次报废蓄电池重量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（吨）。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4、回收商报价时需综合考虑协议有效期内货物装卸、道路运输成本及相关物资市场价格波动的影响，合理报价。</w:t>
      </w:r>
    </w:p>
    <w:p>
      <w:pPr>
        <w:pStyle w:val="2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5、回收商负责按照甲方要求免费办理铅酸蓄电池的回收及拉运，不得向甲方另行收费。</w:t>
      </w:r>
    </w:p>
    <w:p>
      <w:pPr>
        <w:pStyle w:val="15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CQTVw2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CQTVw2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JFn5yzcCAAB3BAAADgAAAGRycy9lMm9Eb2MueG1srVRL&#10;rtMwFJ0jsQfLc5qkvPJo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CRZ+c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NIdNGNQIAAHgEAAAOAAAAZHJzL2Uyb0RvYy54bWyt&#10;VE2O0zAU3iNxB8t7mrZomE7UdBaUskEwYpgDvNpOYuQ/2W6TcgAOwBoJiQ3iEBxnBMeYZzfT+YFF&#10;F2SRPNvvff6+z8+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M0h00Y1AgAAeA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sEAcWD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CwQBxY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12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653405" cy="3240405"/>
            <wp:effectExtent l="0" t="0" r="635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、回收商查询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在“当事人”处输入回收商全称；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回收商</w:t>
      </w:r>
      <w:r>
        <w:rPr>
          <w:rFonts w:hint="eastAsia" w:ascii="仿宋" w:hAnsi="仿宋" w:eastAsia="仿宋" w:cs="仿宋"/>
          <w:bCs/>
          <w:sz w:val="24"/>
          <w:highlight w:val="none"/>
        </w:rPr>
        <w:t>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5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587A7ABA"/>
    <w:rsid w:val="22C001E1"/>
    <w:rsid w:val="2EC175F3"/>
    <w:rsid w:val="587A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5"/>
    <w:autoRedefine/>
    <w:qFormat/>
    <w:uiPriority w:val="0"/>
    <w:rPr>
      <w:rFonts w:ascii="宋体" w:hAnsi="宋体"/>
      <w:kern w:val="0"/>
      <w:sz w:val="28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autoRedefine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7">
    <w:name w:val="p16"/>
    <w:next w:val="8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8">
    <w:name w:val="toc 2"/>
    <w:basedOn w:val="1"/>
    <w:next w:val="1"/>
    <w:autoRedefine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9">
    <w:name w:val="footer"/>
    <w:basedOn w:val="1"/>
    <w:next w:val="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1">
    <w:name w:val="Body Text First Indent 2"/>
    <w:basedOn w:val="6"/>
    <w:next w:val="1"/>
    <w:autoRedefine/>
    <w:unhideWhenUsed/>
    <w:qFormat/>
    <w:uiPriority w:val="99"/>
    <w:pPr>
      <w:ind w:firstLine="420"/>
    </w:pPr>
  </w:style>
  <w:style w:type="table" w:styleId="13">
    <w:name w:val="Table Grid"/>
    <w:basedOn w:val="12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5">
    <w:name w:val="段"/>
    <w:autoRedefine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2024-08-26T08:53:00Z</dcterms:created>
  <dc:creator>鄂尔多斯草原高宇 ✨15047795745</dc:creator>
  <cp:lastModifiedBy>鄂尔多斯草原高宇 ✨15047795745</cp:lastModifiedBy>
  <dcterms:modified xsi:type="dcterms:W3CDTF">2024-09-04T07:10:11Z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4006519778EE42608A694EA51F0F8A3B_11</vt:lpwstr>
  </property>
</Properties>
</file>