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6C8BA">
      <w:pPr>
        <w:spacing w:line="360" w:lineRule="auto"/>
        <w:jc w:val="center"/>
        <w:rPr>
          <w:rFonts w:ascii="宋体" w:hAnsi="宋体" w:eastAsia="宋体" w:cs="宋体"/>
          <w:b/>
          <w:bCs/>
          <w:sz w:val="32"/>
          <w:szCs w:val="32"/>
        </w:rPr>
      </w:pPr>
      <w:bookmarkStart w:id="0" w:name="_Toc495644242"/>
      <w:r>
        <w:rPr>
          <w:rFonts w:hint="eastAsia" w:ascii="宋体" w:hAnsi="宋体" w:eastAsia="宋体" w:cs="宋体"/>
          <w:b/>
          <w:bCs/>
          <w:sz w:val="32"/>
          <w:szCs w:val="32"/>
        </w:rPr>
        <w:t>锡林郭勒供电公司2024年社会责任管理体系监督审核咨询服务采购项目询比采购公告</w:t>
      </w:r>
    </w:p>
    <w:bookmarkEnd w:id="0"/>
    <w:p w14:paraId="65528682">
      <w:pPr>
        <w:spacing w:line="360" w:lineRule="auto"/>
        <w:ind w:left="-14" w:leftChars="-4" w:right="-54" w:firstLine="540" w:firstLineChars="225"/>
        <w:rPr>
          <w:rFonts w:hint="eastAsia" w:ascii="宋体" w:hAnsi="宋体" w:eastAsia="宋体" w:cs="宋体"/>
          <w:sz w:val="24"/>
          <w:szCs w:val="24"/>
        </w:rPr>
      </w:pPr>
      <w:r>
        <w:rPr>
          <w:rFonts w:hint="eastAsia" w:ascii="宋体" w:hAnsi="宋体" w:eastAsia="宋体" w:cs="宋体"/>
          <w:sz w:val="24"/>
          <w:szCs w:val="24"/>
        </w:rPr>
        <w:t>依据《国有企业采购操作规范》及《国有企业采购操作规范》释义等相关的规定，受内蒙古电力（集团）有限责任公司锡林郭勒供电分公司物资供应处的委托,法正项目管理集团有限公司对锡林郭勒供电公司2024年社会责任管理体系监督审核咨询服务采购项目进行询比采购,现发布采购公告如下</w:t>
      </w:r>
      <w:bookmarkStart w:id="1" w:name="_Toc495644243"/>
      <w:r>
        <w:rPr>
          <w:rFonts w:hint="eastAsia" w:ascii="宋体" w:hAnsi="宋体" w:eastAsia="宋体" w:cs="宋体"/>
          <w:sz w:val="24"/>
          <w:szCs w:val="24"/>
        </w:rPr>
        <w:t>：</w:t>
      </w:r>
    </w:p>
    <w:p w14:paraId="4AF8A250">
      <w:pPr>
        <w:spacing w:line="360" w:lineRule="auto"/>
        <w:ind w:right="-54"/>
        <w:rPr>
          <w:rFonts w:hint="eastAsia" w:ascii="宋体" w:hAnsi="宋体" w:eastAsia="宋体" w:cs="宋体"/>
          <w:b/>
          <w:sz w:val="24"/>
          <w:szCs w:val="24"/>
        </w:rPr>
      </w:pPr>
      <w:r>
        <w:rPr>
          <w:rFonts w:hint="eastAsia" w:ascii="宋体" w:hAnsi="宋体" w:eastAsia="宋体" w:cs="宋体"/>
          <w:b/>
          <w:sz w:val="24"/>
          <w:szCs w:val="24"/>
        </w:rPr>
        <w:t>1. 项目概况与采购范围</w:t>
      </w:r>
      <w:bookmarkEnd w:id="1"/>
      <w:r>
        <w:rPr>
          <w:rFonts w:hint="eastAsia" w:ascii="宋体" w:hAnsi="宋体" w:eastAsia="宋体" w:cs="宋体"/>
          <w:b/>
          <w:sz w:val="24"/>
          <w:szCs w:val="24"/>
        </w:rPr>
        <w:t xml:space="preserve"> </w:t>
      </w:r>
    </w:p>
    <w:p w14:paraId="18EEBED3">
      <w:pPr>
        <w:snapToGrid w:val="0"/>
        <w:spacing w:line="360" w:lineRule="auto"/>
        <w:ind w:right="-65" w:rightChars="-19"/>
        <w:rPr>
          <w:rFonts w:hint="eastAsia" w:ascii="宋体" w:hAnsi="宋体" w:eastAsia="宋体" w:cs="宋体"/>
          <w:sz w:val="24"/>
          <w:szCs w:val="24"/>
        </w:rPr>
      </w:pPr>
      <w:bookmarkStart w:id="2" w:name="_Toc495644244"/>
      <w:r>
        <w:rPr>
          <w:rFonts w:hint="eastAsia" w:ascii="宋体" w:hAnsi="宋体" w:eastAsia="宋体" w:cs="宋体"/>
          <w:sz w:val="24"/>
          <w:szCs w:val="22"/>
        </w:rPr>
        <w:t>1.1项目名称：</w:t>
      </w:r>
      <w:r>
        <w:rPr>
          <w:rFonts w:hint="eastAsia" w:ascii="宋体" w:hAnsi="宋体" w:eastAsia="宋体" w:cs="宋体"/>
          <w:sz w:val="24"/>
          <w:szCs w:val="24"/>
        </w:rPr>
        <w:t>锡林郭勒供电公司2024年社会责任管理体系监督审核咨询服务采购项目</w:t>
      </w:r>
    </w:p>
    <w:p w14:paraId="266EAF40">
      <w:pPr>
        <w:snapToGrid w:val="0"/>
        <w:spacing w:line="360" w:lineRule="auto"/>
        <w:ind w:right="-65" w:rightChars="-19"/>
        <w:rPr>
          <w:rFonts w:hint="eastAsia" w:ascii="宋体" w:hAnsi="宋体" w:eastAsia="宋体" w:cs="宋体"/>
          <w:sz w:val="24"/>
          <w:szCs w:val="22"/>
        </w:rPr>
      </w:pPr>
      <w:r>
        <w:rPr>
          <w:rFonts w:hint="eastAsia" w:ascii="宋体" w:hAnsi="宋体" w:eastAsia="宋体" w:cs="宋体"/>
          <w:sz w:val="24"/>
          <w:szCs w:val="24"/>
        </w:rPr>
        <w:t>1.2项目编号: FZ2024-XDWZ-XB-026</w:t>
      </w:r>
      <w:r>
        <w:rPr>
          <w:rFonts w:hint="eastAsia" w:ascii="宋体" w:hAnsi="宋体" w:eastAsia="宋体" w:cs="宋体"/>
          <w:sz w:val="24"/>
          <w:szCs w:val="22"/>
        </w:rPr>
        <w:t xml:space="preserve"> </w:t>
      </w:r>
    </w:p>
    <w:p w14:paraId="02BC245D">
      <w:pPr>
        <w:snapToGrid w:val="0"/>
        <w:spacing w:line="360" w:lineRule="auto"/>
        <w:ind w:right="-65" w:rightChars="-19"/>
        <w:rPr>
          <w:rFonts w:hint="eastAsia" w:ascii="宋体" w:hAnsi="宋体" w:eastAsia="宋体" w:cs="宋体"/>
          <w:sz w:val="24"/>
          <w:szCs w:val="24"/>
        </w:rPr>
      </w:pPr>
      <w:r>
        <w:rPr>
          <w:rFonts w:hint="eastAsia" w:ascii="宋体" w:hAnsi="宋体" w:eastAsia="宋体" w:cs="宋体"/>
          <w:sz w:val="24"/>
          <w:szCs w:val="22"/>
        </w:rPr>
        <w:t>1.3采购内容：</w:t>
      </w:r>
      <w:r>
        <w:rPr>
          <w:rFonts w:hint="eastAsia" w:ascii="宋体" w:hAnsi="宋体" w:eastAsia="宋体" w:cs="宋体"/>
          <w:sz w:val="24"/>
          <w:szCs w:val="24"/>
        </w:rPr>
        <w:t>本项目共计1个包，具体内容详见需求明细表</w:t>
      </w:r>
    </w:p>
    <w:tbl>
      <w:tblPr>
        <w:tblStyle w:val="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2693"/>
        <w:gridCol w:w="578"/>
        <w:gridCol w:w="689"/>
        <w:gridCol w:w="1412"/>
        <w:gridCol w:w="1536"/>
        <w:gridCol w:w="1149"/>
      </w:tblGrid>
      <w:tr w14:paraId="7353F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69" w:type="pct"/>
            <w:vMerge w:val="restart"/>
            <w:noWrap/>
            <w:vAlign w:val="center"/>
          </w:tcPr>
          <w:p w14:paraId="0F2F086A">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序号</w:t>
            </w:r>
          </w:p>
        </w:tc>
        <w:tc>
          <w:tcPr>
            <w:tcW w:w="1546" w:type="pct"/>
            <w:vMerge w:val="restart"/>
            <w:noWrap/>
            <w:vAlign w:val="center"/>
          </w:tcPr>
          <w:p w14:paraId="38C5A3EF">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分包名称</w:t>
            </w:r>
          </w:p>
        </w:tc>
        <w:tc>
          <w:tcPr>
            <w:tcW w:w="333" w:type="pct"/>
            <w:vMerge w:val="restart"/>
            <w:noWrap w:val="0"/>
            <w:vAlign w:val="center"/>
          </w:tcPr>
          <w:p w14:paraId="051CD05E">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单位</w:t>
            </w:r>
          </w:p>
        </w:tc>
        <w:tc>
          <w:tcPr>
            <w:tcW w:w="397" w:type="pct"/>
            <w:vMerge w:val="restart"/>
            <w:noWrap w:val="0"/>
            <w:vAlign w:val="center"/>
          </w:tcPr>
          <w:p w14:paraId="7E13FFFC">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采购数量</w:t>
            </w:r>
          </w:p>
        </w:tc>
        <w:tc>
          <w:tcPr>
            <w:tcW w:w="1692" w:type="pct"/>
            <w:gridSpan w:val="2"/>
            <w:noWrap w:val="0"/>
            <w:vAlign w:val="center"/>
          </w:tcPr>
          <w:p w14:paraId="61E164D3">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最高限价（元）</w:t>
            </w:r>
          </w:p>
        </w:tc>
        <w:tc>
          <w:tcPr>
            <w:tcW w:w="660" w:type="pct"/>
            <w:vMerge w:val="restart"/>
            <w:noWrap w:val="0"/>
            <w:vAlign w:val="center"/>
          </w:tcPr>
          <w:p w14:paraId="319BDB27">
            <w:pPr>
              <w:widowControl/>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bidi="ar"/>
              </w:rPr>
              <w:t>分包</w:t>
            </w:r>
          </w:p>
          <w:p w14:paraId="6B0904AF">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方案</w:t>
            </w:r>
          </w:p>
        </w:tc>
      </w:tr>
      <w:tr w14:paraId="47E9C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69" w:type="pct"/>
            <w:vMerge w:val="continue"/>
            <w:noWrap/>
            <w:vAlign w:val="center"/>
          </w:tcPr>
          <w:p w14:paraId="6073B4ED">
            <w:pPr>
              <w:jc w:val="center"/>
              <w:rPr>
                <w:rFonts w:hint="eastAsia" w:ascii="宋体" w:hAnsi="宋体" w:eastAsia="宋体" w:cs="宋体"/>
                <w:b/>
                <w:bCs/>
                <w:color w:val="000000"/>
                <w:sz w:val="22"/>
                <w:szCs w:val="22"/>
              </w:rPr>
            </w:pPr>
          </w:p>
        </w:tc>
        <w:tc>
          <w:tcPr>
            <w:tcW w:w="1546" w:type="pct"/>
            <w:vMerge w:val="continue"/>
            <w:noWrap/>
            <w:vAlign w:val="center"/>
          </w:tcPr>
          <w:p w14:paraId="52155B3A">
            <w:pPr>
              <w:jc w:val="center"/>
              <w:rPr>
                <w:rFonts w:hint="eastAsia" w:ascii="宋体" w:hAnsi="宋体" w:eastAsia="宋体" w:cs="宋体"/>
                <w:b/>
                <w:bCs/>
                <w:color w:val="000000"/>
                <w:sz w:val="22"/>
                <w:szCs w:val="22"/>
              </w:rPr>
            </w:pPr>
          </w:p>
        </w:tc>
        <w:tc>
          <w:tcPr>
            <w:tcW w:w="333" w:type="pct"/>
            <w:vMerge w:val="continue"/>
            <w:noWrap w:val="0"/>
            <w:vAlign w:val="center"/>
          </w:tcPr>
          <w:p w14:paraId="368E41B4">
            <w:pPr>
              <w:jc w:val="center"/>
              <w:rPr>
                <w:rFonts w:hint="eastAsia" w:ascii="宋体" w:hAnsi="宋体" w:eastAsia="宋体" w:cs="宋体"/>
                <w:b/>
                <w:bCs/>
                <w:color w:val="000000"/>
                <w:sz w:val="22"/>
                <w:szCs w:val="22"/>
              </w:rPr>
            </w:pPr>
          </w:p>
        </w:tc>
        <w:tc>
          <w:tcPr>
            <w:tcW w:w="397" w:type="pct"/>
            <w:vMerge w:val="continue"/>
            <w:noWrap w:val="0"/>
            <w:vAlign w:val="center"/>
          </w:tcPr>
          <w:p w14:paraId="7B75207A">
            <w:pPr>
              <w:jc w:val="center"/>
              <w:rPr>
                <w:rFonts w:hint="eastAsia" w:ascii="宋体" w:hAnsi="宋体" w:eastAsia="宋体" w:cs="宋体"/>
                <w:b/>
                <w:bCs/>
                <w:color w:val="000000"/>
                <w:sz w:val="22"/>
                <w:szCs w:val="22"/>
              </w:rPr>
            </w:pPr>
          </w:p>
        </w:tc>
        <w:tc>
          <w:tcPr>
            <w:tcW w:w="810" w:type="pct"/>
            <w:noWrap w:val="0"/>
            <w:vAlign w:val="center"/>
          </w:tcPr>
          <w:p w14:paraId="7D9A7823">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单价</w:t>
            </w:r>
          </w:p>
        </w:tc>
        <w:tc>
          <w:tcPr>
            <w:tcW w:w="882" w:type="pct"/>
            <w:noWrap w:val="0"/>
            <w:vAlign w:val="center"/>
          </w:tcPr>
          <w:p w14:paraId="466FC879">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合计</w:t>
            </w:r>
          </w:p>
        </w:tc>
        <w:tc>
          <w:tcPr>
            <w:tcW w:w="660" w:type="pct"/>
            <w:vMerge w:val="continue"/>
            <w:noWrap w:val="0"/>
            <w:vAlign w:val="center"/>
          </w:tcPr>
          <w:p w14:paraId="74550694">
            <w:pPr>
              <w:jc w:val="center"/>
              <w:rPr>
                <w:rFonts w:hint="eastAsia" w:ascii="宋体" w:hAnsi="宋体" w:eastAsia="宋体" w:cs="宋体"/>
                <w:b/>
                <w:bCs/>
                <w:color w:val="000000"/>
                <w:sz w:val="22"/>
                <w:szCs w:val="22"/>
              </w:rPr>
            </w:pPr>
          </w:p>
        </w:tc>
      </w:tr>
      <w:tr w14:paraId="4BA7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369" w:type="pct"/>
            <w:noWrap w:val="0"/>
            <w:vAlign w:val="center"/>
          </w:tcPr>
          <w:p w14:paraId="2EE0547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w:t>
            </w:r>
          </w:p>
        </w:tc>
        <w:tc>
          <w:tcPr>
            <w:tcW w:w="1546" w:type="pct"/>
            <w:noWrap w:val="0"/>
            <w:vAlign w:val="center"/>
          </w:tcPr>
          <w:p w14:paraId="636CE817">
            <w:pPr>
              <w:widowControl/>
              <w:jc w:val="center"/>
              <w:textAlignment w:val="center"/>
              <w:rPr>
                <w:rFonts w:hint="eastAsia" w:ascii="宋体" w:hAnsi="宋体" w:eastAsia="宋体" w:cs="宋体"/>
                <w:sz w:val="22"/>
                <w:szCs w:val="21"/>
              </w:rPr>
            </w:pPr>
            <w:r>
              <w:rPr>
                <w:rFonts w:hint="eastAsia" w:ascii="宋体" w:hAnsi="宋体" w:eastAsia="宋体" w:cs="宋体"/>
                <w:sz w:val="22"/>
                <w:szCs w:val="21"/>
              </w:rPr>
              <w:t>锡林郭勒供电公司2024年社会责任管理体系监督审核咨询服务采购项目</w:t>
            </w:r>
          </w:p>
        </w:tc>
        <w:tc>
          <w:tcPr>
            <w:tcW w:w="333" w:type="pct"/>
            <w:noWrap w:val="0"/>
            <w:vAlign w:val="center"/>
          </w:tcPr>
          <w:p w14:paraId="263A126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项</w:t>
            </w:r>
          </w:p>
        </w:tc>
        <w:tc>
          <w:tcPr>
            <w:tcW w:w="397" w:type="pct"/>
            <w:noWrap/>
            <w:vAlign w:val="center"/>
          </w:tcPr>
          <w:p w14:paraId="4CA9179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w:t>
            </w:r>
          </w:p>
        </w:tc>
        <w:tc>
          <w:tcPr>
            <w:tcW w:w="810" w:type="pct"/>
            <w:noWrap/>
            <w:vAlign w:val="center"/>
          </w:tcPr>
          <w:p w14:paraId="05F9E34B">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150000.00</w:t>
            </w:r>
          </w:p>
        </w:tc>
        <w:tc>
          <w:tcPr>
            <w:tcW w:w="882" w:type="pct"/>
            <w:noWrap/>
            <w:vAlign w:val="center"/>
          </w:tcPr>
          <w:p w14:paraId="41EC895D">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150000.00</w:t>
            </w:r>
          </w:p>
        </w:tc>
        <w:tc>
          <w:tcPr>
            <w:tcW w:w="660" w:type="pct"/>
            <w:noWrap w:val="0"/>
            <w:vAlign w:val="center"/>
          </w:tcPr>
          <w:p w14:paraId="1D1A71A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第一包</w:t>
            </w:r>
          </w:p>
        </w:tc>
      </w:tr>
      <w:tr w14:paraId="47E16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369" w:type="pct"/>
            <w:noWrap w:val="0"/>
            <w:vAlign w:val="center"/>
          </w:tcPr>
          <w:p w14:paraId="7352C887">
            <w:pPr>
              <w:widowControl/>
              <w:jc w:val="center"/>
              <w:textAlignment w:val="center"/>
              <w:rPr>
                <w:rFonts w:hint="eastAsia" w:ascii="宋体" w:hAnsi="宋体" w:eastAsia="宋体" w:cs="宋体"/>
                <w:color w:val="000000"/>
                <w:kern w:val="0"/>
                <w:sz w:val="22"/>
                <w:szCs w:val="22"/>
                <w:lang w:bidi="ar"/>
              </w:rPr>
            </w:pPr>
          </w:p>
        </w:tc>
        <w:tc>
          <w:tcPr>
            <w:tcW w:w="3087" w:type="pct"/>
            <w:gridSpan w:val="4"/>
            <w:noWrap w:val="0"/>
            <w:vAlign w:val="center"/>
          </w:tcPr>
          <w:p w14:paraId="6464BB4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总计</w:t>
            </w:r>
          </w:p>
        </w:tc>
        <w:tc>
          <w:tcPr>
            <w:tcW w:w="882" w:type="pct"/>
            <w:noWrap/>
            <w:vAlign w:val="center"/>
          </w:tcPr>
          <w:p w14:paraId="6C806956">
            <w:pPr>
              <w:widowControl/>
              <w:jc w:val="center"/>
              <w:textAlignment w:val="center"/>
              <w:rPr>
                <w:rFonts w:ascii="宋体" w:hAnsi="宋体" w:eastAsia="宋体" w:cs="宋体"/>
                <w:color w:val="000000"/>
                <w:kern w:val="0"/>
                <w:sz w:val="22"/>
                <w:szCs w:val="22"/>
                <w:lang w:bidi="ar"/>
              </w:rPr>
            </w:pPr>
            <w:r>
              <w:rPr>
                <w:rFonts w:ascii="宋体" w:hAnsi="宋体" w:eastAsia="宋体" w:cs="宋体"/>
                <w:color w:val="000000"/>
                <w:kern w:val="0"/>
                <w:sz w:val="22"/>
                <w:szCs w:val="22"/>
                <w:lang w:bidi="ar"/>
              </w:rPr>
              <w:t>150000.00</w:t>
            </w:r>
          </w:p>
        </w:tc>
        <w:tc>
          <w:tcPr>
            <w:tcW w:w="660" w:type="pct"/>
            <w:noWrap w:val="0"/>
            <w:vAlign w:val="center"/>
          </w:tcPr>
          <w:p w14:paraId="56B0A13B">
            <w:pPr>
              <w:widowControl/>
              <w:jc w:val="center"/>
              <w:textAlignment w:val="center"/>
              <w:rPr>
                <w:rFonts w:hint="eastAsia" w:ascii="宋体" w:hAnsi="宋体" w:eastAsia="宋体" w:cs="宋体"/>
                <w:color w:val="000000"/>
                <w:kern w:val="0"/>
                <w:sz w:val="22"/>
                <w:szCs w:val="22"/>
                <w:lang w:bidi="ar"/>
              </w:rPr>
            </w:pPr>
          </w:p>
        </w:tc>
      </w:tr>
    </w:tbl>
    <w:p w14:paraId="1E4EAB28">
      <w:pPr>
        <w:snapToGrid w:val="0"/>
        <w:spacing w:line="360" w:lineRule="auto"/>
        <w:ind w:right="-65" w:rightChars="-19"/>
        <w:rPr>
          <w:rFonts w:hint="eastAsia" w:ascii="宋体" w:hAnsi="宋体" w:eastAsia="宋体" w:cs="宋体"/>
          <w:sz w:val="24"/>
          <w:szCs w:val="22"/>
        </w:rPr>
      </w:pPr>
      <w:r>
        <w:rPr>
          <w:rFonts w:hint="eastAsia" w:ascii="宋体" w:hAnsi="宋体" w:eastAsia="宋体" w:cs="宋体"/>
          <w:sz w:val="24"/>
          <w:szCs w:val="22"/>
        </w:rPr>
        <w:t>1.4资金来源：企业自筹</w:t>
      </w:r>
    </w:p>
    <w:p w14:paraId="7215F3DF">
      <w:pPr>
        <w:snapToGrid w:val="0"/>
        <w:spacing w:line="360" w:lineRule="auto"/>
        <w:ind w:right="-65" w:rightChars="-19"/>
        <w:rPr>
          <w:rFonts w:hint="eastAsia" w:ascii="宋体" w:hAnsi="宋体" w:eastAsia="宋体" w:cs="宋体"/>
          <w:sz w:val="24"/>
          <w:szCs w:val="22"/>
        </w:rPr>
      </w:pPr>
      <w:r>
        <w:rPr>
          <w:rFonts w:hint="eastAsia" w:ascii="宋体" w:hAnsi="宋体" w:eastAsia="宋体" w:cs="宋体"/>
          <w:sz w:val="24"/>
          <w:szCs w:val="22"/>
        </w:rPr>
        <w:t>1.</w:t>
      </w:r>
      <w:bookmarkEnd w:id="2"/>
      <w:bookmarkStart w:id="3" w:name="_Toc37409907"/>
      <w:bookmarkStart w:id="4" w:name="_Toc37407095"/>
      <w:bookmarkStart w:id="5" w:name="_Toc37411142"/>
      <w:r>
        <w:rPr>
          <w:rFonts w:hint="eastAsia" w:ascii="宋体" w:hAnsi="宋体" w:eastAsia="宋体" w:cs="宋体"/>
          <w:sz w:val="24"/>
          <w:szCs w:val="22"/>
        </w:rPr>
        <w:t>5服务期限：自签订合同之日起至2024年12月31日</w:t>
      </w:r>
    </w:p>
    <w:p w14:paraId="2CD8741E">
      <w:pPr>
        <w:snapToGrid w:val="0"/>
        <w:spacing w:line="360" w:lineRule="auto"/>
        <w:ind w:right="-65" w:rightChars="-19"/>
        <w:rPr>
          <w:rFonts w:hint="eastAsia" w:ascii="宋体" w:hAnsi="宋体" w:eastAsia="宋体" w:cs="宋体"/>
          <w:sz w:val="24"/>
          <w:szCs w:val="22"/>
        </w:rPr>
      </w:pPr>
      <w:r>
        <w:rPr>
          <w:rFonts w:hint="eastAsia" w:ascii="宋体" w:hAnsi="宋体" w:eastAsia="宋体" w:cs="宋体"/>
          <w:sz w:val="24"/>
          <w:szCs w:val="22"/>
        </w:rPr>
        <w:t>1.6服务地点：</w:t>
      </w:r>
      <w:bookmarkEnd w:id="3"/>
      <w:bookmarkEnd w:id="4"/>
      <w:bookmarkEnd w:id="5"/>
      <w:r>
        <w:rPr>
          <w:rFonts w:hint="eastAsia" w:ascii="宋体" w:hAnsi="宋体" w:eastAsia="宋体" w:cs="宋体"/>
          <w:sz w:val="24"/>
          <w:szCs w:val="22"/>
        </w:rPr>
        <w:t>锡林郭勒盟</w:t>
      </w:r>
    </w:p>
    <w:p w14:paraId="105CF2A7">
      <w:pPr>
        <w:snapToGrid w:val="0"/>
        <w:spacing w:line="360" w:lineRule="auto"/>
        <w:ind w:right="-65" w:rightChars="-19"/>
        <w:rPr>
          <w:rFonts w:hint="eastAsia" w:ascii="宋体" w:hAnsi="宋体" w:eastAsia="宋体" w:cs="宋体"/>
          <w:sz w:val="24"/>
          <w:szCs w:val="24"/>
        </w:rPr>
      </w:pPr>
      <w:r>
        <w:rPr>
          <w:rFonts w:hint="eastAsia" w:ascii="宋体" w:hAnsi="宋体" w:eastAsia="宋体" w:cs="宋体"/>
          <w:b/>
          <w:sz w:val="24"/>
          <w:szCs w:val="24"/>
        </w:rPr>
        <w:t>2.供应商资格要求：</w:t>
      </w:r>
    </w:p>
    <w:p w14:paraId="2EC8EC70">
      <w:pPr>
        <w:spacing w:line="360" w:lineRule="auto"/>
        <w:ind w:right="-65" w:rightChars="-19"/>
        <w:rPr>
          <w:rFonts w:hint="eastAsia" w:ascii="宋体" w:hAnsi="宋体" w:eastAsia="宋体" w:cs="宋体"/>
          <w:b/>
          <w:sz w:val="24"/>
          <w:szCs w:val="24"/>
        </w:rPr>
      </w:pPr>
      <w:r>
        <w:rPr>
          <w:rFonts w:hint="eastAsia" w:ascii="宋体" w:hAnsi="宋体" w:eastAsia="宋体" w:cs="宋体"/>
          <w:b/>
          <w:sz w:val="24"/>
          <w:szCs w:val="24"/>
        </w:rPr>
        <w:t>2.1通用资格要求</w:t>
      </w:r>
    </w:p>
    <w:p w14:paraId="6DAC3719">
      <w:pPr>
        <w:pStyle w:val="3"/>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（1）本次采购要求供应商具有中华人民共和国法人资格或其他组织，且具有独立订立合同的权利；</w:t>
      </w:r>
    </w:p>
    <w:p w14:paraId="1EFA13E2">
      <w:pPr>
        <w:pStyle w:val="3"/>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（2）单位负责人为同一人或者存在控股、管理关系的不同单位，不得参加同一标段竞标或者未划分标段的同一采购项目竞标。母子公司不能互用资质、业绩；</w:t>
      </w:r>
    </w:p>
    <w:p w14:paraId="76498DA8">
      <w:pPr>
        <w:pStyle w:val="3"/>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（3）具有国家相关部门颁发且有效的营业执照，企业如有信息变更，需有工商局变更说明；</w:t>
      </w:r>
    </w:p>
    <w:p w14:paraId="5523172B">
      <w:pPr>
        <w:pStyle w:val="3"/>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（4）供应商具有开具增值税专用发票的能力；</w:t>
      </w:r>
    </w:p>
    <w:p w14:paraId="588F305E">
      <w:pPr>
        <w:pStyle w:val="3"/>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（5）近三年内（自采购文件发售之日起前三年）供应商和其法定代表人未有行贿犯罪行为；</w:t>
      </w:r>
    </w:p>
    <w:p w14:paraId="35644B4A">
      <w:pPr>
        <w:pStyle w:val="3"/>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注：供应商需提供近三年内（自采购文件发售之日起前三年）供应商在中国裁判文书网（http://wenshu.court.gov.cn/）无行贿犯罪档案的查询结果截图和其法定代表人在中国裁判文书网无行贿犯罪档案的查询结果截图，查询结果截图中须包含：“当事人”为供应商名称或供应商法定代表人，“全文”为“行贿罪”，“裁判日期”不得少于近三年（自采购文件发售之日起前三年）。</w:t>
      </w:r>
    </w:p>
    <w:p w14:paraId="78A7B365">
      <w:pPr>
        <w:pStyle w:val="3"/>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（6）供应商未被工商行政管理机关在国家企业信用信息公示系统中列入“严重违法失信企业名单”；</w:t>
      </w:r>
    </w:p>
    <w:p w14:paraId="49B44AB2">
      <w:pPr>
        <w:pStyle w:val="3"/>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注：供应商需提供在国家企业信用信息公示系统（www.gsxt.gov.cn）针对“严重违法失信企业名单”的查询结果截图，查询结果截图中须包含：供应商名称、统一社会信用代码、列入严重违法失信名单（黑名单）信息。</w:t>
      </w:r>
    </w:p>
    <w:p w14:paraId="692BA6FD">
      <w:pPr>
        <w:pStyle w:val="3"/>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（7）供应商未被最高人民法院在“信用中国”网站（www.creditchina.gov.cn）或各级信用信息共享平台中列入失信被执行人名单；</w:t>
      </w:r>
    </w:p>
    <w:p w14:paraId="630836CF">
      <w:pPr>
        <w:pStyle w:val="3"/>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注：供应商需提供在“信用中国”网站（www.creditchina.gov.cn）或各级信用信息共享平台中列入失信被执行人名单信息的查询结果截图，在“信用中国”的查询结果截图须能体现供应商在“中国执行信息公开网”的查询结果。</w:t>
      </w:r>
    </w:p>
    <w:p w14:paraId="5D7FBAFE">
      <w:pPr>
        <w:pStyle w:val="3"/>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信用中国”查询方式：“信用中国”→“信用服务”→“失信被执行人”，在弹出窗口进入链接网站（“中国执行信息公开网”），在查询窗口输入查询企业名称，在查询省份范围中选择“全国”，将查询结果截图。</w:t>
      </w:r>
    </w:p>
    <w:p w14:paraId="116D3454">
      <w:pPr>
        <w:pStyle w:val="3"/>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8）供应商未因发生过骗取成交和严重违约、质量事故及重大合同纠纷被上级部门（内蒙古电力（集团）有限责任公司）通报/披露取消竞标资格，并且目前不处于处罚期内；按照内蒙古电力（集团）有限责任公司《关于对供应商不良行为处理的通知》的规定，未列入最新发布的不良供应商名单；</w:t>
      </w:r>
    </w:p>
    <w:p w14:paraId="00BD4933">
      <w:pPr>
        <w:pStyle w:val="3"/>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（9）供应商未被列入中电联发布的涉电力领域失信联合惩戒对象名单及涉电力领域重点关注对象名单（截止到最新所有名单）；</w:t>
      </w:r>
    </w:p>
    <w:p w14:paraId="118B907D">
      <w:pPr>
        <w:pStyle w:val="3"/>
        <w:spacing w:line="360" w:lineRule="auto"/>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（10）本项目不接受联合体竞标。</w:t>
      </w:r>
    </w:p>
    <w:p w14:paraId="731AF8BB">
      <w:pPr>
        <w:pStyle w:val="3"/>
        <w:spacing w:line="360" w:lineRule="auto"/>
        <w:ind w:firstLine="482" w:firstLineChars="200"/>
        <w:rPr>
          <w:rFonts w:hint="eastAsia" w:ascii="宋体" w:hAnsi="宋体" w:eastAsia="宋体" w:cs="宋体"/>
          <w:b/>
          <w:color w:val="000000"/>
          <w:sz w:val="24"/>
        </w:rPr>
      </w:pPr>
      <w:r>
        <w:rPr>
          <w:rFonts w:hint="eastAsia" w:ascii="宋体" w:hAnsi="宋体" w:eastAsia="宋体" w:cs="宋体"/>
          <w:b/>
          <w:color w:val="000000"/>
          <w:sz w:val="24"/>
        </w:rPr>
        <w:t>2.2专用资格要求：</w:t>
      </w:r>
    </w:p>
    <w:p w14:paraId="5171A6B8">
      <w:pPr>
        <w:spacing w:line="360" w:lineRule="auto"/>
        <w:ind w:firstLine="240" w:firstLineChars="100"/>
        <w:rPr>
          <w:rFonts w:hint="eastAsia"/>
          <w:highlight w:val="yellow"/>
        </w:rPr>
      </w:pPr>
      <w:r>
        <w:rPr>
          <w:rFonts w:hint="eastAsia" w:ascii="宋体" w:hAnsi="宋体" w:eastAsia="宋体" w:cs="宋体"/>
          <w:bCs/>
          <w:sz w:val="24"/>
          <w:szCs w:val="24"/>
        </w:rPr>
        <w:t>1、供应商提供近三年(2021年8月至今)同类服务业绩(业绩证明材料①合同②中标通知书③入账发票，①②或①③需同时提供为准)。</w:t>
      </w:r>
      <w:r>
        <w:rPr>
          <w:rFonts w:hint="eastAsia" w:ascii="宋体" w:hAnsi="宋体" w:eastAsia="宋体" w:cs="宋体"/>
          <w:bCs/>
          <w:color w:val="000000"/>
          <w:sz w:val="24"/>
        </w:rPr>
        <w:t>注：同类业绩是指管理体系咨询服务。</w:t>
      </w:r>
    </w:p>
    <w:p w14:paraId="6D1EBF37">
      <w:pPr>
        <w:spacing w:line="360" w:lineRule="auto"/>
        <w:ind w:right="-65" w:rightChars="-19"/>
        <w:rPr>
          <w:rFonts w:hint="eastAsia" w:ascii="宋体" w:hAnsi="宋体" w:eastAsia="宋体" w:cs="宋体"/>
          <w:b/>
          <w:sz w:val="24"/>
        </w:rPr>
      </w:pPr>
      <w:r>
        <w:rPr>
          <w:rFonts w:hint="eastAsia" w:ascii="宋体" w:hAnsi="宋体" w:eastAsia="宋体" w:cs="宋体"/>
          <w:b/>
          <w:sz w:val="24"/>
        </w:rPr>
        <w:t>3.报名及采购文件的获取：</w:t>
      </w:r>
    </w:p>
    <w:p w14:paraId="62BE6514">
      <w:pPr>
        <w:spacing w:line="360" w:lineRule="auto"/>
        <w:ind w:firstLine="480" w:firstLineChars="200"/>
        <w:rPr>
          <w:rFonts w:hint="eastAsia" w:ascii="宋体" w:hAnsi="宋体" w:eastAsia="宋体" w:cs="宋体"/>
          <w:sz w:val="24"/>
          <w:szCs w:val="24"/>
        </w:rPr>
      </w:pPr>
      <w:bookmarkStart w:id="6" w:name="_Toc37407101"/>
      <w:bookmarkStart w:id="7" w:name="_Toc37411148"/>
      <w:bookmarkStart w:id="8" w:name="_Toc495645075"/>
      <w:bookmarkStart w:id="9" w:name="_Toc37409913"/>
      <w:r>
        <w:rPr>
          <w:rFonts w:hint="eastAsia" w:ascii="宋体" w:hAnsi="宋体" w:eastAsia="宋体" w:cs="宋体"/>
          <w:bCs/>
          <w:sz w:val="24"/>
        </w:rPr>
        <w:t>3.1</w:t>
      </w:r>
      <w:r>
        <w:rPr>
          <w:rFonts w:hint="eastAsia" w:ascii="宋体" w:hAnsi="宋体" w:eastAsia="宋体" w:cs="宋体"/>
          <w:sz w:val="24"/>
          <w:szCs w:val="24"/>
        </w:rPr>
        <w:t>凡第一次参与内蒙古电力公司的各类采购项目的投标人，在投标报名前需要在内蒙古电力公司物资管理信息系统--“内蒙古电力（集团）有限责任公司电子商务平台（http://wzglb.impc.com.cn:82）”，先进行投标人基本信息注册，然后在采购项目挂网公告所在的电子采购交易平台办理中招互连扫码签章，前述工作完成后方可开始报名。</w:t>
      </w:r>
    </w:p>
    <w:p w14:paraId="2ABB82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本项目实行在线报名和发布采购文件。凡有意参加投标者，请于</w:t>
      </w:r>
      <w:r>
        <w:rPr>
          <w:rFonts w:hint="eastAsia" w:ascii="宋体" w:hAnsi="宋体" w:eastAsia="宋体" w:cs="宋体"/>
          <w:sz w:val="24"/>
          <w:szCs w:val="24"/>
          <w:lang w:eastAsia="zh-CN"/>
        </w:rPr>
        <w:t>2024年08月26日</w:t>
      </w:r>
      <w:r>
        <w:rPr>
          <w:rFonts w:hint="eastAsia" w:ascii="宋体" w:hAnsi="宋体" w:eastAsia="宋体" w:cs="宋体"/>
          <w:sz w:val="24"/>
          <w:szCs w:val="24"/>
        </w:rPr>
        <w:t>至</w:t>
      </w:r>
      <w:r>
        <w:rPr>
          <w:rFonts w:hint="eastAsia" w:ascii="宋体" w:hAnsi="宋体" w:eastAsia="宋体" w:cs="宋体"/>
          <w:sz w:val="24"/>
          <w:szCs w:val="24"/>
          <w:lang w:eastAsia="zh-CN"/>
        </w:rPr>
        <w:t>2024年08月30日</w:t>
      </w:r>
      <w:r>
        <w:rPr>
          <w:rFonts w:hint="eastAsia" w:ascii="宋体" w:hAnsi="宋体" w:eastAsia="宋体" w:cs="宋体"/>
          <w:sz w:val="24"/>
          <w:szCs w:val="24"/>
        </w:rPr>
        <w:t>下午17:00，进入内蒙古电力集团电子采购系统（http://guocai-impc.cppchina.cn）→投标人登录→“报名管理”在线报名，逾期不予受理。</w:t>
      </w:r>
    </w:p>
    <w:p w14:paraId="79A7960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（1）具体流程为：登录平台（未注册用户请先免费注册）→在报名管理界面查看最新采购项目→供应商报名提交报名资料→报名成功后→供应商下载采购文件。平台联系电话：400-9913-966 。</w:t>
      </w:r>
    </w:p>
    <w:p w14:paraId="02B45F2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报名单位须凭【中招互连】APP办理项目后续电子响应事宜，之前未进行注册【中招互连】APP的企业需要登录内蒙古电力集团电子采购系统，点击首页扫码下载【中招互连】APP，根据提示即可在线办理相关事宜，后续所有流程全部扫码登录，扫码签章，扫码加密，扫码解密。</w:t>
      </w:r>
    </w:p>
    <w:p w14:paraId="447ED063">
      <w:pPr>
        <w:spacing w:line="360" w:lineRule="auto"/>
        <w:ind w:firstLine="480" w:firstLineChars="200"/>
        <w:rPr>
          <w:rFonts w:hint="eastAsia" w:ascii="宋体" w:hAnsi="宋体" w:eastAsia="宋体" w:cs="宋体"/>
          <w:sz w:val="24"/>
        </w:rPr>
      </w:pPr>
      <w:r>
        <w:rPr>
          <w:rFonts w:hint="eastAsia" w:ascii="宋体" w:hAnsi="宋体" w:eastAsia="宋体" w:cs="宋体"/>
          <w:sz w:val="24"/>
          <w:szCs w:val="24"/>
        </w:rPr>
        <w:t>注：扫码登录，扫码签章，扫码加密，扫码解密， 登录 APP 的手机号必须保持一致。</w:t>
      </w:r>
    </w:p>
    <w:p w14:paraId="3478AB99">
      <w:pPr>
        <w:pStyle w:val="6"/>
        <w:shd w:val="clear" w:color="auto" w:fill="FFFFFF"/>
        <w:spacing w:before="0" w:beforeAutospacing="0" w:after="0" w:afterAutospacing="0" w:line="360" w:lineRule="auto"/>
        <w:rPr>
          <w:rFonts w:hint="eastAsia" w:eastAsia="宋体" w:cs="宋体"/>
          <w:b/>
        </w:rPr>
      </w:pPr>
      <w:r>
        <w:rPr>
          <w:rFonts w:hint="eastAsia" w:eastAsia="宋体" w:cs="宋体"/>
          <w:b/>
          <w:bCs/>
        </w:rPr>
        <w:t>3.2报名资料</w:t>
      </w:r>
    </w:p>
    <w:p w14:paraId="46F91811">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（1）法定代表人身份证明或法定代表人授权委托书（详见采购公告附件）；</w:t>
      </w:r>
    </w:p>
    <w:p w14:paraId="7CFED90E">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（2）有效的营业执照，企业名称如有变更，需提供有关行政机关提供的变更证明；</w:t>
      </w:r>
    </w:p>
    <w:p w14:paraId="0D1F7835">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（3）响应真实性承诺书；</w:t>
      </w:r>
    </w:p>
    <w:p w14:paraId="6D12E947">
      <w:pPr>
        <w:spacing w:line="360" w:lineRule="auto"/>
        <w:ind w:firstLine="120" w:firstLineChars="50"/>
        <w:rPr>
          <w:rFonts w:hint="eastAsia" w:ascii="宋体" w:hAnsi="宋体" w:eastAsia="宋体" w:cs="宋体"/>
          <w:kern w:val="24"/>
          <w:sz w:val="24"/>
          <w:szCs w:val="24"/>
          <w:highlight w:val="yellow"/>
        </w:rPr>
      </w:pPr>
      <w:r>
        <w:rPr>
          <w:rFonts w:hint="eastAsia" w:ascii="宋体" w:hAnsi="宋体" w:eastAsia="宋体" w:cs="宋体"/>
          <w:kern w:val="24"/>
          <w:sz w:val="24"/>
          <w:szCs w:val="24"/>
        </w:rPr>
        <w:t>（4）</w:t>
      </w:r>
      <w:r>
        <w:rPr>
          <w:rFonts w:hint="eastAsia" w:ascii="宋体" w:hAnsi="宋体" w:eastAsia="宋体" w:cs="宋体"/>
          <w:sz w:val="24"/>
        </w:rPr>
        <w:t>提供开具增值税专用发票的相关证明资料；</w:t>
      </w:r>
    </w:p>
    <w:p w14:paraId="17AAEDCB">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（5）供应商通用资格要求中的证明材料；</w:t>
      </w:r>
    </w:p>
    <w:p w14:paraId="6FE71EE2">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 xml:space="preserve">（6）供应商专用资格要求中的证明材料；（提供专用资格要求的证明材料，必要时需提供网页查询真伪截图及网址链接）   </w:t>
      </w:r>
      <w:r>
        <w:rPr>
          <w:rFonts w:hint="eastAsia" w:ascii="宋体" w:hAnsi="宋体" w:eastAsia="宋体" w:cs="宋体"/>
          <w:b/>
          <w:szCs w:val="24"/>
        </w:rPr>
        <w:t xml:space="preserve">                                                                                                                                                                                                                                                                                                                                                                      </w:t>
      </w:r>
    </w:p>
    <w:p w14:paraId="262D62F4">
      <w:pPr>
        <w:pStyle w:val="6"/>
        <w:shd w:val="clear" w:color="auto" w:fill="FFFFFF"/>
        <w:spacing w:before="0" w:beforeAutospacing="0" w:after="0" w:afterAutospacing="0" w:line="360" w:lineRule="auto"/>
        <w:ind w:firstLine="482" w:firstLineChars="200"/>
        <w:rPr>
          <w:rFonts w:hint="eastAsia" w:eastAsia="宋体" w:cs="宋体"/>
        </w:rPr>
      </w:pPr>
      <w:bookmarkStart w:id="10" w:name="_Toc495645074"/>
      <w:r>
        <w:rPr>
          <w:rFonts w:hint="eastAsia" w:eastAsia="宋体" w:cs="宋体"/>
          <w:b/>
        </w:rPr>
        <w:t>注：</w:t>
      </w:r>
      <w:bookmarkStart w:id="11" w:name="_Toc37411143"/>
      <w:bookmarkStart w:id="12" w:name="_Toc37409908"/>
      <w:bookmarkStart w:id="13" w:name="_Toc37407096"/>
      <w:r>
        <w:rPr>
          <w:rFonts w:hint="eastAsia" w:eastAsia="宋体" w:cs="宋体"/>
        </w:rPr>
        <w:t>A、上述要求是对供应商的基本要求，如按照行业及相关部门另有规定的遵循其规定，供应商应提供相应的证明或资信材料；</w:t>
      </w:r>
    </w:p>
    <w:p w14:paraId="290294ED">
      <w:pPr>
        <w:widowControl/>
        <w:numPr>
          <w:ilvl w:val="0"/>
          <w:numId w:val="1"/>
        </w:num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如发现存在虚假资料，采购人取消其竞标/中标资格，由此造成的后果由成交/中标单位自负，并承担相应的法律责任;</w:t>
      </w:r>
    </w:p>
    <w:p w14:paraId="48018C17">
      <w:pPr>
        <w:widowControl/>
        <w:numPr>
          <w:ilvl w:val="0"/>
          <w:numId w:val="1"/>
        </w:num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bCs/>
          <w:color w:val="000000"/>
          <w:sz w:val="24"/>
        </w:rPr>
        <w:t>为保证供应商顺利报名成功，请供应商充分考虑上传时间，供应商不能及时上传报名资料，导致的报名不成功，后果由供应商自负；</w:t>
      </w:r>
      <w:r>
        <w:rPr>
          <w:rFonts w:hint="eastAsia" w:ascii="宋体" w:hAnsi="宋体" w:eastAsia="宋体" w:cs="宋体"/>
          <w:sz w:val="24"/>
        </w:rPr>
        <w:t xml:space="preserve"> </w:t>
      </w:r>
    </w:p>
    <w:p w14:paraId="7BF7C2FE">
      <w:pPr>
        <w:widowControl/>
        <w:numPr>
          <w:ilvl w:val="0"/>
          <w:numId w:val="1"/>
        </w:num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为提高报名工作效率，投多个包的请供应商按包分别对应上传相应报名资料，严禁上传与本包无关资料，否则，采购人有权拒绝。</w:t>
      </w:r>
    </w:p>
    <w:p w14:paraId="71FB1B38">
      <w:pPr>
        <w:widowControl/>
        <w:autoSpaceDE w:val="0"/>
        <w:autoSpaceDN w:val="0"/>
        <w:adjustRightInd w:val="0"/>
        <w:spacing w:line="360" w:lineRule="auto"/>
        <w:jc w:val="left"/>
        <w:rPr>
          <w:rFonts w:hint="eastAsia" w:ascii="宋体" w:hAnsi="宋体" w:eastAsia="宋体" w:cs="宋体"/>
          <w:b/>
          <w:sz w:val="24"/>
        </w:rPr>
      </w:pPr>
      <w:r>
        <w:rPr>
          <w:rFonts w:hint="eastAsia" w:ascii="宋体" w:hAnsi="宋体" w:eastAsia="宋体" w:cs="宋体"/>
          <w:b/>
          <w:sz w:val="24"/>
          <w:szCs w:val="24"/>
        </w:rPr>
        <w:t>4. 响应文件的递交</w:t>
      </w:r>
      <w:bookmarkEnd w:id="10"/>
      <w:bookmarkEnd w:id="11"/>
      <w:bookmarkEnd w:id="12"/>
      <w:bookmarkEnd w:id="13"/>
      <w:r>
        <w:rPr>
          <w:rFonts w:hint="eastAsia" w:ascii="宋体" w:hAnsi="宋体" w:eastAsia="宋体" w:cs="宋体"/>
          <w:b/>
          <w:sz w:val="24"/>
          <w:szCs w:val="24"/>
        </w:rPr>
        <w:t xml:space="preserve"> </w:t>
      </w:r>
    </w:p>
    <w:p w14:paraId="1F211985">
      <w:pPr>
        <w:spacing w:line="360" w:lineRule="auto"/>
        <w:ind w:right="103" w:firstLine="480" w:firstLineChars="200"/>
        <w:rPr>
          <w:rFonts w:hint="eastAsia" w:ascii="宋体" w:hAnsi="宋体" w:eastAsia="宋体" w:cs="宋体"/>
          <w:sz w:val="24"/>
          <w:szCs w:val="24"/>
        </w:rPr>
      </w:pPr>
      <w:bookmarkStart w:id="14" w:name="_Toc37409909"/>
      <w:bookmarkStart w:id="15" w:name="_Toc37407097"/>
      <w:bookmarkStart w:id="16" w:name="_Toc37411144"/>
      <w:r>
        <w:rPr>
          <w:rFonts w:hint="eastAsia" w:ascii="宋体" w:hAnsi="宋体" w:eastAsia="宋体" w:cs="宋体"/>
          <w:sz w:val="24"/>
          <w:szCs w:val="24"/>
        </w:rPr>
        <w:t>4.1电子响应文件请于响应截止时间之前上传到“内蒙古电力集团电子采购系统”，响应截止时间后上传的响应文件恕不接收。本项目采用远程评审方式，不接收纸质响应文件，逾期送达的响应文件，“内蒙古电力集团电子采购系统”将不予接收。</w:t>
      </w:r>
    </w:p>
    <w:p w14:paraId="2F46A92A">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4.2供应商对网上递交的响应文件应加密。登录[中招互联]：APP对响应文件进行加密功能（如果供应商使用 A 手机号码对响应文件进行了扫码解密），必须需要使用A手机号码进行扫码解密，才能读取或导入响应文件。</w:t>
      </w:r>
    </w:p>
    <w:p w14:paraId="0787C9DB">
      <w:pPr>
        <w:spacing w:line="360" w:lineRule="auto"/>
        <w:ind w:right="103"/>
        <w:rPr>
          <w:rFonts w:hint="eastAsia" w:ascii="宋体" w:hAnsi="宋体" w:eastAsia="宋体" w:cs="宋体"/>
          <w:b/>
          <w:sz w:val="24"/>
          <w:szCs w:val="24"/>
        </w:rPr>
      </w:pPr>
      <w:r>
        <w:rPr>
          <w:rFonts w:hint="eastAsia" w:ascii="宋体" w:hAnsi="宋体" w:eastAsia="宋体" w:cs="宋体"/>
          <w:b/>
          <w:sz w:val="24"/>
          <w:szCs w:val="24"/>
        </w:rPr>
        <w:t>5、资格审查：</w:t>
      </w:r>
      <w:bookmarkEnd w:id="14"/>
      <w:bookmarkEnd w:id="15"/>
      <w:bookmarkEnd w:id="16"/>
    </w:p>
    <w:p w14:paraId="102A53B7">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本次采购采取资格后审方式，开标后由询比评审小组统一进行资格审查，详见采购文件。资格审查时，供应商提供的资料不全或不合格的或模糊不清无法辨认，均不能通过资格审查，其响应文件将被否决。</w:t>
      </w:r>
      <w:bookmarkStart w:id="17" w:name="_Toc37407098"/>
      <w:bookmarkStart w:id="18" w:name="_Toc37411145"/>
      <w:bookmarkStart w:id="19" w:name="_Toc37409910"/>
    </w:p>
    <w:p w14:paraId="01B86897">
      <w:pPr>
        <w:spacing w:line="360" w:lineRule="auto"/>
        <w:ind w:right="103"/>
        <w:rPr>
          <w:rFonts w:hint="eastAsia" w:ascii="宋体" w:hAnsi="宋体" w:eastAsia="宋体" w:cs="宋体"/>
          <w:b/>
          <w:sz w:val="24"/>
          <w:szCs w:val="24"/>
        </w:rPr>
      </w:pPr>
      <w:r>
        <w:rPr>
          <w:rFonts w:hint="eastAsia" w:ascii="宋体" w:hAnsi="宋体" w:eastAsia="宋体" w:cs="宋体"/>
          <w:b/>
          <w:sz w:val="24"/>
          <w:szCs w:val="24"/>
        </w:rPr>
        <w:t>6. 竞标截止时间及地点：</w:t>
      </w:r>
      <w:bookmarkEnd w:id="17"/>
      <w:bookmarkEnd w:id="18"/>
      <w:bookmarkEnd w:id="19"/>
    </w:p>
    <w:p w14:paraId="7D0E4570">
      <w:pPr>
        <w:spacing w:line="360" w:lineRule="auto"/>
        <w:ind w:right="103" w:firstLine="480" w:firstLineChars="200"/>
        <w:rPr>
          <w:rFonts w:hint="eastAsia" w:ascii="宋体" w:hAnsi="宋体" w:eastAsia="宋体" w:cs="宋体"/>
          <w:sz w:val="24"/>
          <w:szCs w:val="24"/>
        </w:rPr>
      </w:pPr>
      <w:bookmarkStart w:id="20" w:name="_Toc37411146"/>
      <w:bookmarkStart w:id="21" w:name="_Toc37407099"/>
      <w:bookmarkStart w:id="22" w:name="_Toc37409911"/>
      <w:r>
        <w:rPr>
          <w:rFonts w:hint="eastAsia" w:ascii="宋体" w:hAnsi="宋体" w:eastAsia="宋体" w:cs="宋体"/>
          <w:sz w:val="24"/>
          <w:szCs w:val="24"/>
        </w:rPr>
        <w:t>响应文件上传时间：</w:t>
      </w:r>
      <w:r>
        <w:rPr>
          <w:rFonts w:hint="eastAsia" w:ascii="宋体" w:hAnsi="宋体" w:eastAsia="宋体" w:cs="宋体"/>
          <w:sz w:val="24"/>
          <w:szCs w:val="24"/>
          <w:lang w:eastAsia="zh-CN"/>
        </w:rPr>
        <w:t>2024年08月26日</w:t>
      </w:r>
      <w:r>
        <w:rPr>
          <w:rFonts w:hint="eastAsia" w:ascii="宋体" w:hAnsi="宋体" w:eastAsia="宋体" w:cs="宋体"/>
          <w:sz w:val="24"/>
          <w:szCs w:val="24"/>
        </w:rPr>
        <w:t>～</w:t>
      </w:r>
      <w:r>
        <w:rPr>
          <w:rFonts w:hint="eastAsia" w:ascii="宋体" w:hAnsi="宋体" w:eastAsia="宋体" w:cs="宋体"/>
          <w:sz w:val="24"/>
          <w:szCs w:val="24"/>
          <w:lang w:eastAsia="zh-CN"/>
        </w:rPr>
        <w:t>2024年09月02日</w:t>
      </w:r>
      <w:r>
        <w:rPr>
          <w:rFonts w:hint="eastAsia" w:ascii="宋体" w:hAnsi="宋体" w:eastAsia="宋体" w:cs="宋体"/>
          <w:sz w:val="24"/>
          <w:szCs w:val="24"/>
        </w:rPr>
        <w:t>上午9:00</w:t>
      </w:r>
    </w:p>
    <w:p w14:paraId="1A0A1FB1">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询比截止时间：</w:t>
      </w:r>
      <w:r>
        <w:rPr>
          <w:rFonts w:hint="eastAsia" w:ascii="宋体" w:hAnsi="宋体" w:eastAsia="宋体" w:cs="宋体"/>
          <w:sz w:val="24"/>
          <w:szCs w:val="24"/>
          <w:lang w:eastAsia="zh-CN"/>
        </w:rPr>
        <w:t>2024年09月02日</w:t>
      </w:r>
      <w:r>
        <w:rPr>
          <w:rFonts w:hint="eastAsia" w:ascii="宋体" w:hAnsi="宋体" w:eastAsia="宋体" w:cs="宋体"/>
          <w:sz w:val="24"/>
          <w:szCs w:val="24"/>
        </w:rPr>
        <w:t>上午9:00</w:t>
      </w:r>
    </w:p>
    <w:p w14:paraId="1FB1C9AD">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商务技术经济标开标时间：</w:t>
      </w:r>
      <w:r>
        <w:rPr>
          <w:rFonts w:hint="eastAsia" w:ascii="宋体" w:hAnsi="宋体" w:eastAsia="宋体" w:cs="宋体"/>
          <w:sz w:val="24"/>
          <w:szCs w:val="24"/>
          <w:lang w:eastAsia="zh-CN"/>
        </w:rPr>
        <w:t>2024年09月02日</w:t>
      </w:r>
      <w:r>
        <w:rPr>
          <w:rFonts w:hint="eastAsia" w:ascii="宋体" w:hAnsi="宋体" w:eastAsia="宋体" w:cs="宋体"/>
          <w:sz w:val="24"/>
          <w:szCs w:val="24"/>
        </w:rPr>
        <w:t>上午9:00</w:t>
      </w:r>
    </w:p>
    <w:p w14:paraId="4B5819E9">
      <w:pPr>
        <w:spacing w:line="360" w:lineRule="auto"/>
        <w:ind w:right="102" w:firstLine="480" w:firstLineChars="200"/>
        <w:rPr>
          <w:rFonts w:hint="eastAsia" w:ascii="宋体" w:hAnsi="宋体" w:eastAsia="宋体" w:cs="宋体"/>
          <w:sz w:val="24"/>
          <w:szCs w:val="24"/>
        </w:rPr>
      </w:pPr>
      <w:r>
        <w:rPr>
          <w:rFonts w:hint="eastAsia" w:ascii="宋体" w:hAnsi="宋体" w:eastAsia="宋体" w:cs="宋体"/>
          <w:sz w:val="24"/>
          <w:szCs w:val="24"/>
        </w:rPr>
        <w:t>商务技术经济标解密时间：</w:t>
      </w:r>
      <w:r>
        <w:rPr>
          <w:rFonts w:hint="eastAsia" w:ascii="宋体" w:hAnsi="宋体" w:eastAsia="宋体" w:cs="宋体"/>
          <w:sz w:val="24"/>
          <w:szCs w:val="24"/>
          <w:lang w:eastAsia="zh-CN"/>
        </w:rPr>
        <w:t>2024年09月02日</w:t>
      </w:r>
      <w:r>
        <w:rPr>
          <w:rFonts w:hint="eastAsia" w:ascii="宋体" w:hAnsi="宋体" w:eastAsia="宋体" w:cs="宋体"/>
          <w:sz w:val="24"/>
          <w:szCs w:val="24"/>
        </w:rPr>
        <w:t>上午9:00～上午9:30</w:t>
      </w:r>
    </w:p>
    <w:p w14:paraId="359A4D23">
      <w:pPr>
        <w:spacing w:line="360" w:lineRule="auto"/>
        <w:ind w:left="1676" w:leftChars="140" w:hanging="1200" w:hangingChars="500"/>
        <w:rPr>
          <w:rFonts w:hint="eastAsia" w:ascii="宋体" w:hAnsi="宋体" w:eastAsia="宋体" w:cs="宋体"/>
          <w:sz w:val="24"/>
          <w:szCs w:val="24"/>
        </w:rPr>
      </w:pPr>
      <w:r>
        <w:rPr>
          <w:rFonts w:hint="eastAsia" w:ascii="宋体" w:hAnsi="宋体" w:eastAsia="宋体" w:cs="宋体"/>
          <w:sz w:val="24"/>
          <w:szCs w:val="24"/>
        </w:rPr>
        <w:t>询比地点：内蒙古锡林浩特市赛汉路荣华苑7号楼商铺7-01室</w:t>
      </w:r>
    </w:p>
    <w:bookmarkEnd w:id="20"/>
    <w:bookmarkEnd w:id="21"/>
    <w:bookmarkEnd w:id="22"/>
    <w:p w14:paraId="1E933E5F">
      <w:pPr>
        <w:spacing w:line="360" w:lineRule="auto"/>
        <w:ind w:left="-5"/>
        <w:rPr>
          <w:rFonts w:hint="eastAsia" w:ascii="宋体" w:hAnsi="宋体" w:eastAsia="宋体" w:cs="宋体"/>
          <w:b/>
          <w:sz w:val="24"/>
          <w:szCs w:val="24"/>
        </w:rPr>
      </w:pPr>
      <w:bookmarkStart w:id="23" w:name="_Toc37407100"/>
      <w:bookmarkStart w:id="24" w:name="_Toc37409912"/>
      <w:bookmarkStart w:id="25" w:name="_Toc37411147"/>
      <w:r>
        <w:rPr>
          <w:rFonts w:hint="eastAsia" w:ascii="宋体" w:hAnsi="宋体" w:eastAsia="宋体" w:cs="宋体"/>
          <w:b/>
          <w:bCs/>
          <w:sz w:val="24"/>
          <w:szCs w:val="24"/>
        </w:rPr>
        <w:t>7.解密方式及开标地点</w:t>
      </w:r>
      <w:r>
        <w:rPr>
          <w:rFonts w:hint="eastAsia" w:ascii="宋体" w:hAnsi="宋体" w:eastAsia="宋体" w:cs="宋体"/>
          <w:sz w:val="24"/>
          <w:szCs w:val="24"/>
        </w:rPr>
        <w:t>：</w:t>
      </w:r>
    </w:p>
    <w:p w14:paraId="2BA0C3BC">
      <w:pPr>
        <w:pStyle w:val="9"/>
        <w:spacing w:line="360" w:lineRule="auto"/>
        <w:ind w:firstLine="480" w:firstLineChars="200"/>
        <w:rPr>
          <w:rFonts w:hint="eastAsia" w:hAnsi="宋体"/>
        </w:rPr>
      </w:pPr>
      <w:r>
        <w:rPr>
          <w:rFonts w:hint="eastAsia" w:hAnsi="宋体"/>
        </w:rPr>
        <w:t>远程解密：投标人于递交投标文件截止时间在原单位使用原上传文件电脑在“网上开标”界面，点击“进开标厅”按钮，在该界面进行投标文件的远程解密。届时请持上传文件时所使用的数字证书（CA证书）提前30分钟等候在电脑前准备参加文件解密（投标人需保持电脑网络通畅）。</w:t>
      </w:r>
    </w:p>
    <w:p w14:paraId="3CCB9F15">
      <w:pPr>
        <w:pStyle w:val="9"/>
        <w:spacing w:line="360" w:lineRule="auto"/>
        <w:ind w:firstLine="480" w:firstLineChars="200"/>
        <w:rPr>
          <w:rFonts w:hint="eastAsia" w:hAnsi="宋体"/>
        </w:rPr>
      </w:pPr>
      <w:r>
        <w:rPr>
          <w:rFonts w:hint="eastAsia" w:hAnsi="宋体"/>
        </w:rPr>
        <w:t>请投标人按公告时间及时参与相关签到、解密及确认工作，签到、解密及确认过程中有任何问题请及时联系技术支持解决（电话：400-9913-966，周一至周日，8点30至20点30时），因投标人原因未在规定时间内解密投标文件，视为投标人撤销其投标文件。</w:t>
      </w:r>
    </w:p>
    <w:p w14:paraId="61890739">
      <w:pPr>
        <w:spacing w:line="360" w:lineRule="auto"/>
        <w:ind w:right="103"/>
        <w:rPr>
          <w:rFonts w:hint="eastAsia" w:ascii="宋体" w:hAnsi="宋体" w:eastAsia="宋体" w:cs="宋体"/>
          <w:b/>
          <w:sz w:val="24"/>
          <w:szCs w:val="24"/>
        </w:rPr>
      </w:pPr>
      <w:r>
        <w:rPr>
          <w:rFonts w:hint="eastAsia" w:ascii="宋体" w:hAnsi="宋体" w:eastAsia="宋体" w:cs="宋体"/>
          <w:b/>
          <w:sz w:val="24"/>
          <w:szCs w:val="24"/>
        </w:rPr>
        <w:t>8.竞标及采购费用：</w:t>
      </w:r>
      <w:bookmarkEnd w:id="23"/>
      <w:bookmarkEnd w:id="24"/>
      <w:bookmarkEnd w:id="25"/>
    </w:p>
    <w:p w14:paraId="7F80C869">
      <w:pPr>
        <w:spacing w:line="360" w:lineRule="auto"/>
        <w:ind w:right="102" w:firstLine="480" w:firstLineChars="200"/>
        <w:rPr>
          <w:rFonts w:hint="eastAsia" w:ascii="宋体" w:hAnsi="宋体" w:eastAsia="宋体" w:cs="宋体"/>
          <w:sz w:val="24"/>
          <w:szCs w:val="24"/>
        </w:rPr>
      </w:pPr>
      <w:r>
        <w:rPr>
          <w:rFonts w:hint="eastAsia" w:ascii="宋体" w:hAnsi="宋体" w:eastAsia="宋体" w:cs="宋体"/>
          <w:sz w:val="24"/>
          <w:szCs w:val="24"/>
        </w:rPr>
        <w:t>8.1 中标服务费：中标服务费由成交供应商支付。</w:t>
      </w:r>
    </w:p>
    <w:p w14:paraId="7EDD4E2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 平台使用费：本项目采用全流程电子采购，供应商需（在线下载采购文件后，上传响应文件前）在线向电子交易平台缴纳电子采购服务费，具体收费标准为：</w:t>
      </w:r>
    </w:p>
    <w:p w14:paraId="63B904EF">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（1）公开招标项目中电子投标服务费：400元/包/次；</w:t>
      </w:r>
    </w:p>
    <w:p w14:paraId="13CBD1FE">
      <w:pPr>
        <w:spacing w:line="360" w:lineRule="auto"/>
        <w:ind w:firstLine="600" w:firstLineChars="250"/>
        <w:rPr>
          <w:rFonts w:hint="eastAsia" w:ascii="宋体" w:hAnsi="宋体" w:eastAsia="宋体" w:cs="宋体"/>
        </w:rPr>
      </w:pPr>
      <w:r>
        <w:rPr>
          <w:rFonts w:hint="eastAsia" w:ascii="宋体" w:hAnsi="宋体" w:eastAsia="宋体" w:cs="宋体"/>
          <w:sz w:val="24"/>
          <w:szCs w:val="24"/>
        </w:rPr>
        <w:t>（2）非招标采购项目中电子采购服务费：300元/包/次；</w:t>
      </w:r>
    </w:p>
    <w:p w14:paraId="0BAE2D0F">
      <w:pPr>
        <w:spacing w:line="360" w:lineRule="auto"/>
        <w:rPr>
          <w:rFonts w:hint="eastAsia" w:ascii="宋体" w:hAnsi="宋体" w:eastAsia="宋体" w:cs="宋体"/>
          <w:b/>
          <w:sz w:val="24"/>
          <w:szCs w:val="24"/>
        </w:rPr>
      </w:pPr>
      <w:r>
        <w:rPr>
          <w:rFonts w:hint="eastAsia" w:ascii="宋体" w:hAnsi="宋体" w:eastAsia="宋体" w:cs="宋体"/>
          <w:b/>
          <w:sz w:val="24"/>
          <w:szCs w:val="24"/>
        </w:rPr>
        <w:t>9. 发布公告的媒介</w:t>
      </w:r>
      <w:bookmarkEnd w:id="6"/>
      <w:bookmarkEnd w:id="7"/>
      <w:bookmarkEnd w:id="8"/>
      <w:bookmarkEnd w:id="9"/>
      <w:r>
        <w:rPr>
          <w:rFonts w:hint="eastAsia" w:ascii="宋体" w:hAnsi="宋体" w:eastAsia="宋体" w:cs="宋体"/>
          <w:b/>
          <w:sz w:val="24"/>
          <w:szCs w:val="24"/>
        </w:rPr>
        <w:t xml:space="preserve"> </w:t>
      </w:r>
    </w:p>
    <w:p w14:paraId="449EE757">
      <w:pPr>
        <w:wordWrap w:val="0"/>
        <w:spacing w:line="360" w:lineRule="auto"/>
        <w:ind w:right="102" w:firstLine="480" w:firstLineChars="200"/>
        <w:rPr>
          <w:rFonts w:hint="eastAsia" w:ascii="宋体" w:hAnsi="宋体" w:eastAsia="宋体" w:cs="宋体"/>
          <w:sz w:val="24"/>
          <w:szCs w:val="24"/>
        </w:rPr>
      </w:pPr>
      <w:r>
        <w:rPr>
          <w:rFonts w:hint="eastAsia" w:ascii="宋体" w:hAnsi="宋体" w:eastAsia="宋体" w:cs="宋体"/>
          <w:sz w:val="24"/>
          <w:szCs w:val="24"/>
        </w:rPr>
        <w:t>本次公告在</w:t>
      </w:r>
      <w:r>
        <w:rPr>
          <w:rFonts w:hint="eastAsia" w:ascii="宋体" w:hAnsi="宋体" w:eastAsia="宋体" w:cs="宋体"/>
          <w:sz w:val="24"/>
        </w:rPr>
        <w:t>《内蒙古电力集团电子采购系统》（http://guocai-impc.cppchina.cn）</w:t>
      </w:r>
      <w:r>
        <w:rPr>
          <w:rFonts w:hint="eastAsia" w:ascii="宋体" w:hAnsi="宋体" w:eastAsia="宋体" w:cs="宋体"/>
          <w:sz w:val="24"/>
          <w:szCs w:val="24"/>
        </w:rPr>
        <w:t>、《中国招标投标公共服务平台》（www.cebpubservice.com）、《内蒙古招标投标公共服务平台》（http://zbgg.nmgztb.com.cn/）同时发布，其它媒介转发无效。</w:t>
      </w:r>
    </w:p>
    <w:p w14:paraId="3EAB4B16">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10.联系方式</w:t>
      </w:r>
    </w:p>
    <w:p w14:paraId="5F4B3901">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采购人：内蒙古电力（集团）有限责任公司锡林郭勒供电分公司物资供应处</w:t>
      </w:r>
    </w:p>
    <w:p w14:paraId="78549F03">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联系电话：0479-8296337</w:t>
      </w:r>
    </w:p>
    <w:p w14:paraId="470EC364">
      <w:pPr>
        <w:spacing w:line="360" w:lineRule="auto"/>
        <w:ind w:firstLine="480" w:firstLineChars="200"/>
        <w:rPr>
          <w:rFonts w:hint="eastAsia" w:ascii="宋体" w:hAnsi="宋体" w:eastAsia="宋体" w:cs="宋体"/>
          <w:kern w:val="0"/>
          <w:sz w:val="24"/>
        </w:rPr>
      </w:pPr>
    </w:p>
    <w:p w14:paraId="1045B075">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采购代理机构：法正项目管理集团有限公司 </w:t>
      </w:r>
    </w:p>
    <w:p w14:paraId="086339F5">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办公地址：内蒙古锡林浩特市赛汉路荣华苑7号楼商铺7-01室</w:t>
      </w:r>
    </w:p>
    <w:p w14:paraId="3CADE502">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联 系 人：赵磊、仲桂燕、裴文东、白雪莲、马振伟、张晓林</w:t>
      </w:r>
    </w:p>
    <w:p w14:paraId="3E91C3D6">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联系电话：0479-8289588</w:t>
      </w:r>
    </w:p>
    <w:p w14:paraId="6B1201E1">
      <w:pPr>
        <w:spacing w:line="360" w:lineRule="auto"/>
        <w:ind w:firstLine="480" w:firstLineChars="200"/>
        <w:rPr>
          <w:rFonts w:hint="eastAsia" w:ascii="宋体" w:hAnsi="宋体" w:eastAsia="宋体" w:cs="宋体"/>
          <w:sz w:val="24"/>
        </w:rPr>
      </w:pPr>
      <w:r>
        <w:rPr>
          <w:rFonts w:hint="eastAsia" w:ascii="宋体" w:hAnsi="宋体" w:eastAsia="宋体" w:cs="宋体"/>
          <w:kern w:val="0"/>
          <w:sz w:val="24"/>
        </w:rPr>
        <w:t xml:space="preserve">Email: </w:t>
      </w:r>
      <w:r>
        <w:rPr>
          <w:rFonts w:hint="eastAsia" w:ascii="宋体" w:hAnsi="宋体" w:eastAsia="宋体" w:cs="宋体"/>
        </w:rPr>
        <w:fldChar w:fldCharType="begin"/>
      </w:r>
      <w:r>
        <w:rPr>
          <w:rFonts w:hint="eastAsia" w:ascii="宋体" w:hAnsi="宋体" w:eastAsia="宋体" w:cs="宋体"/>
        </w:rPr>
        <w:instrText xml:space="preserve"> HYPERLINK "mailto:laystars@126.com" </w:instrText>
      </w:r>
      <w:r>
        <w:rPr>
          <w:rFonts w:hint="eastAsia" w:ascii="宋体" w:hAnsi="宋体" w:eastAsia="宋体" w:cs="宋体"/>
        </w:rPr>
        <w:fldChar w:fldCharType="separate"/>
      </w:r>
      <w:r>
        <w:rPr>
          <w:rFonts w:hint="eastAsia" w:ascii="宋体" w:hAnsi="宋体" w:eastAsia="宋体" w:cs="宋体"/>
          <w:sz w:val="24"/>
        </w:rPr>
        <w:t>463378062@qq.com</w:t>
      </w:r>
      <w:r>
        <w:rPr>
          <w:rFonts w:hint="eastAsia" w:ascii="宋体" w:hAnsi="宋体" w:eastAsia="宋体" w:cs="宋体"/>
          <w:sz w:val="24"/>
        </w:rPr>
        <w:fldChar w:fldCharType="end"/>
      </w:r>
    </w:p>
    <w:p w14:paraId="65CFD4E8">
      <w:pPr>
        <w:rPr>
          <w:rFonts w:hint="eastAsia" w:ascii="宋体" w:hAnsi="宋体" w:eastAsia="宋体" w:cs="宋体"/>
          <w:sz w:val="24"/>
        </w:rPr>
      </w:pPr>
      <w:r>
        <w:rPr>
          <w:rFonts w:hint="eastAsia" w:ascii="宋体" w:hAnsi="宋体" w:eastAsia="宋体" w:cs="宋体"/>
          <w:sz w:val="24"/>
        </w:rPr>
        <w:br w:type="page"/>
      </w:r>
    </w:p>
    <w:p w14:paraId="3EC28FFC">
      <w:pPr>
        <w:shd w:val="clear" w:color="auto" w:fill="FFFFFF"/>
        <w:spacing w:line="360" w:lineRule="auto"/>
        <w:rPr>
          <w:rFonts w:hint="eastAsia" w:ascii="宋体" w:hAnsi="宋体" w:eastAsia="宋体" w:cs="宋体"/>
          <w:b/>
          <w:bCs/>
          <w:sz w:val="24"/>
          <w:szCs w:val="24"/>
        </w:rPr>
      </w:pPr>
      <w:bookmarkStart w:id="26" w:name="_Toc16428"/>
      <w:r>
        <w:rPr>
          <w:rFonts w:hint="eastAsia" w:ascii="宋体" w:hAnsi="宋体" w:eastAsia="宋体" w:cs="宋体"/>
          <w:b/>
          <w:bCs/>
          <w:sz w:val="24"/>
          <w:szCs w:val="24"/>
        </w:rPr>
        <w:t>需求明细表：</w:t>
      </w:r>
    </w:p>
    <w:tbl>
      <w:tblPr>
        <w:tblStyle w:val="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2693"/>
        <w:gridCol w:w="578"/>
        <w:gridCol w:w="689"/>
        <w:gridCol w:w="1412"/>
        <w:gridCol w:w="1536"/>
        <w:gridCol w:w="1149"/>
      </w:tblGrid>
      <w:tr w14:paraId="2DB39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69" w:type="pct"/>
            <w:vMerge w:val="restart"/>
            <w:noWrap/>
            <w:vAlign w:val="center"/>
          </w:tcPr>
          <w:p w14:paraId="2DD164BD">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序号</w:t>
            </w:r>
          </w:p>
        </w:tc>
        <w:tc>
          <w:tcPr>
            <w:tcW w:w="1546" w:type="pct"/>
            <w:vMerge w:val="restart"/>
            <w:noWrap/>
            <w:vAlign w:val="center"/>
          </w:tcPr>
          <w:p w14:paraId="0E669B57">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分包名称</w:t>
            </w:r>
          </w:p>
        </w:tc>
        <w:tc>
          <w:tcPr>
            <w:tcW w:w="333" w:type="pct"/>
            <w:vMerge w:val="restart"/>
            <w:noWrap w:val="0"/>
            <w:vAlign w:val="center"/>
          </w:tcPr>
          <w:p w14:paraId="7744DFF3">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单位</w:t>
            </w:r>
          </w:p>
        </w:tc>
        <w:tc>
          <w:tcPr>
            <w:tcW w:w="397" w:type="pct"/>
            <w:vMerge w:val="restart"/>
            <w:noWrap w:val="0"/>
            <w:vAlign w:val="center"/>
          </w:tcPr>
          <w:p w14:paraId="0B15BDF9">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采购数量</w:t>
            </w:r>
          </w:p>
        </w:tc>
        <w:tc>
          <w:tcPr>
            <w:tcW w:w="1692" w:type="pct"/>
            <w:gridSpan w:val="2"/>
            <w:noWrap w:val="0"/>
            <w:vAlign w:val="center"/>
          </w:tcPr>
          <w:p w14:paraId="32376424">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最高限价（元）</w:t>
            </w:r>
          </w:p>
        </w:tc>
        <w:tc>
          <w:tcPr>
            <w:tcW w:w="660" w:type="pct"/>
            <w:vMerge w:val="restart"/>
            <w:noWrap w:val="0"/>
            <w:vAlign w:val="center"/>
          </w:tcPr>
          <w:p w14:paraId="67225448">
            <w:pPr>
              <w:widowControl/>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bidi="ar"/>
              </w:rPr>
              <w:t>分包</w:t>
            </w:r>
          </w:p>
          <w:p w14:paraId="79102D4E">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方案</w:t>
            </w:r>
          </w:p>
        </w:tc>
      </w:tr>
      <w:tr w14:paraId="286C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69" w:type="pct"/>
            <w:vMerge w:val="continue"/>
            <w:noWrap/>
            <w:vAlign w:val="center"/>
          </w:tcPr>
          <w:p w14:paraId="49B1BC2B">
            <w:pPr>
              <w:jc w:val="center"/>
              <w:rPr>
                <w:rFonts w:hint="eastAsia" w:ascii="宋体" w:hAnsi="宋体" w:eastAsia="宋体" w:cs="宋体"/>
                <w:b/>
                <w:bCs/>
                <w:color w:val="000000"/>
                <w:sz w:val="22"/>
                <w:szCs w:val="22"/>
              </w:rPr>
            </w:pPr>
          </w:p>
        </w:tc>
        <w:tc>
          <w:tcPr>
            <w:tcW w:w="1546" w:type="pct"/>
            <w:vMerge w:val="continue"/>
            <w:noWrap/>
            <w:vAlign w:val="center"/>
          </w:tcPr>
          <w:p w14:paraId="0D897B4C">
            <w:pPr>
              <w:jc w:val="center"/>
              <w:rPr>
                <w:rFonts w:hint="eastAsia" w:ascii="宋体" w:hAnsi="宋体" w:eastAsia="宋体" w:cs="宋体"/>
                <w:b/>
                <w:bCs/>
                <w:color w:val="000000"/>
                <w:sz w:val="22"/>
                <w:szCs w:val="22"/>
              </w:rPr>
            </w:pPr>
          </w:p>
        </w:tc>
        <w:tc>
          <w:tcPr>
            <w:tcW w:w="333" w:type="pct"/>
            <w:vMerge w:val="continue"/>
            <w:noWrap w:val="0"/>
            <w:vAlign w:val="center"/>
          </w:tcPr>
          <w:p w14:paraId="2A4CE398">
            <w:pPr>
              <w:jc w:val="center"/>
              <w:rPr>
                <w:rFonts w:hint="eastAsia" w:ascii="宋体" w:hAnsi="宋体" w:eastAsia="宋体" w:cs="宋体"/>
                <w:b/>
                <w:bCs/>
                <w:color w:val="000000"/>
                <w:sz w:val="22"/>
                <w:szCs w:val="22"/>
              </w:rPr>
            </w:pPr>
          </w:p>
        </w:tc>
        <w:tc>
          <w:tcPr>
            <w:tcW w:w="397" w:type="pct"/>
            <w:vMerge w:val="continue"/>
            <w:noWrap w:val="0"/>
            <w:vAlign w:val="center"/>
          </w:tcPr>
          <w:p w14:paraId="4EFF15CB">
            <w:pPr>
              <w:jc w:val="center"/>
              <w:rPr>
                <w:rFonts w:hint="eastAsia" w:ascii="宋体" w:hAnsi="宋体" w:eastAsia="宋体" w:cs="宋体"/>
                <w:b/>
                <w:bCs/>
                <w:color w:val="000000"/>
                <w:sz w:val="22"/>
                <w:szCs w:val="22"/>
              </w:rPr>
            </w:pPr>
          </w:p>
        </w:tc>
        <w:tc>
          <w:tcPr>
            <w:tcW w:w="810" w:type="pct"/>
            <w:noWrap w:val="0"/>
            <w:vAlign w:val="center"/>
          </w:tcPr>
          <w:p w14:paraId="12D26C74">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单价</w:t>
            </w:r>
          </w:p>
        </w:tc>
        <w:tc>
          <w:tcPr>
            <w:tcW w:w="882" w:type="pct"/>
            <w:noWrap w:val="0"/>
            <w:vAlign w:val="center"/>
          </w:tcPr>
          <w:p w14:paraId="6E464950">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合计</w:t>
            </w:r>
          </w:p>
        </w:tc>
        <w:tc>
          <w:tcPr>
            <w:tcW w:w="660" w:type="pct"/>
            <w:vMerge w:val="continue"/>
            <w:noWrap w:val="0"/>
            <w:vAlign w:val="center"/>
          </w:tcPr>
          <w:p w14:paraId="71E568AE">
            <w:pPr>
              <w:jc w:val="center"/>
              <w:rPr>
                <w:rFonts w:hint="eastAsia" w:ascii="宋体" w:hAnsi="宋体" w:eastAsia="宋体" w:cs="宋体"/>
                <w:b/>
                <w:bCs/>
                <w:color w:val="000000"/>
                <w:sz w:val="22"/>
                <w:szCs w:val="22"/>
              </w:rPr>
            </w:pPr>
          </w:p>
        </w:tc>
      </w:tr>
      <w:tr w14:paraId="5B607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369" w:type="pct"/>
            <w:noWrap w:val="0"/>
            <w:vAlign w:val="center"/>
          </w:tcPr>
          <w:p w14:paraId="2B4EC01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w:t>
            </w:r>
          </w:p>
        </w:tc>
        <w:tc>
          <w:tcPr>
            <w:tcW w:w="1546" w:type="pct"/>
            <w:noWrap w:val="0"/>
            <w:vAlign w:val="center"/>
          </w:tcPr>
          <w:p w14:paraId="2FB9A025">
            <w:pPr>
              <w:widowControl/>
              <w:jc w:val="center"/>
              <w:textAlignment w:val="center"/>
              <w:rPr>
                <w:rFonts w:hint="eastAsia" w:ascii="宋体" w:hAnsi="宋体" w:eastAsia="宋体" w:cs="宋体"/>
                <w:sz w:val="22"/>
                <w:szCs w:val="21"/>
              </w:rPr>
            </w:pPr>
            <w:r>
              <w:rPr>
                <w:rFonts w:hint="eastAsia" w:ascii="宋体" w:hAnsi="宋体" w:eastAsia="宋体" w:cs="宋体"/>
                <w:sz w:val="22"/>
                <w:szCs w:val="21"/>
              </w:rPr>
              <w:t>锡林郭勒供电公司2024年社会责任管理体系监督审核咨询服务采购项目</w:t>
            </w:r>
          </w:p>
        </w:tc>
        <w:tc>
          <w:tcPr>
            <w:tcW w:w="333" w:type="pct"/>
            <w:noWrap w:val="0"/>
            <w:vAlign w:val="center"/>
          </w:tcPr>
          <w:p w14:paraId="7D109AF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项</w:t>
            </w:r>
          </w:p>
        </w:tc>
        <w:tc>
          <w:tcPr>
            <w:tcW w:w="397" w:type="pct"/>
            <w:noWrap/>
            <w:vAlign w:val="center"/>
          </w:tcPr>
          <w:p w14:paraId="768DFA6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w:t>
            </w:r>
          </w:p>
        </w:tc>
        <w:tc>
          <w:tcPr>
            <w:tcW w:w="810" w:type="pct"/>
            <w:noWrap/>
            <w:vAlign w:val="center"/>
          </w:tcPr>
          <w:p w14:paraId="75C99DEE">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150000.00</w:t>
            </w:r>
          </w:p>
        </w:tc>
        <w:tc>
          <w:tcPr>
            <w:tcW w:w="882" w:type="pct"/>
            <w:noWrap/>
            <w:vAlign w:val="center"/>
          </w:tcPr>
          <w:p w14:paraId="45FF3F07">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150000.00</w:t>
            </w:r>
          </w:p>
        </w:tc>
        <w:tc>
          <w:tcPr>
            <w:tcW w:w="660" w:type="pct"/>
            <w:noWrap w:val="0"/>
            <w:vAlign w:val="center"/>
          </w:tcPr>
          <w:p w14:paraId="37BF1D2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第一包</w:t>
            </w:r>
          </w:p>
        </w:tc>
      </w:tr>
      <w:tr w14:paraId="35F25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369" w:type="pct"/>
            <w:noWrap w:val="0"/>
            <w:vAlign w:val="center"/>
          </w:tcPr>
          <w:p w14:paraId="2975F69E">
            <w:pPr>
              <w:widowControl/>
              <w:jc w:val="center"/>
              <w:textAlignment w:val="center"/>
              <w:rPr>
                <w:rFonts w:hint="eastAsia" w:ascii="宋体" w:hAnsi="宋体" w:eastAsia="宋体" w:cs="宋体"/>
                <w:color w:val="000000"/>
                <w:kern w:val="0"/>
                <w:sz w:val="22"/>
                <w:szCs w:val="22"/>
                <w:lang w:bidi="ar"/>
              </w:rPr>
            </w:pPr>
          </w:p>
        </w:tc>
        <w:tc>
          <w:tcPr>
            <w:tcW w:w="3087" w:type="pct"/>
            <w:gridSpan w:val="4"/>
            <w:noWrap w:val="0"/>
            <w:vAlign w:val="center"/>
          </w:tcPr>
          <w:p w14:paraId="20D8B28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总计</w:t>
            </w:r>
          </w:p>
        </w:tc>
        <w:tc>
          <w:tcPr>
            <w:tcW w:w="882" w:type="pct"/>
            <w:noWrap/>
            <w:vAlign w:val="center"/>
          </w:tcPr>
          <w:p w14:paraId="08811836">
            <w:pPr>
              <w:widowControl/>
              <w:jc w:val="center"/>
              <w:textAlignment w:val="center"/>
              <w:rPr>
                <w:rFonts w:ascii="宋体" w:hAnsi="宋体" w:eastAsia="宋体" w:cs="宋体"/>
                <w:color w:val="000000"/>
                <w:kern w:val="0"/>
                <w:sz w:val="22"/>
                <w:szCs w:val="22"/>
                <w:lang w:bidi="ar"/>
              </w:rPr>
            </w:pPr>
            <w:r>
              <w:rPr>
                <w:rFonts w:ascii="宋体" w:hAnsi="宋体" w:eastAsia="宋体" w:cs="宋体"/>
                <w:color w:val="000000"/>
                <w:kern w:val="0"/>
                <w:sz w:val="22"/>
                <w:szCs w:val="22"/>
                <w:lang w:bidi="ar"/>
              </w:rPr>
              <w:t>150000.00</w:t>
            </w:r>
          </w:p>
        </w:tc>
        <w:tc>
          <w:tcPr>
            <w:tcW w:w="660" w:type="pct"/>
            <w:noWrap w:val="0"/>
            <w:vAlign w:val="center"/>
          </w:tcPr>
          <w:p w14:paraId="73856F99">
            <w:pPr>
              <w:widowControl/>
              <w:jc w:val="center"/>
              <w:textAlignment w:val="center"/>
              <w:rPr>
                <w:rFonts w:hint="eastAsia" w:ascii="宋体" w:hAnsi="宋体" w:eastAsia="宋体" w:cs="宋体"/>
                <w:color w:val="000000"/>
                <w:kern w:val="0"/>
                <w:sz w:val="22"/>
                <w:szCs w:val="22"/>
                <w:lang w:bidi="ar"/>
              </w:rPr>
            </w:pPr>
          </w:p>
        </w:tc>
      </w:tr>
    </w:tbl>
    <w:p w14:paraId="4403C230">
      <w:pPr>
        <w:shd w:val="clear" w:color="auto" w:fill="FFFFFF"/>
        <w:spacing w:line="360" w:lineRule="auto"/>
        <w:rPr>
          <w:rFonts w:ascii="宋体" w:hAnsi="宋体" w:eastAsia="宋体" w:cs="宋体"/>
          <w:b/>
          <w:bCs/>
          <w:sz w:val="24"/>
          <w:szCs w:val="24"/>
        </w:rPr>
      </w:pPr>
    </w:p>
    <w:p w14:paraId="347B2253">
      <w:pPr>
        <w:shd w:val="clear" w:color="auto" w:fill="FFFFFF"/>
        <w:spacing w:line="360" w:lineRule="auto"/>
        <w:rPr>
          <w:rFonts w:ascii="宋体" w:hAnsi="宋体" w:eastAsia="宋体" w:cs="宋体"/>
          <w:b/>
          <w:bCs/>
          <w:sz w:val="24"/>
          <w:szCs w:val="24"/>
        </w:rPr>
      </w:pPr>
    </w:p>
    <w:p w14:paraId="53069ECE">
      <w:pPr>
        <w:shd w:val="clear" w:color="auto" w:fill="FFFFFF"/>
        <w:spacing w:line="360" w:lineRule="auto"/>
        <w:rPr>
          <w:rFonts w:ascii="宋体" w:hAnsi="宋体" w:eastAsia="宋体" w:cs="宋体"/>
          <w:b/>
          <w:bCs/>
          <w:sz w:val="24"/>
          <w:szCs w:val="24"/>
        </w:rPr>
      </w:pPr>
    </w:p>
    <w:p w14:paraId="7053AC35">
      <w:pPr>
        <w:shd w:val="clear" w:color="auto" w:fill="FFFFFF"/>
        <w:spacing w:line="360" w:lineRule="auto"/>
        <w:rPr>
          <w:rFonts w:hint="eastAsia" w:ascii="宋体" w:hAnsi="宋体" w:eastAsia="宋体" w:cs="宋体"/>
          <w:b/>
          <w:bCs/>
          <w:sz w:val="24"/>
          <w:szCs w:val="24"/>
        </w:rPr>
      </w:pPr>
      <w:r>
        <w:rPr>
          <w:rFonts w:ascii="宋体" w:hAnsi="宋体" w:eastAsia="宋体" w:cs="宋体"/>
          <w:b/>
          <w:bCs/>
          <w:sz w:val="24"/>
          <w:szCs w:val="24"/>
        </w:rPr>
        <w:br w:type="page"/>
      </w:r>
      <w:r>
        <w:rPr>
          <w:rFonts w:ascii="宋体" w:hAnsi="宋体" w:eastAsia="宋体" w:cs="宋体"/>
          <w:b/>
          <w:bCs/>
          <w:sz w:val="24"/>
          <w:szCs w:val="24"/>
        </w:rPr>
        <w:t>附件一：</w:t>
      </w:r>
    </w:p>
    <w:bookmarkEnd w:id="26"/>
    <w:p w14:paraId="0BED1B88">
      <w:pPr>
        <w:pStyle w:val="5"/>
        <w:spacing w:line="360" w:lineRule="auto"/>
        <w:ind w:firstLine="482"/>
        <w:rPr>
          <w:rFonts w:hint="eastAsia" w:ascii="宋体" w:hAnsi="宋体" w:eastAsia="宋体" w:cs="宋体"/>
          <w:b/>
          <w:i/>
          <w:sz w:val="28"/>
          <w:szCs w:val="28"/>
        </w:rPr>
      </w:pPr>
      <w:bookmarkStart w:id="27" w:name="_Toc1541"/>
      <w:bookmarkStart w:id="28" w:name="_Toc22806"/>
      <w:bookmarkStart w:id="29" w:name="_Toc25978"/>
      <w:bookmarkStart w:id="30" w:name="_Toc31208"/>
      <w:bookmarkStart w:id="31" w:name="_Toc43897770"/>
      <w:r>
        <w:rPr>
          <w:rFonts w:hint="eastAsia" w:ascii="宋体" w:hAnsi="宋体" w:eastAsia="宋体" w:cs="宋体"/>
          <w:b/>
          <w:sz w:val="28"/>
          <w:szCs w:val="28"/>
        </w:rPr>
        <w:t>法定代表人身份证明</w:t>
      </w:r>
      <w:bookmarkEnd w:id="27"/>
      <w:bookmarkEnd w:id="28"/>
      <w:bookmarkEnd w:id="29"/>
      <w:bookmarkEnd w:id="30"/>
      <w:bookmarkEnd w:id="31"/>
    </w:p>
    <w:p w14:paraId="7C134B83">
      <w:pPr>
        <w:pStyle w:val="10"/>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14:paraId="0737A3C3">
      <w:pPr>
        <w:pStyle w:val="10"/>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14:paraId="2AA141C4">
      <w:pPr>
        <w:pStyle w:val="10"/>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14:paraId="4AEE313D">
      <w:pPr>
        <w:pStyle w:val="10"/>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14:paraId="38D89C9F">
      <w:pPr>
        <w:pStyle w:val="10"/>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14:paraId="4DDF1B90">
      <w:pPr>
        <w:pStyle w:val="10"/>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14:paraId="5B13CA3C">
      <w:pPr>
        <w:pStyle w:val="10"/>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14:paraId="16FC4946">
      <w:pPr>
        <w:pStyle w:val="10"/>
        <w:wordWrap w:val="0"/>
        <w:spacing w:line="360" w:lineRule="auto"/>
        <w:ind w:firstLine="1320"/>
        <w:rPr>
          <w:rFonts w:hint="eastAsia" w:ascii="宋体" w:hAnsi="宋体" w:eastAsia="宋体" w:cs="宋体"/>
          <w:sz w:val="24"/>
          <w:szCs w:val="24"/>
        </w:rPr>
      </w:pPr>
    </w:p>
    <w:p w14:paraId="74024432">
      <w:pPr>
        <w:pStyle w:val="10"/>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14:paraId="074270F4">
      <w:pPr>
        <w:pStyle w:val="10"/>
        <w:wordWrap w:val="0"/>
        <w:spacing w:line="360" w:lineRule="auto"/>
        <w:ind w:firstLine="360"/>
        <w:jc w:val="right"/>
        <w:rPr>
          <w:rFonts w:hint="eastAsia" w:ascii="宋体" w:hAnsi="宋体" w:eastAsia="宋体" w:cs="宋体"/>
          <w:sz w:val="24"/>
          <w:szCs w:val="24"/>
        </w:rPr>
      </w:pPr>
    </w:p>
    <w:p w14:paraId="072D40B1">
      <w:pPr>
        <w:pStyle w:val="10"/>
        <w:wordWrap w:val="0"/>
        <w:spacing w:line="360" w:lineRule="auto"/>
        <w:ind w:firstLine="360"/>
        <w:jc w:val="right"/>
        <w:rPr>
          <w:rFonts w:hint="eastAsia" w:ascii="宋体" w:hAnsi="宋体" w:eastAsia="宋体" w:cs="宋体"/>
          <w:sz w:val="24"/>
          <w:szCs w:val="24"/>
        </w:rPr>
      </w:pPr>
    </w:p>
    <w:p w14:paraId="6368CB42">
      <w:pPr>
        <w:pStyle w:val="10"/>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14:paraId="318FF343">
      <w:pPr>
        <w:pStyle w:val="10"/>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181549C3">
      <w:pPr>
        <w:pStyle w:val="10"/>
        <w:wordWrap w:val="0"/>
        <w:spacing w:line="360" w:lineRule="auto"/>
        <w:rPr>
          <w:rFonts w:hint="eastAsia" w:ascii="宋体" w:hAnsi="宋体" w:eastAsia="宋体" w:cs="宋体"/>
          <w:sz w:val="24"/>
          <w:szCs w:val="24"/>
        </w:rPr>
      </w:pPr>
    </w:p>
    <w:p w14:paraId="4F3E1262">
      <w:pPr>
        <w:spacing w:line="360" w:lineRule="auto"/>
        <w:rPr>
          <w:rFonts w:hint="eastAsia" w:ascii="宋体" w:hAnsi="宋体" w:eastAsia="宋体" w:cs="宋体"/>
          <w:szCs w:val="21"/>
        </w:rPr>
      </w:pPr>
    </w:p>
    <w:p w14:paraId="55C34DAD">
      <w:pPr>
        <w:spacing w:line="360" w:lineRule="auto"/>
        <w:rPr>
          <w:rFonts w:hint="eastAsia" w:ascii="宋体" w:hAnsi="宋体" w:eastAsia="宋体" w:cs="宋体"/>
          <w:szCs w:val="21"/>
        </w:rPr>
      </w:pPr>
    </w:p>
    <w:p w14:paraId="324AEBC5">
      <w:pPr>
        <w:spacing w:line="360" w:lineRule="auto"/>
        <w:rPr>
          <w:rFonts w:hint="eastAsia" w:ascii="宋体" w:hAnsi="宋体" w:eastAsia="宋体" w:cs="宋体"/>
          <w:sz w:val="28"/>
          <w:szCs w:val="28"/>
        </w:rPr>
      </w:pPr>
    </w:p>
    <w:p w14:paraId="22A5E0ED">
      <w:pPr>
        <w:spacing w:line="360" w:lineRule="auto"/>
        <w:rPr>
          <w:rFonts w:hint="eastAsia" w:ascii="宋体" w:hAnsi="宋体" w:eastAsia="宋体" w:cs="宋体"/>
          <w:sz w:val="28"/>
          <w:szCs w:val="28"/>
        </w:rPr>
      </w:pPr>
    </w:p>
    <w:p w14:paraId="51776892">
      <w:pPr>
        <w:spacing w:line="360" w:lineRule="auto"/>
        <w:rPr>
          <w:rFonts w:hint="eastAsia" w:ascii="宋体" w:hAnsi="宋体" w:eastAsia="宋体" w:cs="宋体"/>
          <w:sz w:val="28"/>
          <w:szCs w:val="28"/>
        </w:rPr>
      </w:pPr>
    </w:p>
    <w:p w14:paraId="69FC86CA">
      <w:pPr>
        <w:spacing w:line="360" w:lineRule="auto"/>
        <w:rPr>
          <w:rFonts w:hint="eastAsia" w:ascii="宋体" w:hAnsi="宋体" w:eastAsia="宋体" w:cs="宋体"/>
          <w:sz w:val="28"/>
          <w:szCs w:val="28"/>
        </w:rPr>
      </w:pPr>
    </w:p>
    <w:p w14:paraId="32DFBACF">
      <w:pPr>
        <w:spacing w:line="360" w:lineRule="auto"/>
        <w:rPr>
          <w:rFonts w:hint="eastAsia" w:ascii="宋体" w:hAnsi="宋体" w:eastAsia="宋体" w:cs="宋体"/>
          <w:sz w:val="28"/>
          <w:szCs w:val="28"/>
        </w:rPr>
      </w:pPr>
    </w:p>
    <w:p w14:paraId="33B972B3">
      <w:pPr>
        <w:spacing w:line="360" w:lineRule="auto"/>
        <w:rPr>
          <w:rFonts w:hint="eastAsia" w:ascii="宋体" w:hAnsi="宋体" w:eastAsia="宋体" w:cs="宋体"/>
          <w:sz w:val="28"/>
          <w:szCs w:val="28"/>
        </w:rPr>
      </w:pPr>
    </w:p>
    <w:p w14:paraId="29FC8C2A">
      <w:pPr>
        <w:spacing w:line="360" w:lineRule="auto"/>
        <w:rPr>
          <w:rFonts w:hint="eastAsia" w:ascii="宋体" w:hAnsi="宋体" w:eastAsia="宋体" w:cs="宋体"/>
          <w:sz w:val="28"/>
          <w:szCs w:val="28"/>
        </w:rPr>
      </w:pPr>
    </w:p>
    <w:p w14:paraId="155800C5">
      <w:pPr>
        <w:spacing w:line="360" w:lineRule="auto"/>
        <w:rPr>
          <w:rFonts w:hint="eastAsia" w:ascii="宋体" w:hAnsi="宋体" w:eastAsia="宋体" w:cs="宋体"/>
          <w:sz w:val="28"/>
          <w:szCs w:val="28"/>
        </w:rPr>
      </w:pPr>
    </w:p>
    <w:p w14:paraId="2844AC90">
      <w:pPr>
        <w:spacing w:line="360" w:lineRule="auto"/>
        <w:rPr>
          <w:rFonts w:hint="eastAsia" w:ascii="宋体" w:hAnsi="宋体" w:eastAsia="宋体" w:cs="宋体"/>
          <w:sz w:val="28"/>
          <w:szCs w:val="28"/>
        </w:rPr>
      </w:pPr>
    </w:p>
    <w:p w14:paraId="547A7196">
      <w:pPr>
        <w:spacing w:line="360" w:lineRule="auto"/>
        <w:jc w:val="center"/>
        <w:rPr>
          <w:rFonts w:hint="eastAsia" w:ascii="宋体" w:hAnsi="宋体" w:eastAsia="宋体" w:cs="宋体"/>
          <w:b/>
          <w:bCs/>
          <w:sz w:val="28"/>
          <w:szCs w:val="28"/>
        </w:rPr>
      </w:pPr>
      <w:bookmarkStart w:id="32" w:name="_Toc22717"/>
      <w:bookmarkStart w:id="33" w:name="_Toc448174023"/>
      <w:bookmarkStart w:id="34" w:name="_Toc8704"/>
      <w:bookmarkStart w:id="35" w:name="_Toc19392"/>
    </w:p>
    <w:p w14:paraId="52DABA93">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法定代表人授权委托书</w:t>
      </w:r>
      <w:bookmarkEnd w:id="32"/>
      <w:bookmarkEnd w:id="33"/>
      <w:bookmarkEnd w:id="34"/>
      <w:bookmarkEnd w:id="35"/>
    </w:p>
    <w:p w14:paraId="08F85007">
      <w:pPr>
        <w:spacing w:line="360" w:lineRule="auto"/>
        <w:ind w:firstLine="600" w:firstLineChars="250"/>
        <w:rPr>
          <w:rFonts w:hint="eastAsia" w:ascii="宋体" w:hAnsi="宋体" w:eastAsia="宋体" w:cs="宋体"/>
          <w:sz w:val="24"/>
        </w:rPr>
      </w:pPr>
    </w:p>
    <w:p w14:paraId="31A50D18">
      <w:pPr>
        <w:spacing w:line="360" w:lineRule="auto"/>
        <w:ind w:firstLine="600" w:firstLineChars="25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（供应商单位名称）</w:t>
      </w:r>
      <w:r>
        <w:rPr>
          <w:rFonts w:hint="eastAsia" w:ascii="宋体" w:hAnsi="宋体" w:eastAsia="宋体" w:cs="宋体"/>
          <w:sz w:val="24"/>
        </w:rPr>
        <w:t>，为中华人民共和国合法企业，我</w:t>
      </w:r>
      <w:r>
        <w:rPr>
          <w:rFonts w:hint="eastAsia" w:ascii="宋体" w:hAnsi="宋体" w:eastAsia="宋体" w:cs="宋体"/>
          <w:sz w:val="24"/>
          <w:u w:val="single"/>
        </w:rPr>
        <w:t xml:space="preserve">      （法定代表人名称）</w:t>
      </w:r>
      <w:r>
        <w:rPr>
          <w:rFonts w:hint="eastAsia" w:ascii="宋体" w:hAnsi="宋体" w:eastAsia="宋体" w:cs="宋体"/>
          <w:sz w:val="24"/>
        </w:rPr>
        <w:t>系</w:t>
      </w:r>
      <w:r>
        <w:rPr>
          <w:rFonts w:hint="eastAsia" w:ascii="宋体" w:hAnsi="宋体" w:eastAsia="宋体" w:cs="宋体"/>
          <w:sz w:val="24"/>
          <w:u w:val="single"/>
        </w:rPr>
        <w:t xml:space="preserve">          （单位名称）</w:t>
      </w:r>
      <w:r>
        <w:rPr>
          <w:rFonts w:hint="eastAsia" w:ascii="宋体" w:hAnsi="宋体" w:eastAsia="宋体" w:cs="宋体"/>
          <w:sz w:val="24"/>
        </w:rPr>
        <w:t>的法定代表人，现授权委托我公司员</w:t>
      </w:r>
      <w:r>
        <w:rPr>
          <w:rFonts w:hint="eastAsia" w:ascii="宋体" w:hAnsi="宋体" w:eastAsia="宋体" w:cs="宋体"/>
          <w:sz w:val="24"/>
          <w:u w:val="single"/>
        </w:rPr>
        <w:t xml:space="preserve"> （姓名）</w:t>
      </w:r>
      <w:r>
        <w:rPr>
          <w:rFonts w:hint="eastAsia" w:ascii="宋体" w:hAnsi="宋体" w:eastAsia="宋体" w:cs="宋体"/>
          <w:sz w:val="24"/>
        </w:rPr>
        <w:t>为我公司</w:t>
      </w:r>
      <w:r>
        <w:rPr>
          <w:rFonts w:hint="eastAsia" w:ascii="宋体" w:hAnsi="宋体" w:eastAsia="宋体" w:cs="宋体"/>
          <w:sz w:val="24"/>
          <w:szCs w:val="24"/>
        </w:rPr>
        <w:t>委托代理人</w:t>
      </w:r>
      <w:r>
        <w:rPr>
          <w:rFonts w:hint="eastAsia" w:ascii="宋体" w:hAnsi="宋体" w:eastAsia="宋体" w:cs="宋体"/>
          <w:sz w:val="24"/>
        </w:rPr>
        <w:t>，以我公司的名义参加你公司组织的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项目（项目编号：</w:t>
      </w:r>
      <w:r>
        <w:rPr>
          <w:rFonts w:hint="eastAsia" w:ascii="宋体" w:hAnsi="宋体" w:eastAsia="宋体" w:cs="宋体"/>
          <w:sz w:val="24"/>
          <w:u w:val="single"/>
        </w:rPr>
        <w:t xml:space="preserve">             </w:t>
      </w:r>
      <w:r>
        <w:rPr>
          <w:rFonts w:hint="eastAsia" w:ascii="宋体" w:hAnsi="宋体" w:eastAsia="宋体" w:cs="宋体"/>
          <w:sz w:val="24"/>
        </w:rPr>
        <w:t xml:space="preserve"> ）的询比采购活动，</w:t>
      </w:r>
      <w:r>
        <w:rPr>
          <w:rFonts w:hint="eastAsia" w:ascii="宋体" w:hAnsi="宋体" w:eastAsia="宋体" w:cs="宋体"/>
          <w:sz w:val="24"/>
          <w:szCs w:val="24"/>
        </w:rPr>
        <w:t>委托代理人</w:t>
      </w:r>
      <w:r>
        <w:rPr>
          <w:rFonts w:hint="eastAsia" w:ascii="宋体" w:hAnsi="宋体" w:eastAsia="宋体" w:cs="宋体"/>
          <w:sz w:val="24"/>
        </w:rPr>
        <w:t>在竞标、开标、评标及合同谈判过程中所签署的一切文件和所处理的与之有关的一切事物，本人均予以承认。我公司对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14:paraId="56025C70">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14:paraId="00063B9F">
      <w:pPr>
        <w:spacing w:line="360" w:lineRule="auto"/>
        <w:rPr>
          <w:rFonts w:hint="eastAsia" w:ascii="宋体" w:hAnsi="宋体" w:eastAsia="宋体" w:cs="宋体"/>
          <w:sz w:val="24"/>
          <w:szCs w:val="24"/>
        </w:rPr>
      </w:pPr>
    </w:p>
    <w:p w14:paraId="65B8DEB2">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14:paraId="42B0738F">
      <w:pPr>
        <w:spacing w:line="360" w:lineRule="auto"/>
        <w:rPr>
          <w:rFonts w:hint="eastAsia" w:ascii="宋体" w:hAnsi="宋体" w:eastAsia="宋体" w:cs="宋体"/>
          <w:sz w:val="24"/>
          <w:szCs w:val="24"/>
        </w:rPr>
      </w:pPr>
    </w:p>
    <w:p w14:paraId="7CF84519">
      <w:pPr>
        <w:spacing w:line="360" w:lineRule="auto"/>
        <w:ind w:firstLine="3570"/>
        <w:rPr>
          <w:rFonts w:hint="eastAsia" w:ascii="宋体" w:hAnsi="宋体" w:eastAsia="宋体" w:cs="宋体"/>
          <w:sz w:val="24"/>
          <w:szCs w:val="24"/>
        </w:rPr>
      </w:pPr>
    </w:p>
    <w:p w14:paraId="06F8CCB4">
      <w:pPr>
        <w:spacing w:line="360" w:lineRule="auto"/>
        <w:ind w:firstLine="3570"/>
        <w:rPr>
          <w:rFonts w:hint="eastAsia" w:ascii="宋体" w:hAnsi="宋体" w:eastAsia="宋体" w:cs="宋体"/>
          <w:sz w:val="24"/>
          <w:szCs w:val="24"/>
        </w:rPr>
      </w:pPr>
    </w:p>
    <w:p w14:paraId="6D963F84">
      <w:pPr>
        <w:spacing w:line="360" w:lineRule="auto"/>
        <w:ind w:firstLine="3570"/>
        <w:rPr>
          <w:rFonts w:hint="eastAsia" w:ascii="宋体" w:hAnsi="宋体" w:eastAsia="宋体" w:cs="宋体"/>
          <w:sz w:val="24"/>
          <w:szCs w:val="24"/>
        </w:rPr>
      </w:pPr>
    </w:p>
    <w:p w14:paraId="07AEED16">
      <w:pPr>
        <w:spacing w:line="360" w:lineRule="auto"/>
        <w:ind w:firstLine="3570"/>
        <w:rPr>
          <w:rFonts w:hint="eastAsia" w:ascii="宋体" w:hAnsi="宋体" w:eastAsia="宋体" w:cs="宋体"/>
          <w:sz w:val="24"/>
          <w:szCs w:val="24"/>
        </w:rPr>
      </w:pPr>
    </w:p>
    <w:p w14:paraId="54C13102">
      <w:pPr>
        <w:spacing w:line="360" w:lineRule="auto"/>
        <w:ind w:firstLine="3570"/>
        <w:rPr>
          <w:rFonts w:hint="eastAsia" w:ascii="宋体" w:hAnsi="宋体" w:eastAsia="宋体" w:cs="宋体"/>
          <w:sz w:val="24"/>
          <w:szCs w:val="24"/>
        </w:rPr>
      </w:pPr>
    </w:p>
    <w:p w14:paraId="0DEDFEAD">
      <w:pPr>
        <w:spacing w:line="360" w:lineRule="auto"/>
        <w:ind w:firstLine="3570"/>
        <w:rPr>
          <w:rFonts w:hint="eastAsia" w:ascii="宋体" w:hAnsi="宋体" w:eastAsia="宋体" w:cs="宋体"/>
          <w:sz w:val="24"/>
          <w:szCs w:val="24"/>
        </w:rPr>
      </w:pPr>
    </w:p>
    <w:p w14:paraId="2D1B1987">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14:paraId="7E0E8F0D">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法定代表人：（签字或签章）</w:t>
      </w:r>
    </w:p>
    <w:p w14:paraId="022FAE03">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14:paraId="2A76208B">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14:paraId="67008709">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14:paraId="0DC535B2">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14:paraId="0E247A70">
      <w:pPr>
        <w:spacing w:line="360" w:lineRule="auto"/>
        <w:ind w:right="360" w:firstLine="2160" w:firstLineChars="900"/>
        <w:jc w:val="right"/>
        <w:rPr>
          <w:rFonts w:hint="eastAsia" w:ascii="宋体" w:hAnsi="宋体" w:eastAsia="宋体" w:cs="宋体"/>
          <w:sz w:val="24"/>
          <w:szCs w:val="24"/>
        </w:rPr>
      </w:pPr>
    </w:p>
    <w:p w14:paraId="5A3DD891">
      <w:pPr>
        <w:spacing w:line="360" w:lineRule="auto"/>
        <w:ind w:right="360" w:firstLine="2160" w:firstLineChars="900"/>
        <w:jc w:val="right"/>
        <w:rPr>
          <w:rFonts w:hint="eastAsia" w:ascii="宋体" w:hAnsi="宋体" w:eastAsia="宋体" w:cs="宋体"/>
          <w:sz w:val="24"/>
          <w:szCs w:val="24"/>
        </w:rPr>
      </w:pPr>
    </w:p>
    <w:p w14:paraId="1C20EC4B">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 月 日</w:t>
      </w:r>
    </w:p>
    <w:p w14:paraId="30AF410B">
      <w:pPr>
        <w:spacing w:line="360" w:lineRule="auto"/>
        <w:rPr>
          <w:rFonts w:hint="eastAsia" w:ascii="宋体" w:hAnsi="宋体" w:eastAsia="宋体" w:cs="宋体"/>
          <w:b/>
          <w:sz w:val="24"/>
          <w:szCs w:val="28"/>
        </w:rPr>
      </w:pPr>
      <w:r>
        <w:rPr>
          <w:rFonts w:hint="eastAsia" w:ascii="宋体" w:hAnsi="宋体" w:eastAsia="宋体" w:cs="宋体"/>
        </w:rPr>
        <w:br w:type="page"/>
      </w:r>
      <w:r>
        <w:rPr>
          <w:rFonts w:hint="eastAsia" w:ascii="宋体" w:hAnsi="宋体" w:eastAsia="宋体" w:cs="宋体"/>
          <w:b/>
          <w:bCs/>
          <w:sz w:val="24"/>
          <w:szCs w:val="24"/>
        </w:rPr>
        <w:t>附件二：</w:t>
      </w:r>
    </w:p>
    <w:p w14:paraId="4D5F2DF6">
      <w:pPr>
        <w:rPr>
          <w:rFonts w:hint="eastAsia" w:ascii="宋体" w:hAnsi="宋体" w:eastAsia="宋体" w:cs="宋体"/>
        </w:rPr>
      </w:pPr>
    </w:p>
    <w:p w14:paraId="776CD063">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响应真实性承诺书</w:t>
      </w:r>
    </w:p>
    <w:p w14:paraId="10F4086E">
      <w:pPr>
        <w:spacing w:line="360" w:lineRule="auto"/>
        <w:jc w:val="center"/>
        <w:rPr>
          <w:rFonts w:hint="eastAsia" w:ascii="宋体" w:hAnsi="宋体" w:eastAsia="宋体" w:cs="宋体"/>
          <w:b/>
          <w:bCs/>
          <w:sz w:val="28"/>
          <w:szCs w:val="28"/>
        </w:rPr>
      </w:pPr>
    </w:p>
    <w:p w14:paraId="56B08B05">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14:paraId="16AB86DD">
      <w:pPr>
        <w:spacing w:line="360" w:lineRule="auto"/>
        <w:rPr>
          <w:rFonts w:hint="eastAsia" w:ascii="宋体" w:hAnsi="宋体" w:eastAsia="宋体" w:cs="宋体"/>
          <w:sz w:val="24"/>
        </w:rPr>
      </w:pPr>
    </w:p>
    <w:p w14:paraId="4DB7EBDA">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43B76D66">
      <w:pPr>
        <w:pStyle w:val="10"/>
        <w:wordWrap w:val="0"/>
        <w:spacing w:line="360" w:lineRule="auto"/>
        <w:ind w:firstLine="360"/>
        <w:jc w:val="right"/>
        <w:rPr>
          <w:rFonts w:hint="eastAsia" w:ascii="宋体" w:hAnsi="宋体" w:eastAsia="宋体" w:cs="宋体"/>
          <w:sz w:val="24"/>
          <w:szCs w:val="24"/>
        </w:rPr>
      </w:pPr>
    </w:p>
    <w:p w14:paraId="5799C499">
      <w:pPr>
        <w:pStyle w:val="10"/>
        <w:spacing w:line="360" w:lineRule="auto"/>
        <w:ind w:firstLine="360"/>
        <w:jc w:val="right"/>
        <w:rPr>
          <w:rFonts w:hint="eastAsia" w:ascii="宋体" w:hAnsi="宋体" w:eastAsia="宋体" w:cs="宋体"/>
          <w:sz w:val="24"/>
          <w:szCs w:val="24"/>
        </w:rPr>
      </w:pPr>
    </w:p>
    <w:p w14:paraId="29057D03">
      <w:pPr>
        <w:pStyle w:val="10"/>
        <w:spacing w:line="360" w:lineRule="auto"/>
        <w:ind w:firstLine="360"/>
        <w:jc w:val="right"/>
        <w:rPr>
          <w:rFonts w:hint="eastAsia" w:ascii="宋体" w:hAnsi="宋体" w:eastAsia="宋体" w:cs="宋体"/>
          <w:sz w:val="24"/>
          <w:szCs w:val="24"/>
        </w:rPr>
      </w:pPr>
    </w:p>
    <w:p w14:paraId="0B5003E4">
      <w:pPr>
        <w:pStyle w:val="10"/>
        <w:spacing w:line="360" w:lineRule="auto"/>
        <w:ind w:firstLine="360"/>
        <w:jc w:val="right"/>
        <w:rPr>
          <w:rFonts w:hint="eastAsia" w:ascii="宋体" w:hAnsi="宋体" w:eastAsia="宋体" w:cs="宋体"/>
          <w:sz w:val="24"/>
          <w:szCs w:val="24"/>
        </w:rPr>
      </w:pPr>
    </w:p>
    <w:p w14:paraId="69C123F3">
      <w:pPr>
        <w:pStyle w:val="10"/>
        <w:spacing w:line="360" w:lineRule="auto"/>
        <w:ind w:firstLine="360"/>
        <w:jc w:val="right"/>
        <w:rPr>
          <w:rFonts w:hint="eastAsia" w:ascii="宋体" w:hAnsi="宋体" w:eastAsia="宋体" w:cs="宋体"/>
          <w:sz w:val="24"/>
          <w:szCs w:val="24"/>
        </w:rPr>
      </w:pPr>
    </w:p>
    <w:p w14:paraId="59D2BC19">
      <w:pPr>
        <w:pStyle w:val="10"/>
        <w:spacing w:line="360" w:lineRule="auto"/>
        <w:ind w:firstLine="360"/>
        <w:jc w:val="right"/>
        <w:rPr>
          <w:rFonts w:hint="eastAsia" w:ascii="宋体" w:hAnsi="宋体" w:eastAsia="宋体" w:cs="宋体"/>
          <w:sz w:val="24"/>
          <w:szCs w:val="24"/>
        </w:rPr>
      </w:pPr>
    </w:p>
    <w:p w14:paraId="1D7E0C45">
      <w:pPr>
        <w:pStyle w:val="10"/>
        <w:spacing w:line="360" w:lineRule="auto"/>
        <w:ind w:firstLine="360"/>
        <w:jc w:val="right"/>
        <w:rPr>
          <w:rFonts w:hint="eastAsia" w:ascii="宋体" w:hAnsi="宋体" w:eastAsia="宋体" w:cs="宋体"/>
          <w:sz w:val="24"/>
          <w:szCs w:val="24"/>
        </w:rPr>
      </w:pPr>
    </w:p>
    <w:p w14:paraId="60EB88AB">
      <w:pPr>
        <w:pStyle w:val="1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14:paraId="3313C919">
      <w:pPr>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4B9BC73C">
      <w:pPr>
        <w:pStyle w:val="11"/>
        <w:spacing w:line="360" w:lineRule="auto"/>
        <w:jc w:val="center"/>
        <w:rPr>
          <w:rFonts w:hint="eastAsia" w:ascii="宋体" w:hAnsi="宋体" w:cs="宋体"/>
          <w:sz w:val="24"/>
        </w:rPr>
      </w:pPr>
      <w:r>
        <w:rPr>
          <w:rFonts w:hint="eastAsia" w:ascii="宋体" w:hAnsi="宋体" w:cs="宋体"/>
          <w:sz w:val="24"/>
        </w:rPr>
        <w:br w:type="page"/>
      </w:r>
    </w:p>
    <w:p w14:paraId="424FD658">
      <w:pPr>
        <w:pStyle w:val="10"/>
        <w:spacing w:line="360" w:lineRule="auto"/>
        <w:ind w:right="315"/>
        <w:rPr>
          <w:rFonts w:hint="eastAsia" w:ascii="宋体" w:hAnsi="宋体" w:eastAsia="宋体" w:cs="宋体"/>
          <w:b/>
          <w:sz w:val="24"/>
          <w:szCs w:val="24"/>
          <w:highlight w:val="red"/>
        </w:rPr>
      </w:pPr>
      <w:r>
        <w:rPr>
          <w:rFonts w:hint="eastAsia" w:ascii="宋体" w:hAnsi="宋体" w:eastAsia="宋体" w:cs="宋体"/>
          <w:b/>
          <w:bCs/>
          <w:sz w:val="24"/>
        </w:rPr>
        <w:t>附件三：</w:t>
      </w:r>
      <w:r>
        <w:rPr>
          <w:rFonts w:hint="eastAsia" w:ascii="宋体" w:hAnsi="宋体" w:eastAsia="宋体" w:cs="宋体"/>
          <w:b/>
          <w:sz w:val="24"/>
          <w:szCs w:val="24"/>
        </w:rPr>
        <w:t>异议函</w:t>
      </w:r>
    </w:p>
    <w:p w14:paraId="2A7C0598">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异议函</w:t>
      </w:r>
    </w:p>
    <w:p w14:paraId="0C1BAC98">
      <w:pPr>
        <w:tabs>
          <w:tab w:val="center" w:pos="4201"/>
          <w:tab w:val="right" w:leader="dot" w:pos="9298"/>
        </w:tabs>
        <w:autoSpaceDE w:val="0"/>
        <w:autoSpaceDN w:val="0"/>
        <w:spacing w:line="276" w:lineRule="auto"/>
        <w:ind w:firstLine="420"/>
        <w:rPr>
          <w:rFonts w:hint="eastAsia" w:ascii="宋体" w:hAnsi="宋体" w:eastAsia="宋体" w:cs="宋体"/>
          <w:sz w:val="21"/>
          <w:szCs w:val="21"/>
        </w:rPr>
      </w:pPr>
    </w:p>
    <w:p w14:paraId="0D1369A1">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468ECA61">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p>
    <w:p w14:paraId="2DF67E2C">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14:paraId="6C76A69E">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14:paraId="5047CE66">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7AF733DA">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14:paraId="342866AF">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4A053D04">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14:paraId="21C6F2E8">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07EC42F6">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14:paraId="576DB2F8">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6A2B3D46">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14:paraId="22D989FF">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14:paraId="60FBF23C">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14:paraId="2606A6B0">
      <w:pPr>
        <w:spacing w:after="240" w:afterLines="100" w:line="360" w:lineRule="auto"/>
        <w:ind w:firstLine="1920" w:firstLineChars="800"/>
        <w:jc w:val="left"/>
        <w:rPr>
          <w:rFonts w:hint="eastAsia" w:ascii="宋体" w:hAnsi="宋体" w:eastAsia="宋体" w:cs="宋体"/>
          <w:kern w:val="0"/>
          <w:sz w:val="24"/>
          <w:szCs w:val="24"/>
        </w:rPr>
      </w:pPr>
    </w:p>
    <w:p w14:paraId="4DFC21B9">
      <w:pPr>
        <w:spacing w:after="240" w:afterLines="100" w:line="360" w:lineRule="auto"/>
        <w:ind w:firstLine="1920" w:firstLineChars="800"/>
        <w:jc w:val="left"/>
        <w:rPr>
          <w:rFonts w:hint="eastAsia" w:ascii="宋体" w:hAnsi="宋体" w:eastAsia="宋体" w:cs="宋体"/>
          <w:kern w:val="0"/>
          <w:sz w:val="24"/>
          <w:szCs w:val="24"/>
        </w:rPr>
      </w:pPr>
    </w:p>
    <w:p w14:paraId="7E99AC44">
      <w:pPr>
        <w:spacing w:after="240" w:afterLines="100" w:line="360" w:lineRule="auto"/>
        <w:ind w:firstLine="1920" w:firstLineChars="800"/>
        <w:jc w:val="left"/>
        <w:rPr>
          <w:rFonts w:hint="eastAsia" w:ascii="宋体" w:hAnsi="宋体" w:eastAsia="宋体" w:cs="宋体"/>
          <w:kern w:val="0"/>
          <w:sz w:val="24"/>
          <w:szCs w:val="24"/>
        </w:rPr>
      </w:pPr>
    </w:p>
    <w:p w14:paraId="2EE90D78">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14:paraId="0E385AA9">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14:paraId="03B69497">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14:paraId="26124C92">
      <w:pPr>
        <w:spacing w:line="360" w:lineRule="auto"/>
        <w:ind w:firstLine="420" w:firstLineChars="200"/>
        <w:rPr>
          <w:rFonts w:hint="eastAsia" w:ascii="宋体" w:hAnsi="宋体" w:eastAsia="宋体" w:cs="宋体"/>
          <w:color w:val="FF0000"/>
          <w:kern w:val="0"/>
          <w:sz w:val="21"/>
          <w:szCs w:val="21"/>
        </w:rPr>
      </w:pPr>
    </w:p>
    <w:p w14:paraId="195B7E4C">
      <w:pPr>
        <w:spacing w:line="276" w:lineRule="auto"/>
        <w:ind w:firstLine="420" w:firstLineChars="200"/>
        <w:rPr>
          <w:rFonts w:hint="eastAsia" w:ascii="宋体" w:hAnsi="宋体" w:eastAsia="宋体" w:cs="宋体"/>
          <w:color w:val="FF0000"/>
          <w:kern w:val="0"/>
          <w:sz w:val="21"/>
          <w:szCs w:val="21"/>
        </w:rPr>
      </w:pPr>
    </w:p>
    <w:p w14:paraId="29248B6E">
      <w:pPr>
        <w:spacing w:line="220" w:lineRule="atLeast"/>
        <w:rPr>
          <w:rFonts w:hint="eastAsia" w:ascii="宋体" w:hAnsi="宋体" w:eastAsia="宋体" w:cs="宋体"/>
          <w:b/>
          <w:sz w:val="24"/>
          <w:szCs w:val="24"/>
        </w:rPr>
      </w:pPr>
      <w:r>
        <w:rPr>
          <w:rFonts w:hint="eastAsia" w:ascii="宋体" w:hAnsi="宋体" w:eastAsia="宋体" w:cs="宋体"/>
          <w:b/>
          <w:sz w:val="24"/>
          <w:szCs w:val="24"/>
        </w:rPr>
        <w:t>附件四：异议授权函</w:t>
      </w:r>
    </w:p>
    <w:p w14:paraId="706CE889">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异议授权函</w:t>
      </w:r>
    </w:p>
    <w:p w14:paraId="0119E3AC">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7F93D35F">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45734BAC">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691BA3D">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14:paraId="7DAB84B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14:paraId="27AD15F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14:paraId="2B189BD8">
      <w:pPr>
        <w:adjustRightInd w:val="0"/>
        <w:snapToGrid w:val="0"/>
        <w:spacing w:line="360" w:lineRule="auto"/>
        <w:ind w:firstLine="480" w:firstLineChars="200"/>
        <w:rPr>
          <w:rFonts w:hint="eastAsia" w:ascii="宋体" w:hAnsi="宋体" w:eastAsia="宋体" w:cs="宋体"/>
          <w:sz w:val="24"/>
          <w:szCs w:val="24"/>
        </w:rPr>
      </w:pPr>
    </w:p>
    <w:p w14:paraId="0527C03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授权人签名：__________</w:t>
      </w:r>
    </w:p>
    <w:p w14:paraId="5472F4AA">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职务：_____</w:t>
      </w:r>
      <w:r>
        <w:rPr>
          <w:rFonts w:hint="eastAsia" w:ascii="宋体" w:hAnsi="宋体" w:eastAsia="宋体" w:cs="宋体"/>
          <w:sz w:val="24"/>
          <w:szCs w:val="24"/>
          <w:u w:val="single"/>
        </w:rPr>
        <w:t xml:space="preserve">   _</w:t>
      </w:r>
      <w:r>
        <w:rPr>
          <w:rFonts w:hint="eastAsia" w:ascii="宋体" w:hAnsi="宋体" w:eastAsia="宋体" w:cs="宋体"/>
          <w:sz w:val="24"/>
          <w:szCs w:val="24"/>
        </w:rPr>
        <w:t>__</w:t>
      </w:r>
    </w:p>
    <w:p w14:paraId="6A1F218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14:paraId="202A0E6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 _________                          日期：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_________                         </w:t>
      </w:r>
    </w:p>
    <w:p w14:paraId="0A1C099E">
      <w:pPr>
        <w:spacing w:line="360" w:lineRule="auto"/>
        <w:ind w:right="601" w:firstLine="480"/>
        <w:rPr>
          <w:rFonts w:hint="eastAsia" w:ascii="宋体" w:hAnsi="宋体" w:eastAsia="宋体" w:cs="宋体"/>
          <w:sz w:val="24"/>
          <w:szCs w:val="24"/>
        </w:rPr>
      </w:pPr>
      <w:r>
        <w:rPr>
          <w:rFonts w:hint="eastAsia" w:ascii="宋体" w:hAnsi="宋体" w:eastAsia="宋体" w:cs="宋体"/>
          <w:color w:val="FF0000"/>
          <w:sz w:val="24"/>
          <w:szCs w:val="24"/>
        </w:rPr>
        <w:t>附：授权人身份证扫描件（正反面）及被授权人身份证扫描件（正反面）。</w:t>
      </w:r>
    </w:p>
    <w:p w14:paraId="1F09C1A9">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1D25B36">
                            <w:pPr>
                              <w:ind w:firstLine="420"/>
                              <w:jc w:val="center"/>
                              <w:rPr>
                                <w:rFonts w:ascii="Times New Roman"/>
                                <w:sz w:val="21"/>
                              </w:rPr>
                            </w:pPr>
                          </w:p>
                          <w:p w14:paraId="72D8A4EA">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41D25B36">
                      <w:pPr>
                        <w:ind w:firstLine="420"/>
                        <w:jc w:val="center"/>
                        <w:rPr>
                          <w:rFonts w:ascii="Times New Roman"/>
                          <w:sz w:val="21"/>
                        </w:rPr>
                      </w:pPr>
                    </w:p>
                    <w:p w14:paraId="72D8A4EA">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CDEBD91">
                            <w:pPr>
                              <w:ind w:firstLine="420"/>
                              <w:jc w:val="center"/>
                              <w:rPr>
                                <w:rFonts w:ascii="Times New Roman"/>
                                <w:sz w:val="21"/>
                              </w:rPr>
                            </w:pPr>
                          </w:p>
                          <w:p w14:paraId="1E9D625E">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14:paraId="5CDEBD91">
                      <w:pPr>
                        <w:ind w:firstLine="420"/>
                        <w:jc w:val="center"/>
                        <w:rPr>
                          <w:rFonts w:ascii="Times New Roman"/>
                          <w:sz w:val="21"/>
                        </w:rPr>
                      </w:pPr>
                    </w:p>
                    <w:p w14:paraId="1E9D625E">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64563583">
      <w:pPr>
        <w:spacing w:line="360" w:lineRule="auto"/>
        <w:ind w:firstLine="420" w:firstLineChars="200"/>
        <w:rPr>
          <w:rFonts w:hint="eastAsia" w:ascii="宋体" w:hAnsi="宋体" w:eastAsia="宋体" w:cs="宋体"/>
          <w:sz w:val="21"/>
          <w:szCs w:val="21"/>
        </w:rPr>
      </w:pPr>
    </w:p>
    <w:p w14:paraId="2B5A68A7">
      <w:pPr>
        <w:spacing w:line="360" w:lineRule="auto"/>
        <w:ind w:firstLine="420" w:firstLineChars="200"/>
        <w:rPr>
          <w:rFonts w:hint="eastAsia" w:ascii="宋体" w:hAnsi="宋体" w:eastAsia="宋体" w:cs="宋体"/>
          <w:sz w:val="21"/>
          <w:szCs w:val="21"/>
        </w:rPr>
      </w:pPr>
    </w:p>
    <w:p w14:paraId="5808D953">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413C1329">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413C1329">
                      <w:pPr>
                        <w:rPr>
                          <w:rFonts w:ascii="Times New Roman"/>
                          <w:sz w:val="21"/>
                        </w:rPr>
                      </w:pPr>
                    </w:p>
                  </w:txbxContent>
                </v:textbox>
              </v:shape>
            </w:pict>
          </mc:Fallback>
        </mc:AlternateContent>
      </w:r>
    </w:p>
    <w:p w14:paraId="13DD5505">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47A16B46">
                            <w:pPr>
                              <w:ind w:firstLine="420"/>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path/>
                <v:fill on="f" focussize="0,0"/>
                <v:stroke on="f"/>
                <v:imagedata o:title=""/>
                <o:lock v:ext="edit" grouping="f" rotation="f" text="f" aspectratio="f"/>
                <v:textbox>
                  <w:txbxContent>
                    <w:p w14:paraId="47A16B46">
                      <w:pPr>
                        <w:ind w:firstLine="420"/>
                        <w:rPr>
                          <w:rFonts w:ascii="Times New Roman"/>
                          <w:sz w:val="21"/>
                        </w:rPr>
                      </w:pPr>
                      <w:r>
                        <w:rPr>
                          <w:rFonts w:hint="eastAsia" w:ascii="Times New Roman"/>
                          <w:sz w:val="21"/>
                          <w:highlight w:val="white"/>
                        </w:rPr>
                        <w:t>加盖单位公章</w:t>
                      </w:r>
                    </w:p>
                  </w:txbxContent>
                </v:textbox>
              </v:shape>
            </w:pict>
          </mc:Fallback>
        </mc:AlternateContent>
      </w:r>
    </w:p>
    <w:p w14:paraId="5EB9FB5A">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9874912">
                            <w:pPr>
                              <w:ind w:firstLine="420"/>
                              <w:jc w:val="center"/>
                              <w:rPr>
                                <w:rFonts w:ascii="Times New Roman"/>
                                <w:sz w:val="21"/>
                              </w:rPr>
                            </w:pPr>
                          </w:p>
                          <w:p w14:paraId="3145322A">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69874912">
                      <w:pPr>
                        <w:ind w:firstLine="420"/>
                        <w:jc w:val="center"/>
                        <w:rPr>
                          <w:rFonts w:ascii="Times New Roman"/>
                          <w:sz w:val="21"/>
                        </w:rPr>
                      </w:pPr>
                    </w:p>
                    <w:p w14:paraId="3145322A">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93026AA">
                            <w:pPr>
                              <w:ind w:firstLine="420"/>
                              <w:jc w:val="center"/>
                              <w:rPr>
                                <w:rFonts w:ascii="Times New Roman"/>
                                <w:sz w:val="21"/>
                              </w:rPr>
                            </w:pPr>
                          </w:p>
                          <w:p w14:paraId="5C559723">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14:paraId="793026AA">
                      <w:pPr>
                        <w:ind w:firstLine="420"/>
                        <w:jc w:val="center"/>
                        <w:rPr>
                          <w:rFonts w:ascii="Times New Roman"/>
                          <w:sz w:val="21"/>
                        </w:rPr>
                      </w:pPr>
                    </w:p>
                    <w:p w14:paraId="5C559723">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038EB5D7">
      <w:pPr>
        <w:spacing w:line="360" w:lineRule="auto"/>
        <w:ind w:firstLine="420" w:firstLineChars="200"/>
        <w:rPr>
          <w:rFonts w:hint="eastAsia" w:ascii="宋体" w:hAnsi="宋体" w:eastAsia="宋体" w:cs="宋体"/>
          <w:sz w:val="21"/>
          <w:szCs w:val="21"/>
        </w:rPr>
      </w:pPr>
    </w:p>
    <w:p w14:paraId="5FA0BD71">
      <w:pPr>
        <w:spacing w:line="220" w:lineRule="atLeast"/>
        <w:ind w:firstLine="482"/>
        <w:rPr>
          <w:rFonts w:hint="eastAsia" w:ascii="宋体" w:hAnsi="宋体" w:eastAsia="宋体" w:cs="宋体"/>
          <w:b/>
          <w:sz w:val="24"/>
          <w:szCs w:val="24"/>
        </w:rPr>
      </w:pPr>
    </w:p>
    <w:p w14:paraId="11DB34B7">
      <w:pPr>
        <w:spacing w:line="220" w:lineRule="atLeast"/>
        <w:ind w:firstLine="482"/>
        <w:rPr>
          <w:rFonts w:hint="eastAsia" w:ascii="宋体" w:hAnsi="宋体" w:eastAsia="宋体" w:cs="宋体"/>
          <w:b/>
          <w:sz w:val="24"/>
          <w:szCs w:val="24"/>
        </w:rPr>
      </w:pPr>
    </w:p>
    <w:p w14:paraId="5C034477">
      <w:pPr>
        <w:spacing w:line="220" w:lineRule="atLeast"/>
        <w:ind w:firstLine="482"/>
        <w:rPr>
          <w:rFonts w:hint="eastAsia" w:ascii="宋体" w:hAnsi="宋体" w:eastAsia="宋体" w:cs="宋体"/>
          <w:b/>
          <w:sz w:val="24"/>
          <w:szCs w:val="24"/>
        </w:rPr>
      </w:pPr>
    </w:p>
    <w:p w14:paraId="16FA272B">
      <w:pPr>
        <w:spacing w:line="220" w:lineRule="atLeast"/>
        <w:ind w:firstLine="482"/>
        <w:rPr>
          <w:rFonts w:hint="eastAsia" w:ascii="宋体" w:hAnsi="宋体" w:eastAsia="宋体" w:cs="宋体"/>
          <w:b/>
          <w:sz w:val="24"/>
          <w:szCs w:val="24"/>
        </w:rPr>
      </w:pPr>
      <w:r>
        <w:rPr>
          <w:rFonts w:ascii="宋体" w:hAnsi="宋体" w:eastAsia="宋体" w:cs="宋体"/>
          <w:b/>
          <w:sz w:val="24"/>
          <w:szCs w:val="24"/>
        </w:rPr>
        <w:br w:type="page"/>
      </w:r>
      <w:r>
        <w:rPr>
          <w:rFonts w:hint="eastAsia" w:ascii="宋体" w:hAnsi="宋体" w:eastAsia="宋体" w:cs="宋体"/>
          <w:b/>
          <w:sz w:val="24"/>
          <w:szCs w:val="24"/>
        </w:rPr>
        <w:t>附件五：异议真实性承诺函</w:t>
      </w:r>
    </w:p>
    <w:p w14:paraId="6AF7420D">
      <w:pPr>
        <w:spacing w:line="220" w:lineRule="atLeast"/>
        <w:ind w:firstLine="643"/>
        <w:jc w:val="center"/>
        <w:rPr>
          <w:rFonts w:hint="eastAsia" w:ascii="宋体" w:hAnsi="宋体" w:eastAsia="宋体" w:cs="宋体"/>
          <w:b/>
          <w:sz w:val="32"/>
          <w:szCs w:val="24"/>
        </w:rPr>
      </w:pPr>
    </w:p>
    <w:p w14:paraId="7D243C48">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14:paraId="623A2D9C">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16C47729">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0B1B0C24">
      <w:pPr>
        <w:adjustRightInd w:val="0"/>
        <w:snapToGrid w:val="0"/>
        <w:spacing w:line="360" w:lineRule="auto"/>
        <w:ind w:firstLine="480" w:firstLineChars="200"/>
        <w:rPr>
          <w:rFonts w:hint="eastAsia" w:ascii="宋体" w:hAnsi="宋体" w:eastAsia="宋体" w:cs="宋体"/>
          <w:sz w:val="24"/>
          <w:szCs w:val="24"/>
        </w:rPr>
      </w:pPr>
    </w:p>
    <w:p w14:paraId="28F118F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2C27EDBF">
      <w:pPr>
        <w:adjustRightInd w:val="0"/>
        <w:snapToGrid w:val="0"/>
        <w:spacing w:line="360" w:lineRule="auto"/>
        <w:ind w:firstLine="720" w:firstLineChars="300"/>
        <w:rPr>
          <w:rFonts w:hint="eastAsia" w:ascii="宋体" w:hAnsi="宋体" w:eastAsia="宋体" w:cs="宋体"/>
          <w:sz w:val="24"/>
          <w:szCs w:val="24"/>
        </w:rPr>
      </w:pPr>
    </w:p>
    <w:p w14:paraId="04AE2719">
      <w:pPr>
        <w:adjustRightInd w:val="0"/>
        <w:snapToGrid w:val="0"/>
        <w:spacing w:line="360" w:lineRule="auto"/>
        <w:ind w:firstLine="720" w:firstLineChars="300"/>
        <w:rPr>
          <w:rFonts w:hint="eastAsia" w:ascii="宋体" w:hAnsi="宋体" w:eastAsia="宋体" w:cs="宋体"/>
          <w:sz w:val="24"/>
          <w:szCs w:val="24"/>
        </w:rPr>
      </w:pPr>
    </w:p>
    <w:p w14:paraId="1BC58DF3">
      <w:pPr>
        <w:adjustRightInd w:val="0"/>
        <w:snapToGrid w:val="0"/>
        <w:spacing w:line="360" w:lineRule="auto"/>
        <w:ind w:firstLine="720" w:firstLineChars="300"/>
        <w:rPr>
          <w:rFonts w:hint="eastAsia" w:ascii="宋体" w:hAnsi="宋体" w:eastAsia="宋体" w:cs="宋体"/>
          <w:sz w:val="24"/>
          <w:szCs w:val="24"/>
        </w:rPr>
      </w:pPr>
    </w:p>
    <w:p w14:paraId="6D3F1460">
      <w:pPr>
        <w:adjustRightInd w:val="0"/>
        <w:snapToGrid w:val="0"/>
        <w:spacing w:line="360" w:lineRule="auto"/>
        <w:ind w:firstLine="720" w:firstLineChars="300"/>
        <w:rPr>
          <w:rFonts w:hint="eastAsia" w:ascii="宋体" w:hAnsi="宋体" w:eastAsia="宋体" w:cs="宋体"/>
          <w:sz w:val="24"/>
          <w:szCs w:val="24"/>
        </w:rPr>
      </w:pPr>
    </w:p>
    <w:p w14:paraId="39CB16CE">
      <w:pPr>
        <w:adjustRightInd w:val="0"/>
        <w:snapToGrid w:val="0"/>
        <w:spacing w:line="360" w:lineRule="auto"/>
        <w:ind w:firstLine="720" w:firstLineChars="300"/>
        <w:rPr>
          <w:rFonts w:hint="eastAsia" w:ascii="宋体" w:hAnsi="宋体" w:eastAsia="宋体" w:cs="宋体"/>
          <w:sz w:val="24"/>
          <w:szCs w:val="24"/>
        </w:rPr>
      </w:pPr>
    </w:p>
    <w:p w14:paraId="1BE30029">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14:paraId="42D1EFBC">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14:paraId="49FC7FCE">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14:paraId="4E8F205A">
      <w:pPr>
        <w:adjustRightInd w:val="0"/>
        <w:snapToGrid w:val="0"/>
        <w:spacing w:line="360" w:lineRule="auto"/>
        <w:ind w:firstLine="5280" w:firstLineChars="2200"/>
        <w:rPr>
          <w:rFonts w:hint="eastAsia" w:ascii="宋体" w:hAnsi="宋体" w:eastAsia="宋体" w:cs="宋体"/>
          <w:sz w:val="24"/>
          <w:szCs w:val="24"/>
        </w:rPr>
      </w:pPr>
    </w:p>
    <w:p w14:paraId="115A6BCF">
      <w:pPr>
        <w:widowControl/>
        <w:spacing w:line="360" w:lineRule="auto"/>
        <w:ind w:right="960"/>
        <w:jc w:val="right"/>
        <w:rPr>
          <w:rFonts w:hint="eastAsia" w:ascii="宋体" w:hAnsi="宋体" w:eastAsia="宋体" w:cs="宋体"/>
          <w:sz w:val="24"/>
          <w:szCs w:val="24"/>
        </w:rPr>
      </w:pPr>
      <w:r>
        <w:rPr>
          <w:rFonts w:hint="eastAsia" w:ascii="宋体" w:hAnsi="宋体" w:eastAsia="宋体" w:cs="宋体"/>
          <w:sz w:val="24"/>
          <w:szCs w:val="24"/>
        </w:rPr>
        <w:t>年      月      日</w:t>
      </w:r>
    </w:p>
    <w:p w14:paraId="29C1CF61">
      <w:pPr>
        <w:spacing w:line="360" w:lineRule="auto"/>
        <w:ind w:firstLine="4800" w:firstLineChars="2000"/>
        <w:outlineLvl w:val="0"/>
        <w:rPr>
          <w:rFonts w:hint="eastAsia" w:ascii="宋体" w:hAnsi="宋体" w:eastAsia="宋体" w:cs="宋体"/>
          <w:sz w:val="24"/>
        </w:rPr>
      </w:pPr>
    </w:p>
    <w:p w14:paraId="673FA581">
      <w:pPr>
        <w:spacing w:line="360" w:lineRule="auto"/>
        <w:ind w:firstLine="480" w:firstLineChars="200"/>
        <w:rPr>
          <w:rFonts w:hint="eastAsia" w:ascii="宋体" w:hAnsi="宋体" w:eastAsia="宋体" w:cs="宋体"/>
          <w:sz w:val="24"/>
        </w:rPr>
      </w:pPr>
      <w:r>
        <w:rPr>
          <w:rFonts w:hint="eastAsia" w:ascii="宋体" w:hAnsi="宋体" w:eastAsia="宋体" w:cs="宋体"/>
          <w:sz w:val="24"/>
          <w:szCs w:val="24"/>
        </w:rPr>
        <w:br w:type="page"/>
      </w:r>
      <w:bookmarkStart w:id="36" w:name="_GoBack"/>
      <w:bookmarkEnd w:id="36"/>
    </w:p>
    <w:p w14:paraId="27B6AD3C"/>
    <w:sectPr>
      <w:pgSz w:w="11906" w:h="16838"/>
      <w:pgMar w:top="1134" w:right="1701" w:bottom="1134"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2000000000000000000"/>
    <w:charset w:val="86"/>
    <w:family w:val="script"/>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D"/>
    <w:multiLevelType w:val="singleLevel"/>
    <w:tmpl w:val="0000001D"/>
    <w:lvl w:ilvl="0" w:tentative="0">
      <w:start w:val="2"/>
      <w:numFmt w:val="upperLetter"/>
      <w:suff w:val="nothing"/>
      <w:lvlText w:val="%1、"/>
      <w:lvlJc w:val="left"/>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mNzRmYmJmMDY3ODI4NjQ4ZGVkMTFiYzM1ZThiOTAifQ=="/>
  </w:docVars>
  <w:rsids>
    <w:rsidRoot w:val="00000000"/>
    <w:rsid w:val="3CFB49AC"/>
    <w:rsid w:val="5AB83A84"/>
    <w:rsid w:val="6BDB14E3"/>
    <w:rsid w:val="6FD83449"/>
    <w:rsid w:val="764C0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4"/>
      <w:lang w:val="en-US" w:eastAsia="zh-CN" w:bidi="ar-SA"/>
    </w:rPr>
  </w:style>
  <w:style w:type="paragraph" w:styleId="2">
    <w:name w:val="heading 2"/>
    <w:basedOn w:val="1"/>
    <w:next w:val="1"/>
    <w:qFormat/>
    <w:uiPriority w:val="9"/>
    <w:pPr>
      <w:keepNext/>
      <w:keepLines/>
      <w:spacing w:before="260" w:after="260" w:line="416" w:lineRule="auto"/>
      <w:outlineLvl w:val="1"/>
    </w:pPr>
    <w:rPr>
      <w:rFonts w:ascii="Arial" w:hAnsi="Arial" w:eastAsia="黑体"/>
      <w:b/>
      <w:bCs/>
      <w:kern w:val="0"/>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footer"/>
    <w:basedOn w:val="1"/>
    <w:qFormat/>
    <w:uiPriority w:val="99"/>
    <w:pPr>
      <w:tabs>
        <w:tab w:val="center" w:pos="4153"/>
        <w:tab w:val="right" w:pos="8306"/>
      </w:tabs>
      <w:snapToGrid w:val="0"/>
      <w:jc w:val="left"/>
    </w:pPr>
    <w:rPr>
      <w:rFonts w:ascii="Times New Roman" w:eastAsia="宋体"/>
      <w:kern w:val="0"/>
      <w:sz w:val="18"/>
      <w:szCs w:val="18"/>
    </w:rPr>
  </w:style>
  <w:style w:type="paragraph" w:styleId="5">
    <w:name w:val="Subtitle"/>
    <w:basedOn w:val="1"/>
    <w:next w:val="1"/>
    <w:qFormat/>
    <w:uiPriority w:val="0"/>
    <w:pPr>
      <w:spacing w:before="240" w:after="60" w:line="312" w:lineRule="auto"/>
      <w:jc w:val="center"/>
      <w:outlineLvl w:val="1"/>
    </w:pPr>
    <w:rPr>
      <w:rFonts w:ascii="Cambria" w:hAnsi="Cambria" w:eastAsia="方正楷体简体"/>
      <w:bCs/>
      <w:kern w:val="28"/>
      <w:sz w:val="32"/>
      <w:szCs w:val="32"/>
    </w:rPr>
  </w:style>
  <w:style w:type="paragraph" w:styleId="6">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0">
    <w:name w:val="p0"/>
    <w:basedOn w:val="1"/>
    <w:qFormat/>
    <w:uiPriority w:val="0"/>
    <w:pPr>
      <w:widowControl/>
    </w:pPr>
    <w:rPr>
      <w:kern w:val="0"/>
      <w:szCs w:val="21"/>
    </w:rPr>
  </w:style>
  <w:style w:type="paragraph" w:customStyle="1" w:styleId="11">
    <w:name w:val="无间隔1"/>
    <w:next w:val="1"/>
    <w:qFormat/>
    <w:uiPriority w:val="99"/>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3322</Words>
  <Characters>3778</Characters>
  <Lines>0</Lines>
  <Paragraphs>0</Paragraphs>
  <TotalTime>0</TotalTime>
  <ScaleCrop>false</ScaleCrop>
  <LinksUpToDate>false</LinksUpToDate>
  <CharactersWithSpaces>4161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pcc</dc:creator>
  <cp:lastModifiedBy>Ta.</cp:lastModifiedBy>
  <dcterms:modified xsi:type="dcterms:W3CDTF">2024-08-26T07:43:10Z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92D5B18B8DF7426A8276EDA003377802_12</vt:lpwstr>
  </property>
</Properties>
</file>