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3B7F49">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内蒙古电力（集团）有限责任公司薛家湾供电分公司2024年8月第一批服务采购项目</w:t>
      </w:r>
      <w:r>
        <w:rPr>
          <w:rFonts w:hint="eastAsia" w:ascii="宋体" w:hAnsi="宋体" w:eastAsia="宋体" w:cs="宋体"/>
          <w:b/>
          <w:bCs/>
          <w:sz w:val="28"/>
          <w:szCs w:val="28"/>
          <w:lang w:val="en-US" w:eastAsia="zh-CN"/>
        </w:rPr>
        <w:t>询比采购</w:t>
      </w:r>
      <w:r>
        <w:rPr>
          <w:rFonts w:hint="eastAsia" w:ascii="宋体" w:hAnsi="宋体" w:eastAsia="宋体" w:cs="宋体"/>
          <w:b/>
          <w:bCs/>
          <w:sz w:val="28"/>
          <w:szCs w:val="28"/>
          <w:lang w:eastAsia="zh-CN"/>
        </w:rPr>
        <w:t>公告</w:t>
      </w:r>
    </w:p>
    <w:p w14:paraId="75D55704">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54632629"/>
      <w:bookmarkStart w:id="1" w:name="_Toc1489"/>
      <w:bookmarkStart w:id="2" w:name="_Toc495644242"/>
      <w:bookmarkStart w:id="3" w:name="_Toc13888"/>
      <w:bookmarkStart w:id="4" w:name="_Toc58406238"/>
      <w:bookmarkStart w:id="5" w:name="_Toc13556"/>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采购条件</w:t>
      </w:r>
      <w:r>
        <w:rPr>
          <w:rFonts w:hint="eastAsia" w:ascii="宋体" w:hAnsi="宋体" w:eastAsia="宋体" w:cs="宋体"/>
          <w:b/>
          <w:bCs w:val="0"/>
          <w:color w:val="auto"/>
          <w:sz w:val="24"/>
          <w:szCs w:val="24"/>
        </w:rPr>
        <w:t xml:space="preserve"> </w:t>
      </w:r>
    </w:p>
    <w:p w14:paraId="22335A0F">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内蒙古电力（集团）有限责任公司薛家湾供电分公司2024年8月第一批服务采购项目</w:t>
      </w:r>
      <w:r>
        <w:rPr>
          <w:rFonts w:hint="eastAsia" w:ascii="宋体" w:hAnsi="宋体" w:eastAsia="宋体" w:cs="宋体"/>
          <w:color w:val="auto"/>
          <w:sz w:val="24"/>
          <w:szCs w:val="24"/>
        </w:rPr>
        <w:t>组织</w:t>
      </w:r>
      <w:r>
        <w:rPr>
          <w:rFonts w:hint="eastAsia" w:ascii="宋体" w:hAnsi="宋体" w:eastAsia="宋体" w:cs="宋体"/>
          <w:color w:val="auto"/>
          <w:sz w:val="24"/>
          <w:szCs w:val="24"/>
          <w:lang w:val="en-US" w:eastAsia="zh-CN"/>
        </w:rPr>
        <w:t>询比</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。现将有关事宜公告如下：</w:t>
      </w:r>
    </w:p>
    <w:p w14:paraId="05B699FD">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22876"/>
      <w:bookmarkStart w:id="7" w:name="_Toc495644243"/>
      <w:bookmarkStart w:id="8" w:name="_Toc5564"/>
      <w:bookmarkStart w:id="9" w:name="_Toc13446"/>
      <w:bookmarkStart w:id="10" w:name="_Toc58406239"/>
      <w:bookmarkStart w:id="11" w:name="_Toc54632630"/>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p>
    <w:p w14:paraId="76179CE6">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eastAsia="zh-CN"/>
        </w:rPr>
        <w:t>采购项目编号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BHZB-FW-202403070</w:t>
      </w:r>
    </w:p>
    <w:p w14:paraId="7848D87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bCs/>
          <w:color w:val="auto"/>
          <w:sz w:val="24"/>
          <w:szCs w:val="24"/>
          <w:highlight w:val="none"/>
          <w:lang w:eastAsia="zh-CN"/>
        </w:rPr>
        <w:t>内蒙古电力（集团）有限责任公司薛家湾供电分公司2024年8月第一批服务采购项目</w:t>
      </w:r>
    </w:p>
    <w:p w14:paraId="7F2FDC20">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14:paraId="7913DC67">
      <w:pPr>
        <w:keepNext w:val="0"/>
        <w:keepLines w:val="0"/>
        <w:pageBreakBefore w:val="0"/>
        <w:widowControl w:val="0"/>
        <w:kinsoku/>
        <w:wordWrap/>
        <w:overflowPunct/>
        <w:topLinePunct w:val="0"/>
        <w:autoSpaceDE/>
        <w:autoSpaceDN/>
        <w:bidi w:val="0"/>
        <w:adjustRightInd/>
        <w:snapToGrid/>
        <w:spacing w:line="360" w:lineRule="auto"/>
        <w:ind w:right="0" w:rightChars="0" w:firstLine="964" w:firstLineChars="4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2.3.1第一标段：薛家湾供电公司2024年车辆北斗定位终端采购</w:t>
      </w:r>
    </w:p>
    <w:p w14:paraId="13AEAC57">
      <w:pPr>
        <w:pStyle w:val="2"/>
        <w:keepNext w:val="0"/>
        <w:keepLines w:val="0"/>
        <w:pageBreakBefore w:val="0"/>
        <w:widowControl w:val="0"/>
        <w:kinsoku/>
        <w:wordWrap/>
        <w:overflowPunct/>
        <w:topLinePunct w:val="0"/>
        <w:autoSpaceDE/>
        <w:autoSpaceDN/>
        <w:bidi w:val="0"/>
        <w:adjustRightInd/>
        <w:snapToGrid/>
        <w:spacing w:after="0" w:line="360" w:lineRule="auto"/>
        <w:ind w:firstLine="537" w:firstLineChars="223"/>
        <w:textAlignment w:val="auto"/>
        <w:rPr>
          <w:rFonts w:hint="eastAsia"/>
          <w:lang w:val="en-US" w:eastAsia="zh-CN"/>
        </w:rPr>
      </w:pPr>
      <w:r>
        <w:rPr>
          <w:rFonts w:hint="eastAsia" w:ascii="宋体" w:hAnsi="宋体" w:eastAsia="宋体" w:cs="宋体"/>
          <w:b/>
          <w:bCs/>
          <w:color w:val="auto"/>
          <w:sz w:val="24"/>
          <w:szCs w:val="24"/>
          <w:highlight w:val="none"/>
          <w:lang w:val="en-US" w:eastAsia="zh-CN"/>
        </w:rPr>
        <w:t>2.3.</w:t>
      </w:r>
      <w:r>
        <w:rPr>
          <w:rFonts w:hint="eastAsia" w:ascii="宋体" w:hAnsi="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val="en-US" w:eastAsia="zh-CN"/>
        </w:rPr>
        <w:t>第</w:t>
      </w:r>
      <w:r>
        <w:rPr>
          <w:rFonts w:hint="eastAsia" w:ascii="宋体" w:hAnsi="宋体" w:cs="宋体"/>
          <w:b/>
          <w:bCs/>
          <w:color w:val="auto"/>
          <w:sz w:val="24"/>
          <w:szCs w:val="24"/>
          <w:highlight w:val="none"/>
          <w:lang w:val="en-US" w:eastAsia="zh-CN"/>
        </w:rPr>
        <w:t>二</w:t>
      </w:r>
      <w:r>
        <w:rPr>
          <w:rFonts w:hint="eastAsia" w:ascii="宋体" w:hAnsi="宋体" w:eastAsia="宋体" w:cs="宋体"/>
          <w:b/>
          <w:bCs/>
          <w:color w:val="auto"/>
          <w:sz w:val="24"/>
          <w:szCs w:val="24"/>
          <w:highlight w:val="none"/>
          <w:lang w:val="en-US" w:eastAsia="zh-CN"/>
        </w:rPr>
        <w:t>标段：</w:t>
      </w:r>
      <w:r>
        <w:rPr>
          <w:rFonts w:hint="eastAsia" w:ascii="宋体" w:hAnsi="宋体" w:cs="宋体"/>
          <w:b/>
          <w:bCs/>
          <w:color w:val="auto"/>
          <w:sz w:val="24"/>
          <w:szCs w:val="24"/>
          <w:highlight w:val="none"/>
          <w:lang w:val="en-US" w:eastAsia="zh-CN"/>
        </w:rPr>
        <w:t>薛家湾供电公司2024年获得电力评价及典型经验提炼推广咨询服务项目</w:t>
      </w:r>
    </w:p>
    <w:p w14:paraId="5C3993AE">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529"/>
      <w:bookmarkStart w:id="13" w:name="_Toc495644244"/>
      <w:r>
        <w:rPr>
          <w:rFonts w:hint="eastAsia" w:ascii="宋体" w:hAnsi="宋体" w:eastAsia="宋体" w:cs="宋体"/>
          <w:color w:val="auto"/>
          <w:sz w:val="24"/>
          <w:szCs w:val="24"/>
          <w:highlight w:val="none"/>
          <w:lang w:eastAsia="zh-CN"/>
        </w:rPr>
        <w:t>内蒙古电力（集团）有限责任公司薛家湾供电分公司2024年8月第一批服务采购项目，具体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14:paraId="6D56A7AD">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lang w:eastAsia="zh-CN"/>
        </w:rPr>
        <w:t>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4349169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shd w:val="clear" w:color="auto" w:fill="auto"/>
          <w:lang w:eastAsia="zh-CN"/>
        </w:rPr>
        <w:t>采购人指定地点</w:t>
      </w:r>
    </w:p>
    <w:p w14:paraId="47284C6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2.7服务质量：</w:t>
      </w:r>
      <w:r>
        <w:rPr>
          <w:rFonts w:hint="eastAsia" w:ascii="宋体" w:hAnsi="宋体" w:eastAsia="宋体" w:cs="宋体"/>
          <w:bCs/>
          <w:color w:val="auto"/>
          <w:sz w:val="24"/>
          <w:szCs w:val="24"/>
          <w:highlight w:val="none"/>
          <w:lang w:val="en-US" w:eastAsia="zh-CN"/>
        </w:rPr>
        <w:t>达到国家及行业标准，满足采购人要求</w:t>
      </w:r>
    </w:p>
    <w:p w14:paraId="63044A6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14:paraId="6BAE0ADF">
      <w:pPr>
        <w:pageBreakBefore w:val="0"/>
        <w:kinsoku/>
        <w:wordWrap/>
        <w:overflowPunct/>
        <w:topLinePunct w:val="0"/>
        <w:bidi w:val="0"/>
        <w:snapToGrid/>
        <w:spacing w:line="360" w:lineRule="auto"/>
        <w:ind w:left="717" w:leftChars="140" w:right="0" w:rightChars="0" w:hanging="241" w:hangingChars="100"/>
        <w:textAlignment w:val="auto"/>
        <w:outlineLvl w:val="9"/>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14:paraId="69613783">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58406240"/>
      <w:bookmarkStart w:id="15" w:name="_Toc54632631"/>
      <w:bookmarkStart w:id="16" w:name="_Toc6120"/>
      <w:bookmarkStart w:id="17" w:name="_Toc8335"/>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14:paraId="6852C6AE">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54632632"/>
      <w:bookmarkStart w:id="19" w:name="_Toc58406241"/>
      <w:bookmarkStart w:id="20" w:name="_Toc11915"/>
      <w:bookmarkStart w:id="21" w:name="_Toc23506"/>
      <w:bookmarkStart w:id="22" w:name="_Toc58406242"/>
      <w:bookmarkStart w:id="23" w:name="_Toc54632633"/>
      <w:bookmarkStart w:id="24" w:name="_Toc20511"/>
      <w:bookmarkStart w:id="25" w:name="_Toc13086"/>
      <w:r>
        <w:rPr>
          <w:rFonts w:hint="eastAsia" w:ascii="宋体" w:hAnsi="宋体" w:eastAsia="宋体" w:cs="宋体"/>
          <w:b/>
          <w:bCs w:val="0"/>
          <w:color w:val="auto"/>
          <w:sz w:val="24"/>
          <w:szCs w:val="24"/>
        </w:rPr>
        <w:t>3.1通用资格要求</w:t>
      </w:r>
      <w:bookmarkEnd w:id="18"/>
      <w:bookmarkEnd w:id="19"/>
      <w:bookmarkEnd w:id="20"/>
      <w:bookmarkEnd w:id="21"/>
    </w:p>
    <w:p w14:paraId="0888F271">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14:paraId="54EF5AAC">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3.1.2供应商须为增值税一般纳税人(提供增值税一般纳税人资格证明材料)并在人员、设备、资金、等方面具有保障如期服务等承担采购项目的能力；</w:t>
      </w:r>
    </w:p>
    <w:p w14:paraId="1F9C9883">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14:paraId="6D1992EA">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14:paraId="7C2FA2BD">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14:paraId="04105F23">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14:paraId="41CCCC0C">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14:paraId="1AD8F75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14:paraId="6E516B18">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14:paraId="2ACFC674">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3.1.10联合体竞标：不接受联合体投标</w:t>
      </w:r>
      <w:bookmarkStart w:id="63" w:name="_GoBack"/>
      <w:bookmarkEnd w:id="63"/>
      <w:r>
        <w:rPr>
          <w:rFonts w:hint="eastAsia" w:ascii="宋体" w:hAnsi="宋体" w:eastAsia="宋体" w:cs="宋体"/>
          <w:b/>
          <w:bCs/>
          <w:color w:val="auto"/>
          <w:sz w:val="24"/>
          <w:szCs w:val="24"/>
          <w:lang w:val="en-US" w:eastAsia="zh-CN"/>
        </w:rPr>
        <w:t>。</w:t>
      </w:r>
    </w:p>
    <w:p w14:paraId="70175D51">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14058"/>
      <w:bookmarkStart w:id="27" w:name="_Toc54632634"/>
      <w:bookmarkStart w:id="28" w:name="_Toc11301"/>
      <w:bookmarkStart w:id="29" w:name="_Toc58406243"/>
      <w:r>
        <w:rPr>
          <w:rFonts w:hint="eastAsia" w:ascii="宋体" w:hAnsi="宋体" w:eastAsia="宋体" w:cs="宋体"/>
          <w:b/>
          <w:bCs w:val="0"/>
          <w:color w:val="auto"/>
          <w:sz w:val="24"/>
          <w:szCs w:val="24"/>
          <w:lang w:val="en-US" w:eastAsia="zh-CN"/>
        </w:rPr>
        <w:t xml:space="preserve"> </w:t>
      </w:r>
    </w:p>
    <w:p w14:paraId="1CE7939E">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14:paraId="636D852C">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14:paraId="07054BA4">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14:paraId="3DDCD043">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highlight w:val="none"/>
        </w:rPr>
        <w:t>4.2本项目实行在线报名</w:t>
      </w:r>
      <w:r>
        <w:rPr>
          <w:rFonts w:hint="eastAsia" w:ascii="宋体" w:hAnsi="宋体" w:eastAsia="宋体" w:cs="宋体"/>
          <w:sz w:val="24"/>
          <w:szCs w:val="24"/>
          <w:highlight w:val="none"/>
          <w:lang w:val="en-US" w:eastAsia="zh-CN"/>
        </w:rPr>
        <w:t>和下载</w:t>
      </w:r>
      <w:r>
        <w:rPr>
          <w:rFonts w:hint="eastAsia" w:ascii="宋体" w:hAnsi="宋体" w:eastAsia="宋体" w:cs="宋体"/>
          <w:sz w:val="24"/>
          <w:szCs w:val="24"/>
          <w:highlight w:val="none"/>
          <w:lang w:eastAsia="zh-CN"/>
        </w:rPr>
        <w:t>采购文件</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2024年0</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21</w:t>
      </w:r>
      <w:r>
        <w:rPr>
          <w:rFonts w:hint="eastAsia" w:ascii="宋体" w:hAnsi="宋体" w:eastAsia="宋体" w:cs="宋体"/>
          <w:sz w:val="24"/>
          <w:szCs w:val="24"/>
          <w:highlight w:val="none"/>
          <w:lang w:eastAsia="zh-CN"/>
        </w:rPr>
        <w:t>日至2024年0</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27</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14:paraId="0FC37636">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14:paraId="771E7819">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14:paraId="4E37FC83">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14:paraId="5B4932E8">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14:paraId="30B34005">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14:paraId="5DF31A93">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58BC9F71">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14:paraId="2446CE28">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14:paraId="2C3CD76A">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14:paraId="58469BDD">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14:paraId="5D18427F">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14:paraId="45203E81">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4.3.6供应商及其法定代表人在“中国执行信息公开网”（省份选择全部）（http://zxgk.court.gov.cn/shixin/）”查询显示未被列入失信被执行人名单查询结果截图；(详见公告附件3)</w:t>
      </w:r>
    </w:p>
    <w:p w14:paraId="4917077D">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14:paraId="3A51F7D0">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14:paraId="239288EC">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14:paraId="416F6D08">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14:paraId="750F0D4A">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14:paraId="5A7929E3">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14:paraId="6743AD6E">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14:paraId="21302AC1">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14:paraId="345F46C1">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14:paraId="668CA564">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54632635"/>
      <w:bookmarkStart w:id="32" w:name="_Toc495645074"/>
      <w:bookmarkStart w:id="33" w:name="_Toc11424"/>
      <w:bookmarkStart w:id="34" w:name="_Toc58406244"/>
      <w:bookmarkStart w:id="35" w:name="_Toc21923"/>
      <w:bookmarkStart w:id="36" w:name="_Toc19515"/>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14:paraId="130F1AA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14:paraId="7A41FF4C">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27D75824">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11300"/>
      <w:bookmarkStart w:id="39" w:name="_Toc58406245"/>
      <w:bookmarkStart w:id="40" w:name="_Toc26010"/>
      <w:bookmarkStart w:id="41" w:name="_Toc54632636"/>
      <w:r>
        <w:rPr>
          <w:rFonts w:hint="eastAsia" w:ascii="宋体" w:hAnsi="宋体" w:eastAsia="宋体" w:cs="宋体"/>
          <w:b/>
          <w:bCs w:val="0"/>
          <w:color w:val="auto"/>
          <w:sz w:val="24"/>
          <w:szCs w:val="24"/>
        </w:rPr>
        <w:t>6.资格审查：</w:t>
      </w:r>
      <w:bookmarkEnd w:id="37"/>
      <w:bookmarkEnd w:id="38"/>
      <w:bookmarkEnd w:id="39"/>
      <w:bookmarkEnd w:id="40"/>
      <w:bookmarkEnd w:id="41"/>
    </w:p>
    <w:p w14:paraId="5B419FBA">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14:paraId="59619D10">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58406246"/>
      <w:bookmarkStart w:id="43" w:name="_Toc54632637"/>
      <w:bookmarkStart w:id="44" w:name="_Toc26331"/>
      <w:bookmarkStart w:id="45" w:name="_Toc260"/>
      <w:bookmarkStart w:id="46" w:name="_Toc4184"/>
      <w:r>
        <w:rPr>
          <w:rFonts w:hint="eastAsia" w:ascii="宋体" w:hAnsi="宋体" w:eastAsia="宋体" w:cs="宋体"/>
          <w:b/>
          <w:bCs w:val="0"/>
          <w:color w:val="auto"/>
          <w:sz w:val="24"/>
          <w:szCs w:val="24"/>
        </w:rPr>
        <w:t>7.截标及开标时间：</w:t>
      </w:r>
      <w:bookmarkEnd w:id="42"/>
      <w:bookmarkEnd w:id="43"/>
      <w:bookmarkEnd w:id="44"/>
      <w:bookmarkEnd w:id="45"/>
      <w:bookmarkEnd w:id="46"/>
    </w:p>
    <w:p w14:paraId="2966C50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5776"/>
      <w:bookmarkStart w:id="48" w:name="_Toc58406247"/>
      <w:bookmarkStart w:id="49" w:name="_Toc24008"/>
      <w:bookmarkStart w:id="50" w:name="_Toc54632638"/>
      <w:bookmarkStart w:id="51" w:name="_Toc8804"/>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2024年08月21日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2024年09月03日上午9:00</w:t>
      </w:r>
    </w:p>
    <w:p w14:paraId="31B8A02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2024年09月03日上午9:00</w:t>
      </w:r>
    </w:p>
    <w:p w14:paraId="04A4B7F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2024年09月03日上午9:00</w:t>
      </w:r>
    </w:p>
    <w:p w14:paraId="68A90A0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2024年09月03日上午9:00</w:t>
      </w:r>
    </w:p>
    <w:p w14:paraId="49C67386">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14:paraId="4F3E81C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14:paraId="4E5D6BFD">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14:paraId="63C20B4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14:paraId="0707308C">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14:paraId="0AA9480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14:paraId="7352009E">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14:paraId="3A5BC90B">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14:paraId="3798FF4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w:t>
      </w:r>
      <w:r>
        <w:rPr>
          <w:rFonts w:hint="eastAsia" w:ascii="宋体" w:hAnsi="宋体" w:eastAsia="宋体" w:cs="宋体"/>
          <w:color w:val="auto"/>
          <w:sz w:val="24"/>
          <w:szCs w:val="24"/>
          <w:highlight w:val="none"/>
        </w:rPr>
        <w:t>分钟等候在电脑前准备参加文件解密，需保持电脑网络通畅）。</w:t>
      </w:r>
    </w:p>
    <w:p w14:paraId="33DA516E">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开标现场地点：内蒙古产权交易中心有限责任公司开标室</w:t>
      </w:r>
    </w:p>
    <w:p w14:paraId="7C92E96D">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p>
    <w:p w14:paraId="36E18412">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31919E07">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3" w:name="_Toc23124"/>
      <w:bookmarkStart w:id="54" w:name="_Toc58406248"/>
      <w:bookmarkStart w:id="55" w:name="_Toc18343"/>
      <w:bookmarkStart w:id="56" w:name="_Toc54632639"/>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2"/>
      <w:bookmarkEnd w:id="53"/>
      <w:bookmarkEnd w:id="54"/>
      <w:bookmarkEnd w:id="55"/>
      <w:bookmarkEnd w:id="56"/>
    </w:p>
    <w:p w14:paraId="4CE63482">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7" w:name="_Toc495645075"/>
      <w:bookmarkStart w:id="58" w:name="_Toc13484"/>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8"/>
        <w:gridCol w:w="4850"/>
      </w:tblGrid>
      <w:tr w14:paraId="0CF02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C8AE519">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14:paraId="432FC5D8">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14:paraId="59E4B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B00E27B">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14:paraId="5680C296">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14:paraId="3B7D6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47E1314F">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14:paraId="6F298805">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14:paraId="3A554F70">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成交单位需向内蒙古产权交易中心有限责任公司招标管理部门缴纳交易服务费的，收取办法为:①成交金额大于500000元(50万元)按成交价的1‰收取，成交金额低于500000元(50万元)按500.00元收取。②框架采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入围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单价类等无固定成交总价</w:t>
      </w:r>
      <w:r>
        <w:rPr>
          <w:rFonts w:hint="eastAsia" w:ascii="宋体" w:hAnsi="宋体" w:eastAsia="宋体" w:cs="宋体"/>
          <w:color w:val="auto"/>
          <w:sz w:val="24"/>
          <w:szCs w:val="24"/>
          <w:highlight w:val="none"/>
        </w:rPr>
        <w:t>的成交单位，场地交易服务费为1000元/标段/次。场地交易服务费缴纳方式为公对公转账。</w:t>
      </w:r>
    </w:p>
    <w:p w14:paraId="1B1FCDA5">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14:paraId="754AADB0">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收款单位名称:内蒙古产权交易中心有限责任公司</w:t>
      </w:r>
    </w:p>
    <w:p w14:paraId="29AF8BE5">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开户行:华夏银行呼和浩特分行营业部</w:t>
      </w:r>
    </w:p>
    <w:p w14:paraId="4E5AB00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账号:5830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2000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0181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9100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0311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31</w:t>
      </w:r>
    </w:p>
    <w:p w14:paraId="197AE3C5">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开户行行号:304191001951</w:t>
      </w:r>
    </w:p>
    <w:p w14:paraId="71B53B1E">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联系方式:</w:t>
      </w:r>
    </w:p>
    <w:p w14:paraId="797DD9C2">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交易场所:内蒙古产权交易中心有限责任公司</w:t>
      </w:r>
    </w:p>
    <w:p w14:paraId="1B29A857">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14:paraId="15DCDE22">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开票咨询:</w:t>
      </w:r>
      <w:r>
        <w:rPr>
          <w:rFonts w:hint="eastAsia" w:ascii="宋体" w:hAnsi="宋体" w:eastAsia="宋体" w:cs="宋体"/>
          <w:color w:val="auto"/>
          <w:sz w:val="24"/>
          <w:szCs w:val="24"/>
          <w:highlight w:val="none"/>
          <w:lang w:val="en-US" w:eastAsia="zh-CN"/>
        </w:rPr>
        <w:t>0471-3473014</w:t>
      </w:r>
    </w:p>
    <w:p w14:paraId="70200A55">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lang w:eastAsia="zh-CN"/>
        </w:rPr>
        <w:t>中标单位将交易服务费汇到产权指定账户后请将汇款凭证发至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lang w:eastAsia="zh-CN"/>
        </w:rPr>
        <w:t>的邮箱之后携带</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lang w:eastAsia="zh-CN"/>
        </w:rPr>
        <w:t>通知书及产权交易费收据到产权交易中心开具产权交易费发票。</w:t>
      </w:r>
    </w:p>
    <w:p w14:paraId="4297B9D0">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14:paraId="65DEA010">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成交供应商</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14:paraId="6DDCC474">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14:paraId="1A296A5A">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14:paraId="693DF9EF">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58406249"/>
      <w:bookmarkStart w:id="60" w:name="_Toc8695"/>
      <w:bookmarkStart w:id="61" w:name="_Toc32527"/>
      <w:bookmarkStart w:id="62" w:name="_Toc54632640"/>
      <w:r>
        <w:rPr>
          <w:rFonts w:hint="eastAsia" w:ascii="宋体" w:hAnsi="宋体" w:eastAsia="宋体" w:cs="宋体"/>
          <w:b/>
          <w:bCs w:val="0"/>
          <w:color w:val="auto"/>
          <w:sz w:val="24"/>
          <w:szCs w:val="24"/>
        </w:rPr>
        <w:t>10.发布公告的媒介</w:t>
      </w:r>
      <w:bookmarkEnd w:id="57"/>
      <w:bookmarkEnd w:id="58"/>
      <w:bookmarkEnd w:id="59"/>
      <w:bookmarkEnd w:id="60"/>
      <w:bookmarkEnd w:id="61"/>
      <w:bookmarkEnd w:id="62"/>
    </w:p>
    <w:p w14:paraId="0A7A9D7A">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14:paraId="7048D378">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14:paraId="069A166F">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14:paraId="5FB9AA2A">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杨扬</w:t>
      </w:r>
    </w:p>
    <w:p w14:paraId="68A32758">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14:paraId="35ADC5AA">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14:paraId="0CD41B8E">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14:paraId="6D9E660A">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14:paraId="29F8EAA3">
      <w:pPr>
        <w:keepNext w:val="0"/>
        <w:keepLines w:val="0"/>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14:paraId="13D80ADF">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r>
        <w:rPr>
          <w:rFonts w:hint="eastAsia" w:ascii="宋体" w:hAnsi="宋体" w:eastAsia="宋体" w:cs="宋体"/>
          <w:color w:val="auto"/>
          <w:sz w:val="24"/>
          <w:szCs w:val="24"/>
          <w:lang w:val="en-US" w:eastAsia="zh-CN"/>
        </w:rPr>
        <w:t>贾博</w:t>
      </w:r>
    </w:p>
    <w:p w14:paraId="761E49AD">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14:paraId="5ED404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1"/>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14:paraId="2EEC35E5">
      <w:pPr>
        <w:pStyle w:val="2"/>
        <w:rPr>
          <w:rFonts w:hint="eastAsia" w:ascii="宋体" w:hAnsi="宋体" w:eastAsia="宋体" w:cs="宋体"/>
          <w:color w:val="auto"/>
          <w:sz w:val="24"/>
          <w:szCs w:val="24"/>
          <w:u w:val="none"/>
          <w:lang w:val="en-US" w:eastAsia="zh-CN"/>
        </w:rPr>
      </w:pPr>
    </w:p>
    <w:p w14:paraId="2D02AF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异议受理电话</w:t>
      </w:r>
      <w:r>
        <w:rPr>
          <w:rFonts w:hint="eastAsia" w:ascii="宋体" w:hAnsi="宋体" w:eastAsia="宋体" w:cs="宋体"/>
          <w:color w:val="auto"/>
          <w:sz w:val="24"/>
          <w:szCs w:val="24"/>
          <w:lang w:val="en-US" w:eastAsia="zh-CN"/>
        </w:rPr>
        <w:t>：0477-4298902</w:t>
      </w:r>
    </w:p>
    <w:p w14:paraId="2A7B5E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异议受理</w:t>
      </w:r>
      <w:r>
        <w:rPr>
          <w:rFonts w:hint="eastAsia" w:ascii="宋体" w:hAnsi="宋体" w:eastAsia="宋体" w:cs="宋体"/>
          <w:color w:val="auto"/>
          <w:sz w:val="24"/>
          <w:szCs w:val="24"/>
          <w:lang w:val="en-US" w:eastAsia="zh-CN"/>
        </w:rPr>
        <w:t>邮箱：</w:t>
      </w:r>
      <w:r>
        <w:rPr>
          <w:rFonts w:hint="default" w:ascii="宋体" w:hAnsi="宋体" w:eastAsia="宋体" w:cs="宋体"/>
          <w:color w:val="auto"/>
          <w:sz w:val="24"/>
          <w:szCs w:val="24"/>
          <w:lang w:val="en-US" w:eastAsia="zh-CN"/>
        </w:rPr>
        <w:t>1422289059@qq.com</w:t>
      </w:r>
    </w:p>
    <w:p w14:paraId="18F5722A">
      <w:pPr>
        <w:rPr>
          <w:rFonts w:hint="eastAsia"/>
          <w:lang w:val="en-US" w:eastAsia="zh-CN"/>
        </w:rPr>
      </w:pPr>
    </w:p>
    <w:p w14:paraId="0A3C7A1B">
      <w:pPr>
        <w:pStyle w:val="2"/>
        <w:rPr>
          <w:rFonts w:hint="eastAsia" w:ascii="宋体" w:hAnsi="宋体" w:cs="宋体"/>
          <w:color w:val="auto"/>
          <w:sz w:val="24"/>
          <w:szCs w:val="24"/>
          <w:u w:val="none"/>
          <w:lang w:val="en-US" w:eastAsia="zh-CN"/>
        </w:rPr>
      </w:pPr>
    </w:p>
    <w:p w14:paraId="1DA6A9C2">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2024年08月21日</w:t>
      </w: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4"/>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mZWNkNmQzZGIxOWUzY2MyNTY3ZjdiZDkxYTkzZWEifQ=="/>
  </w:docVars>
  <w:rsids>
    <w:rsidRoot w:val="7772748D"/>
    <w:rsid w:val="010057A3"/>
    <w:rsid w:val="031D5B6C"/>
    <w:rsid w:val="04976AB4"/>
    <w:rsid w:val="19BB266E"/>
    <w:rsid w:val="1A3459B1"/>
    <w:rsid w:val="1CAD6757"/>
    <w:rsid w:val="1DF934E2"/>
    <w:rsid w:val="1EF678D4"/>
    <w:rsid w:val="21355E10"/>
    <w:rsid w:val="21CD170A"/>
    <w:rsid w:val="228F6F6D"/>
    <w:rsid w:val="22B728F0"/>
    <w:rsid w:val="23F60F2C"/>
    <w:rsid w:val="247A30DC"/>
    <w:rsid w:val="25182E10"/>
    <w:rsid w:val="25FF71D6"/>
    <w:rsid w:val="27405E86"/>
    <w:rsid w:val="28034E23"/>
    <w:rsid w:val="2E2D48D0"/>
    <w:rsid w:val="2F7C027D"/>
    <w:rsid w:val="2F96115D"/>
    <w:rsid w:val="31E5367C"/>
    <w:rsid w:val="37494A6F"/>
    <w:rsid w:val="3D226774"/>
    <w:rsid w:val="3E10103E"/>
    <w:rsid w:val="3F530D31"/>
    <w:rsid w:val="46C82F3F"/>
    <w:rsid w:val="4A657F68"/>
    <w:rsid w:val="4A8F7C01"/>
    <w:rsid w:val="51D145DA"/>
    <w:rsid w:val="527F516E"/>
    <w:rsid w:val="52FC5D6F"/>
    <w:rsid w:val="545F73DB"/>
    <w:rsid w:val="556852F0"/>
    <w:rsid w:val="55BD6551"/>
    <w:rsid w:val="572A0D2E"/>
    <w:rsid w:val="580C3A41"/>
    <w:rsid w:val="61655C0B"/>
    <w:rsid w:val="657B4CDE"/>
    <w:rsid w:val="66F73D06"/>
    <w:rsid w:val="67D01C6F"/>
    <w:rsid w:val="684516D2"/>
    <w:rsid w:val="6C602202"/>
    <w:rsid w:val="6DC41FBE"/>
    <w:rsid w:val="6EA45A27"/>
    <w:rsid w:val="72A51148"/>
    <w:rsid w:val="7496333C"/>
    <w:rsid w:val="7772748D"/>
    <w:rsid w:val="7D380D29"/>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autoRedefine/>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autoRedefine/>
    <w:qFormat/>
    <w:uiPriority w:val="0"/>
    <w:pPr>
      <w:ind w:firstLine="830" w:firstLineChars="352"/>
    </w:pPr>
    <w:rPr>
      <w:rFonts w:ascii="仿宋_GB2312" w:eastAsia="仿宋_GB2312"/>
      <w:sz w:val="32"/>
      <w:szCs w:val="20"/>
    </w:rPr>
  </w:style>
  <w:style w:type="paragraph" w:styleId="4">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paragraph" w:styleId="5">
    <w:name w:val="annotation text"/>
    <w:basedOn w:val="1"/>
    <w:next w:val="3"/>
    <w:autoRedefine/>
    <w:semiHidden/>
    <w:qFormat/>
    <w:uiPriority w:val="0"/>
    <w:pPr>
      <w:jc w:val="left"/>
    </w:pPr>
  </w:style>
  <w:style w:type="paragraph" w:styleId="6">
    <w:name w:val="Body Text Indent 2"/>
    <w:basedOn w:val="1"/>
    <w:next w:val="5"/>
    <w:autoRedefine/>
    <w:qFormat/>
    <w:uiPriority w:val="0"/>
    <w:pPr>
      <w:spacing w:after="120" w:line="480" w:lineRule="auto"/>
      <w:ind w:left="420" w:leftChars="200"/>
    </w:pPr>
  </w:style>
  <w:style w:type="paragraph" w:styleId="7">
    <w:name w:val="toc 2"/>
    <w:basedOn w:val="1"/>
    <w:next w:val="1"/>
    <w:autoRedefine/>
    <w:qFormat/>
    <w:uiPriority w:val="39"/>
    <w:pPr>
      <w:tabs>
        <w:tab w:val="right" w:leader="dot" w:pos="8834"/>
      </w:tabs>
      <w:ind w:left="420" w:leftChars="200"/>
    </w:pPr>
    <w:rPr>
      <w:rFonts w:ascii="黑体" w:eastAsia="黑体"/>
      <w:sz w:val="28"/>
      <w:szCs w:val="28"/>
    </w:rPr>
  </w:style>
  <w:style w:type="table" w:styleId="9">
    <w:name w:val="Table Grid"/>
    <w:basedOn w:val="8"/>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autoRedefine/>
    <w:qFormat/>
    <w:uiPriority w:val="99"/>
    <w:rPr>
      <w:color w:val="0000FF"/>
      <w:u w:val="single"/>
    </w:rPr>
  </w:style>
  <w:style w:type="paragraph" w:customStyle="1" w:styleId="12">
    <w:name w:val="p16"/>
    <w:basedOn w:val="1"/>
    <w:next w:val="7"/>
    <w:autoRedefine/>
    <w:qFormat/>
    <w:uiPriority w:val="0"/>
    <w:pPr>
      <w:widowControl/>
    </w:pPr>
    <w:rPr>
      <w:rFonts w:ascii="Calibri" w:hAnsi="Calibri" w:cs="宋体"/>
      <w:kern w:val="0"/>
      <w:szCs w:val="21"/>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4217</Words>
  <Characters>4994</Characters>
  <Lines>0</Lines>
  <Paragraphs>0</Paragraphs>
  <TotalTime>7</TotalTime>
  <ScaleCrop>false</ScaleCrop>
  <LinksUpToDate>false</LinksUpToDate>
  <CharactersWithSpaces>5019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 当初.</cp:lastModifiedBy>
  <cp:lastPrinted>2024-05-23T08:47:00Z</cp:lastPrinted>
  <dcterms:modified xsi:type="dcterms:W3CDTF">2024-08-21T08:09:17Z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CE56E1533FEA410BBD372C2AAA751B08_13</vt:lpwstr>
  </property>
</Properties>
</file>