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2024年4月第二批货物采购项目（二次）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556"/>
      <w:bookmarkStart w:id="1" w:name="_Toc13888"/>
      <w:bookmarkStart w:id="2" w:name="_Toc495644242"/>
      <w:bookmarkStart w:id="3" w:name="_Toc54632629"/>
      <w:bookmarkStart w:id="4" w:name="_Toc58406238"/>
      <w:bookmarkStart w:id="5" w:name="_Toc148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内蒙古电力(集团)有限责任公司薛家湾供电分公司2024年4月第二批货物采购项目（二次）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495644243"/>
      <w:bookmarkStart w:id="7" w:name="_Toc54632630"/>
      <w:bookmarkStart w:id="8" w:name="_Toc13446"/>
      <w:bookmarkStart w:id="9" w:name="_Toc58406239"/>
      <w:bookmarkStart w:id="10" w:name="_Toc5564"/>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:BHZB-HW-202403035</w:t>
      </w:r>
      <w:r>
        <w:rPr>
          <w:rFonts w:hint="eastAsia" w:ascii="宋体" w:hAnsi="宋体" w:eastAsia="宋体" w:cs="宋体"/>
          <w:color w:val="auto"/>
          <w:sz w:val="24"/>
          <w:szCs w:val="24"/>
          <w:lang w:eastAsia="zh-CN"/>
        </w:rPr>
        <w:t>（二次）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内蒙古电力(集团)有限责任公司薛家湾供电分公司2024年4月第二批货物采购项目（二次）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H9：装置性材料-金具</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内蒙古电力(集团)有限责任公司薛家湾供电分公司2024年4月第二批货物采购项目（二次），具体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5840624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54632632"/>
      <w:bookmarkStart w:id="20" w:name="_Toc23506"/>
      <w:bookmarkStart w:id="21" w:name="_Toc11915"/>
      <w:bookmarkStart w:id="22" w:name="_Toc58406242"/>
      <w:bookmarkStart w:id="23" w:name="_Toc13086"/>
      <w:bookmarkStart w:id="24" w:name="_Toc54632633"/>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3.1.10联合体投标：不接受联合体投标。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8406243"/>
      <w:bookmarkStart w:id="27" w:name="_Toc11301"/>
      <w:bookmarkStart w:id="28" w:name="_Toc14058"/>
      <w:bookmarkStart w:id="29" w:name="_Toc54632634"/>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06月12日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06月18日9:00-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w:t>
      </w:r>
      <w:r>
        <w:rPr>
          <w:rFonts w:hint="eastAsia" w:ascii="宋体" w:hAnsi="宋体" w:eastAsia="宋体" w:cs="宋体"/>
          <w:bCs/>
          <w:spacing w:val="-6"/>
          <w:sz w:val="24"/>
          <w:szCs w:val="24"/>
        </w:rPr>
        <w:t>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54632635"/>
      <w:bookmarkStart w:id="33" w:name="_Toc495645074"/>
      <w:bookmarkStart w:id="34" w:name="_Toc58406244"/>
      <w:bookmarkStart w:id="35" w:name="_Toc19515"/>
      <w:bookmarkStart w:id="36" w:name="_Toc21923"/>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11300"/>
      <w:bookmarkStart w:id="40" w:name="_Toc58406245"/>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4184"/>
      <w:bookmarkStart w:id="44" w:name="_Toc260"/>
      <w:bookmarkStart w:id="45" w:name="_Toc26331"/>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54632638"/>
      <w:bookmarkStart w:id="49" w:name="_Toc8804"/>
      <w:bookmarkStart w:id="50" w:name="_Toc24008"/>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06月12日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53" w:name="_Toc13484"/>
      <w:bookmarkStart w:id="54" w:name="_Toc495645075"/>
      <w:r>
        <w:rPr>
          <w:rFonts w:hint="eastAsia" w:ascii="宋体" w:hAnsi="宋体" w:eastAsia="宋体" w:cs="宋体"/>
          <w:b/>
          <w:bCs/>
          <w:color w:val="auto"/>
          <w:sz w:val="24"/>
          <w:szCs w:val="24"/>
          <w:highlight w:val="none"/>
          <w:lang w:val="en-US" w:eastAsia="zh-CN"/>
        </w:rPr>
        <w:t>开标地点:内蒙古产权交易中心包头采购服务平台场所6楼开标室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地址:内蒙古自治区包头市青山区稀土开发区黄河大街83号甲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18343"/>
      <w:bookmarkStart w:id="56" w:name="_Toc54632639"/>
      <w:bookmarkStart w:id="57" w:name="_Toc23124"/>
      <w:bookmarkStart w:id="58"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交易场所:内蒙古产权交易中心包头采购服务平台场所</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项目负责人:赵工</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开票咨询:0472-6140115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8695"/>
      <w:bookmarkStart w:id="61" w:name="_Toc58406249"/>
      <w:bookmarkStart w:id="62" w:name="_Toc54632640"/>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本项目联系地址：</w:t>
      </w:r>
      <w:r>
        <w:rPr>
          <w:rFonts w:hint="eastAsia" w:ascii="宋体" w:hAnsi="宋体" w:eastAsia="宋体" w:cs="宋体"/>
          <w:color w:val="auto"/>
          <w:spacing w:val="0"/>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2024年06月1</w:t>
      </w:r>
      <w:r>
        <w:rPr>
          <w:rFonts w:hint="eastAsia" w:ascii="宋体" w:hAnsi="宋体" w:cs="宋体"/>
          <w:b w:val="0"/>
          <w:bCs w:val="0"/>
          <w:color w:val="auto"/>
          <w:kern w:val="2"/>
          <w:sz w:val="24"/>
          <w:szCs w:val="24"/>
          <w:highlight w:val="none"/>
          <w:lang w:val="en-US" w:eastAsia="zh-CN" w:bidi="ar-SA"/>
        </w:rPr>
        <w:t>2</w:t>
      </w:r>
      <w:bookmarkStart w:id="63" w:name="_GoBack"/>
      <w:bookmarkEnd w:id="63"/>
      <w:r>
        <w:rPr>
          <w:rFonts w:hint="default"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13D54C8A"/>
    <w:rsid w:val="16C55DE1"/>
    <w:rsid w:val="19BB266E"/>
    <w:rsid w:val="1DF934E2"/>
    <w:rsid w:val="1EF678D4"/>
    <w:rsid w:val="228F6F6D"/>
    <w:rsid w:val="22B728F0"/>
    <w:rsid w:val="23F60F2C"/>
    <w:rsid w:val="25182E10"/>
    <w:rsid w:val="25444E6D"/>
    <w:rsid w:val="27405E86"/>
    <w:rsid w:val="28034E23"/>
    <w:rsid w:val="2E2D48D0"/>
    <w:rsid w:val="2F7C027D"/>
    <w:rsid w:val="31E5367C"/>
    <w:rsid w:val="37494A6F"/>
    <w:rsid w:val="3D226774"/>
    <w:rsid w:val="3E10103E"/>
    <w:rsid w:val="449222B7"/>
    <w:rsid w:val="46C82F3F"/>
    <w:rsid w:val="4A657F68"/>
    <w:rsid w:val="52FC5D6F"/>
    <w:rsid w:val="545F73DB"/>
    <w:rsid w:val="54D1264A"/>
    <w:rsid w:val="556852F0"/>
    <w:rsid w:val="55BD6551"/>
    <w:rsid w:val="572A0D2E"/>
    <w:rsid w:val="580C3A41"/>
    <w:rsid w:val="58D61EDC"/>
    <w:rsid w:val="59625D4F"/>
    <w:rsid w:val="5CC23886"/>
    <w:rsid w:val="61655C0B"/>
    <w:rsid w:val="657B4CDE"/>
    <w:rsid w:val="66F73D06"/>
    <w:rsid w:val="67D01C6F"/>
    <w:rsid w:val="6C831162"/>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4253</Words>
  <Characters>4996</Characters>
  <Lines>0</Lines>
  <Paragraphs>0</Paragraphs>
  <TotalTime>0</TotalTime>
  <ScaleCrop>false</ScaleCrop>
  <LinksUpToDate>false</LinksUpToDate>
  <CharactersWithSpaces>5025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郭申昱</cp:lastModifiedBy>
  <dcterms:modified xsi:type="dcterms:W3CDTF">2024-06-11T09:23:50Z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9C12DD0A6C0649FB9CBF7CF272EDE679_13</vt:lpwstr>
  </property>
</Properties>
</file>