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left="0" w:leftChars="0" w:firstLine="0" w:firstLineChars="0"/>
        <w:jc w:val="both"/>
        <w:rPr>
          <w:rFonts w:hint="eastAsia" w:ascii="Calibri" w:hAnsi="Calibri" w:eastAsia="宋体" w:cs="Times New Roman"/>
          <w:kern w:val="2"/>
          <w:sz w:val="18"/>
          <w:szCs w:val="24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3"/>
        <w:tblW w:w="101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"/>
        <w:gridCol w:w="944"/>
        <w:gridCol w:w="1614"/>
        <w:gridCol w:w="749"/>
        <w:gridCol w:w="320"/>
        <w:gridCol w:w="972"/>
        <w:gridCol w:w="975"/>
        <w:gridCol w:w="405"/>
        <w:gridCol w:w="615"/>
        <w:gridCol w:w="1135"/>
        <w:gridCol w:w="1033"/>
        <w:gridCol w:w="8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标段1（业务外委）</w:t>
            </w:r>
          </w:p>
        </w:tc>
        <w:tc>
          <w:tcPr>
            <w:tcW w:w="9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主网工程现场管理业务外委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500千伏项目部安全管理业务2项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25535.66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25535.66 </w:t>
            </w:r>
          </w:p>
        </w:tc>
        <w:tc>
          <w:tcPr>
            <w:tcW w:w="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500千伏项目部技术管理业务2项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19973.20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19973.20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500千伏项目部资料管理业务2项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17191.96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17191.96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500千伏项目部后勤管理业务1项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6510.06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6510.06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220千伏及以下项目部安全管理业务1项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12767.83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12767.83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220千伏及以下项目部技术管理业务1项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9986.60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9986.60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220千伏及以下项目部资料管理业务1项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8595.98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8595.98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220千伏及以下项目部后勤管理业务1项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6510.06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6510.06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配网工程现场管理业务外委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项目部管辖配网工程投资额在1000万元及以下的现场管理业务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8595.98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8595.98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10kV及以下基建工程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项目部管辖配网工程投资额在1000万元（不含）-5000万元（含）的现场管理业务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16939.67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16939.67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10kV及以下基建工程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项目部管辖配网工程投资额在5000万元（不含）-10000万元（含）的现场管理业务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25283.87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25283.87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10kV及以下基建工程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项目部管辖配网工程投资额在10000万元（不含）-20000万元（含）的现场管理业务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51819.54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51819.54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10kV及以下基建工程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  <w:jc w:val="center"/>
        </w:trPr>
        <w:tc>
          <w:tcPr>
            <w:tcW w:w="5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项目部管辖配网工程投资额在20000万元（不含）以上的现场管理业务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项目部/月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62183.44 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62183.44 </w:t>
            </w:r>
          </w:p>
        </w:tc>
        <w:tc>
          <w:tcPr>
            <w:tcW w:w="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10kV及以下基建工程</w:t>
            </w: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1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271893.85 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标段2（监造服务）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2024年度自行监造服务</w:t>
            </w:r>
          </w:p>
        </w:tc>
        <w:tc>
          <w:tcPr>
            <w:tcW w:w="1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自行监造范围内设备材料的监造服务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合同价=基础价格*折扣率（注：设备监造基础价格=设备购置费*费率。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费率（根据项目审定后的工程规模按照《电网工程建设预算编制与计算规定（2018版）》、《电网技术改造工程预算编制与计算规定（2020版）》计算确定。））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物资供应处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基建工程、生产工程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1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\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51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271893.85 </w:t>
            </w:r>
          </w:p>
        </w:tc>
        <w:tc>
          <w:tcPr>
            <w:tcW w:w="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ind w:left="0" w:leftChars="0" w:firstLine="0" w:firstLineChars="0"/>
        <w:rPr>
          <w:rFonts w:hint="eastAsia"/>
        </w:rPr>
        <w:sectPr>
          <w:headerReference r:id="rId5" w:type="default"/>
          <w:pgSz w:w="11905" w:h="16838"/>
          <w:pgMar w:top="1701" w:right="1417" w:bottom="1701" w:left="1417" w:header="850" w:footer="992" w:gutter="0"/>
          <w:cols w:space="720" w:num="1"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360" w:firstLineChars="200"/>
        <w:jc w:val="both"/>
        <w:rPr>
          <w:rFonts w:hint="eastAsia" w:ascii="仿宋" w:hAnsi="仿宋" w:eastAsia="仿宋" w:cs="仿宋"/>
          <w:kern w:val="2"/>
          <w:sz w:val="18"/>
          <w:szCs w:val="24"/>
          <w:highlight w:val="none"/>
          <w:lang w:val="en-US" w:eastAsia="zh-CN" w:bidi="ar-SA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6" w:type="defaul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9" w:type="first"/>
          <w:footerReference r:id="rId8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 w:val="0"/>
        <w:spacing w:line="360" w:lineRule="auto"/>
        <w:ind w:firstLine="360" w:firstLineChars="200"/>
        <w:jc w:val="both"/>
        <w:rPr>
          <w:rFonts w:hint="eastAsia" w:ascii="仿宋" w:hAnsi="仿宋" w:eastAsia="仿宋" w:cs="仿宋"/>
          <w:kern w:val="2"/>
          <w:sz w:val="18"/>
          <w:szCs w:val="24"/>
          <w:highlight w:val="none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7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  <w:t>1、供应商查询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20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none"/>
          <w:lang w:val="en-US" w:eastAsia="zh-CN" w:bidi="ar-SA"/>
        </w:rPr>
        <w:drawing>
          <wp:inline distT="0" distB="0" distL="114300" distR="114300">
            <wp:extent cx="5280660" cy="3390900"/>
            <wp:effectExtent l="0" t="0" r="5715" b="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/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51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/D+Ex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mD3Lwlbv&#10;LI/QUR5vV8cAOZPKUZROCXQnHjB9qU/9psTx/vOcoh7/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//w/h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51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- 2 -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0lY7tAAAAAFAQAADwAAAAAAAAABACAAAAAiAAAAZHJzL2Rv&#10;d25yZXYueG1sUEsBAhQAFAAAAAgAh07iQIvhV3XQAQAAogMAAA4AAAAAAAAAAQAgAAAAHwEAAGRy&#10;cy9lMm9Eb2MueG1sUEsFBgAAAAAGAAYAWQEAAG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- 2 -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right" w:pos="8306"/>
      </w:tabs>
      <w:snapToGrid w:val="0"/>
      <w:spacing w:line="360" w:lineRule="auto"/>
      <w:ind w:firstLine="360" w:firstLineChars="200"/>
      <w:jc w:val="both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right" w:pos="8306"/>
      </w:tabs>
      <w:snapToGrid w:val="0"/>
      <w:spacing w:line="360" w:lineRule="auto"/>
      <w:ind w:firstLine="360" w:firstLineChars="200"/>
      <w:jc w:val="both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45B82BA4"/>
    <w:rsid w:val="1C211A3D"/>
    <w:rsid w:val="3EB61393"/>
    <w:rsid w:val="45B8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link w:val="17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character" w:customStyle="1" w:styleId="17">
    <w:name w:val="标题 2 Char"/>
    <w:link w:val="4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8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_Style 6"/>
    <w:basedOn w:val="1"/>
    <w:next w:val="20"/>
    <w:autoRedefine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20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5451</Words>
  <Characters>6649</Characters>
  <Lines>0</Lines>
  <Paragraphs>0</Paragraphs>
  <TotalTime>0</TotalTime>
  <ScaleCrop>false</ScaleCrop>
  <LinksUpToDate>false</LinksUpToDate>
  <CharactersWithSpaces>7331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2024-06-21T01:42:00Z</dcterms:created>
  <dc:creator>回忆斑驳了过往</dc:creator>
  <cp:lastModifiedBy>回忆斑驳了过往</cp:lastModifiedBy>
  <dcterms:modified xsi:type="dcterms:W3CDTF">2024-06-21T02:54:26Z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095D6ACA51E048C1B5E477FBD1117E69_11</vt:lpwstr>
  </property>
</Properties>
</file>