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cs="宋体"/>
          <w:b/>
          <w:bCs/>
          <w:sz w:val="32"/>
          <w:szCs w:val="32"/>
        </w:rPr>
      </w:pPr>
      <w:bookmarkStart w:id="0" w:name="_Toc495644242"/>
      <w:r>
        <w:rPr>
          <w:rFonts w:hint="eastAsia" w:ascii="宋体" w:hAnsi="宋体" w:eastAsia="宋体" w:cs="宋体"/>
          <w:b/>
          <w:bCs/>
          <w:sz w:val="32"/>
          <w:szCs w:val="32"/>
        </w:rPr>
        <w:t>锡林郭勒供电公司2024年生产通信设备带电清洗采购项目</w:t>
      </w:r>
    </w:p>
    <w:p>
      <w:pPr>
        <w:spacing w:line="360" w:lineRule="auto"/>
        <w:jc w:val="center"/>
        <w:rPr>
          <w:rFonts w:ascii="宋体" w:hAnsi="宋体" w:eastAsia="宋体" w:cs="宋体"/>
          <w:b/>
          <w:bCs/>
          <w:sz w:val="32"/>
          <w:szCs w:val="32"/>
        </w:rPr>
      </w:pPr>
      <w:r>
        <w:rPr>
          <w:rFonts w:hint="eastAsia" w:ascii="宋体" w:hAnsi="宋体" w:eastAsia="宋体" w:cs="宋体"/>
          <w:b/>
          <w:bCs/>
          <w:sz w:val="32"/>
          <w:szCs w:val="32"/>
        </w:rPr>
        <w:t>询比采购公告</w:t>
      </w:r>
    </w:p>
    <w:bookmarkEnd w:id="0"/>
    <w:p>
      <w:pPr>
        <w:spacing w:line="360" w:lineRule="auto"/>
        <w:ind w:left="-14" w:leftChars="-4" w:right="-54" w:firstLine="540" w:firstLineChars="225"/>
        <w:rPr>
          <w:rFonts w:hint="eastAsia" w:ascii="宋体" w:hAnsi="宋体" w:eastAsia="宋体" w:cs="宋体"/>
          <w:sz w:val="24"/>
          <w:szCs w:val="24"/>
        </w:rPr>
      </w:pPr>
      <w:r>
        <w:rPr>
          <w:rFonts w:hint="eastAsia" w:ascii="宋体" w:hAnsi="宋体" w:eastAsia="宋体" w:cs="宋体"/>
          <w:sz w:val="24"/>
          <w:szCs w:val="24"/>
        </w:rPr>
        <w:t>依据《国有企业采购操作规范》及《国有企业采购操作规范》释义等相关的规定，受内蒙古电力（集团）有限责任公司锡林郭勒供电分公司物资供应处的委托,法正项目管理集团有限公司对锡林郭勒供电公司2024年生产通信设备带电清洗采购项目进行询比采购,现发布采购公告如下:</w:t>
      </w:r>
      <w:bookmarkStart w:id="1" w:name="_Toc495644243"/>
      <w:r>
        <w:rPr>
          <w:rFonts w:hint="eastAsia" w:ascii="宋体" w:hAnsi="宋体" w:eastAsia="宋体" w:cs="宋体"/>
          <w:sz w:val="24"/>
          <w:szCs w:val="24"/>
        </w:rPr>
        <w:t xml:space="preserve"> </w:t>
      </w:r>
    </w:p>
    <w:p>
      <w:pPr>
        <w:spacing w:line="360" w:lineRule="auto"/>
        <w:ind w:right="-54"/>
        <w:rPr>
          <w:rFonts w:hint="eastAsia" w:ascii="宋体" w:hAnsi="宋体" w:eastAsia="宋体" w:cs="宋体"/>
          <w:b/>
          <w:sz w:val="24"/>
          <w:szCs w:val="24"/>
        </w:rPr>
      </w:pPr>
      <w:r>
        <w:rPr>
          <w:rFonts w:hint="eastAsia" w:ascii="宋体" w:hAnsi="宋体" w:eastAsia="宋体" w:cs="宋体"/>
          <w:b/>
          <w:sz w:val="24"/>
          <w:szCs w:val="24"/>
        </w:rPr>
        <w:t>1. 项目概况与采购范围</w:t>
      </w:r>
      <w:bookmarkEnd w:id="1"/>
      <w:r>
        <w:rPr>
          <w:rFonts w:hint="eastAsia" w:ascii="宋体" w:hAnsi="宋体" w:eastAsia="宋体" w:cs="宋体"/>
          <w:b/>
          <w:sz w:val="24"/>
          <w:szCs w:val="24"/>
        </w:rPr>
        <w:t xml:space="preserve"> </w:t>
      </w:r>
    </w:p>
    <w:p>
      <w:pPr>
        <w:keepNext w:val="0"/>
        <w:keepLines w:val="0"/>
        <w:pageBreakBefore w:val="0"/>
        <w:widowControl w:val="0"/>
        <w:kinsoku/>
        <w:wordWrap/>
        <w:overflowPunct/>
        <w:topLinePunct w:val="0"/>
        <w:autoSpaceDE/>
        <w:autoSpaceDN/>
        <w:bidi w:val="0"/>
        <w:adjustRightInd/>
        <w:snapToGrid w:val="0"/>
        <w:spacing w:line="360" w:lineRule="auto"/>
        <w:ind w:right="-65" w:rightChars="-19" w:firstLine="480" w:firstLineChars="200"/>
        <w:textAlignment w:val="auto"/>
        <w:rPr>
          <w:rFonts w:hint="eastAsia" w:ascii="宋体" w:hAnsi="宋体" w:eastAsia="宋体" w:cs="宋体"/>
          <w:sz w:val="24"/>
          <w:szCs w:val="24"/>
        </w:rPr>
      </w:pPr>
      <w:bookmarkStart w:id="2" w:name="_Toc495644244"/>
      <w:r>
        <w:rPr>
          <w:rFonts w:hint="eastAsia" w:ascii="宋体" w:hAnsi="宋体" w:eastAsia="宋体" w:cs="宋体"/>
          <w:sz w:val="24"/>
          <w:szCs w:val="22"/>
        </w:rPr>
        <w:t>1.1项目名称：</w:t>
      </w:r>
      <w:r>
        <w:rPr>
          <w:rFonts w:hint="eastAsia" w:ascii="宋体" w:hAnsi="宋体" w:eastAsia="宋体" w:cs="宋体"/>
          <w:sz w:val="24"/>
          <w:szCs w:val="24"/>
        </w:rPr>
        <w:t>锡林郭勒供电公司2024年生产通信设备带电清洗采购项目</w:t>
      </w:r>
    </w:p>
    <w:p>
      <w:pPr>
        <w:keepNext w:val="0"/>
        <w:keepLines w:val="0"/>
        <w:pageBreakBefore w:val="0"/>
        <w:widowControl w:val="0"/>
        <w:kinsoku/>
        <w:wordWrap/>
        <w:overflowPunct/>
        <w:topLinePunct w:val="0"/>
        <w:autoSpaceDE/>
        <w:autoSpaceDN/>
        <w:bidi w:val="0"/>
        <w:adjustRightInd/>
        <w:snapToGrid w:val="0"/>
        <w:spacing w:line="360" w:lineRule="auto"/>
        <w:ind w:right="-65" w:rightChars="-19" w:firstLine="480" w:firstLineChars="200"/>
        <w:textAlignment w:val="auto"/>
        <w:rPr>
          <w:rFonts w:hint="eastAsia" w:ascii="宋体" w:hAnsi="宋体" w:eastAsia="宋体" w:cs="宋体"/>
          <w:sz w:val="24"/>
          <w:szCs w:val="22"/>
        </w:rPr>
      </w:pPr>
      <w:r>
        <w:rPr>
          <w:rFonts w:hint="eastAsia" w:ascii="宋体" w:hAnsi="宋体" w:eastAsia="宋体" w:cs="宋体"/>
          <w:sz w:val="24"/>
          <w:szCs w:val="24"/>
        </w:rPr>
        <w:t>1.2项目编号: FZ2024-XDWZ-XB-008</w:t>
      </w:r>
      <w:r>
        <w:rPr>
          <w:rFonts w:hint="eastAsia" w:ascii="宋体" w:hAnsi="宋体" w:eastAsia="宋体" w:cs="宋体"/>
          <w:sz w:val="24"/>
          <w:szCs w:val="22"/>
        </w:rPr>
        <w:t xml:space="preserve"> </w:t>
      </w:r>
    </w:p>
    <w:p>
      <w:pPr>
        <w:keepNext w:val="0"/>
        <w:keepLines w:val="0"/>
        <w:pageBreakBefore w:val="0"/>
        <w:widowControl w:val="0"/>
        <w:kinsoku/>
        <w:wordWrap/>
        <w:overflowPunct/>
        <w:topLinePunct w:val="0"/>
        <w:autoSpaceDE/>
        <w:autoSpaceDN/>
        <w:bidi w:val="0"/>
        <w:adjustRightInd/>
        <w:snapToGrid w:val="0"/>
        <w:spacing w:line="360" w:lineRule="auto"/>
        <w:ind w:right="-65" w:rightChars="-19" w:firstLine="480" w:firstLineChars="200"/>
        <w:textAlignment w:val="auto"/>
        <w:rPr>
          <w:rFonts w:ascii="宋体" w:hAnsi="宋体" w:eastAsia="宋体" w:cs="宋体"/>
          <w:sz w:val="24"/>
          <w:szCs w:val="24"/>
        </w:rPr>
      </w:pPr>
      <w:r>
        <w:rPr>
          <w:rFonts w:hint="eastAsia" w:ascii="宋体" w:hAnsi="宋体" w:eastAsia="宋体" w:cs="宋体"/>
          <w:sz w:val="24"/>
          <w:szCs w:val="22"/>
        </w:rPr>
        <w:t>1.3采购内容：</w:t>
      </w:r>
      <w:r>
        <w:rPr>
          <w:rFonts w:hint="eastAsia" w:ascii="宋体" w:hAnsi="宋体" w:eastAsia="宋体" w:cs="宋体"/>
          <w:sz w:val="24"/>
          <w:szCs w:val="24"/>
        </w:rPr>
        <w:t>本项目共计1包，具体内容详见需求明细表</w:t>
      </w:r>
    </w:p>
    <w:tbl>
      <w:tblPr>
        <w:tblStyle w:val="14"/>
        <w:tblW w:w="5181" w:type="pct"/>
        <w:tblInd w:w="0" w:type="dxa"/>
        <w:tblLayout w:type="fixed"/>
        <w:tblCellMar>
          <w:top w:w="0" w:type="dxa"/>
          <w:left w:w="108" w:type="dxa"/>
          <w:bottom w:w="0" w:type="dxa"/>
          <w:right w:w="108" w:type="dxa"/>
        </w:tblCellMar>
      </w:tblPr>
      <w:tblGrid>
        <w:gridCol w:w="656"/>
        <w:gridCol w:w="5703"/>
        <w:gridCol w:w="599"/>
        <w:gridCol w:w="720"/>
        <w:gridCol w:w="1152"/>
      </w:tblGrid>
      <w:tr>
        <w:tblPrEx>
          <w:tblCellMar>
            <w:top w:w="0" w:type="dxa"/>
            <w:left w:w="108" w:type="dxa"/>
            <w:bottom w:w="0" w:type="dxa"/>
            <w:right w:w="108" w:type="dxa"/>
          </w:tblCellMar>
        </w:tblPrEx>
        <w:trPr>
          <w:trHeight w:val="770" w:hRule="atLeast"/>
        </w:trPr>
        <w:tc>
          <w:tcPr>
            <w:tcW w:w="372" w:type="pct"/>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textAlignment w:val="center"/>
              <w:rPr>
                <w:rFonts w:ascii="宋体" w:hAnsi="宋体" w:eastAsia="宋体" w:cs="微软雅黑"/>
                <w:color w:val="000000"/>
                <w:sz w:val="21"/>
                <w:szCs w:val="21"/>
              </w:rPr>
            </w:pPr>
            <w:r>
              <w:rPr>
                <w:rFonts w:hint="eastAsia" w:ascii="宋体" w:hAnsi="宋体" w:eastAsia="宋体" w:cs="微软雅黑"/>
                <w:color w:val="000000"/>
                <w:kern w:val="0"/>
                <w:sz w:val="21"/>
                <w:szCs w:val="21"/>
                <w:lang w:bidi="ar"/>
              </w:rPr>
              <w:t>序号</w:t>
            </w:r>
          </w:p>
        </w:tc>
        <w:tc>
          <w:tcPr>
            <w:tcW w:w="3228" w:type="pct"/>
            <w:tcBorders>
              <w:top w:val="single" w:color="000000" w:sz="4" w:space="0"/>
              <w:left w:val="single" w:color="000000" w:sz="4" w:space="0"/>
              <w:bottom w:val="nil"/>
              <w:right w:val="single" w:color="000000" w:sz="4" w:space="0"/>
            </w:tcBorders>
            <w:noWrap w:val="0"/>
            <w:vAlign w:val="center"/>
          </w:tcPr>
          <w:p>
            <w:pPr>
              <w:widowControl/>
              <w:spacing w:line="360" w:lineRule="auto"/>
              <w:jc w:val="center"/>
              <w:textAlignment w:val="center"/>
              <w:rPr>
                <w:rFonts w:hint="eastAsia" w:ascii="宋体" w:hAnsi="宋体" w:eastAsia="宋体" w:cs="微软雅黑"/>
                <w:color w:val="000000"/>
                <w:sz w:val="21"/>
                <w:szCs w:val="21"/>
              </w:rPr>
            </w:pPr>
            <w:r>
              <w:rPr>
                <w:rFonts w:hint="eastAsia" w:ascii="宋体" w:hAnsi="宋体" w:eastAsia="宋体" w:cs="微软雅黑"/>
                <w:color w:val="000000"/>
                <w:kern w:val="0"/>
                <w:sz w:val="21"/>
                <w:szCs w:val="21"/>
                <w:lang w:bidi="ar"/>
              </w:rPr>
              <w:t>服务内容描述</w:t>
            </w:r>
          </w:p>
        </w:tc>
        <w:tc>
          <w:tcPr>
            <w:tcW w:w="339" w:type="pct"/>
            <w:tcBorders>
              <w:top w:val="single" w:color="000000" w:sz="4" w:space="0"/>
              <w:left w:val="single" w:color="000000" w:sz="4" w:space="0"/>
              <w:bottom w:val="single" w:color="000000" w:sz="4" w:space="0"/>
              <w:right w:val="single" w:color="000000" w:sz="4" w:space="0"/>
            </w:tcBorders>
            <w:noWrap/>
            <w:vAlign w:val="center"/>
          </w:tcPr>
          <w:p>
            <w:pPr>
              <w:widowControl/>
              <w:spacing w:line="360" w:lineRule="auto"/>
              <w:jc w:val="center"/>
              <w:textAlignment w:val="center"/>
              <w:rPr>
                <w:rFonts w:hint="eastAsia" w:ascii="宋体" w:hAnsi="宋体" w:eastAsia="宋体" w:cs="微软雅黑"/>
                <w:color w:val="000000"/>
                <w:sz w:val="21"/>
                <w:szCs w:val="21"/>
              </w:rPr>
            </w:pPr>
            <w:r>
              <w:rPr>
                <w:rFonts w:hint="eastAsia" w:ascii="宋体" w:hAnsi="宋体" w:eastAsia="宋体" w:cs="微软雅黑"/>
                <w:color w:val="000000"/>
                <w:kern w:val="0"/>
                <w:sz w:val="21"/>
                <w:szCs w:val="21"/>
                <w:lang w:bidi="ar"/>
              </w:rPr>
              <w:t>单位</w:t>
            </w:r>
          </w:p>
        </w:tc>
        <w:tc>
          <w:tcPr>
            <w:tcW w:w="408"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微软雅黑"/>
                <w:color w:val="000000"/>
                <w:sz w:val="21"/>
                <w:szCs w:val="21"/>
              </w:rPr>
            </w:pPr>
            <w:r>
              <w:rPr>
                <w:rFonts w:hint="eastAsia" w:ascii="宋体" w:hAnsi="宋体" w:eastAsia="宋体" w:cs="微软雅黑"/>
                <w:color w:val="000000"/>
                <w:kern w:val="0"/>
                <w:sz w:val="21"/>
                <w:szCs w:val="21"/>
                <w:lang w:bidi="ar"/>
              </w:rPr>
              <w:t>采购数量</w:t>
            </w:r>
          </w:p>
        </w:tc>
        <w:tc>
          <w:tcPr>
            <w:tcW w:w="651"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textAlignment w:val="center"/>
              <w:rPr>
                <w:rFonts w:hint="eastAsia" w:ascii="宋体" w:hAnsi="宋体" w:eastAsia="宋体" w:cs="微软雅黑"/>
                <w:color w:val="000000"/>
                <w:sz w:val="21"/>
                <w:szCs w:val="21"/>
              </w:rPr>
            </w:pPr>
            <w:r>
              <w:rPr>
                <w:rFonts w:hint="eastAsia" w:ascii="宋体" w:hAnsi="宋体" w:eastAsia="宋体" w:cs="微软雅黑"/>
                <w:color w:val="000000"/>
                <w:kern w:val="0"/>
                <w:sz w:val="21"/>
                <w:szCs w:val="21"/>
                <w:lang w:bidi="ar"/>
              </w:rPr>
              <w:t>招标控制总价</w:t>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81792"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10" name="图片 2"/>
                  <wp:cNvGraphicFramePr/>
                  <a:graphic xmlns:a="http://schemas.openxmlformats.org/drawingml/2006/main">
                    <a:graphicData uri="http://schemas.openxmlformats.org/drawingml/2006/picture">
                      <pic:pic xmlns:pic="http://schemas.openxmlformats.org/drawingml/2006/picture">
                        <pic:nvPicPr>
                          <pic:cNvPr id="10" name="图片 2"/>
                          <pic:cNvPicPr/>
                        </pic:nvPicPr>
                        <pic:blipFill>
                          <a:blip r:embed="rId4"/>
                          <a:stretch>
                            <a:fillRect/>
                          </a:stretch>
                        </pic:blipFill>
                        <pic:spPr>
                          <a:xfrm>
                            <a:off x="0" y="0"/>
                            <a:ext cx="179070" cy="3619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82816"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6" name="图片 3"/>
                  <wp:cNvGraphicFramePr/>
                  <a:graphic xmlns:a="http://schemas.openxmlformats.org/drawingml/2006/main">
                    <a:graphicData uri="http://schemas.openxmlformats.org/drawingml/2006/picture">
                      <pic:pic xmlns:pic="http://schemas.openxmlformats.org/drawingml/2006/picture">
                        <pic:nvPicPr>
                          <pic:cNvPr id="6" name="图片 3"/>
                          <pic:cNvPicPr/>
                        </pic:nvPicPr>
                        <pic:blipFill>
                          <a:blip r:embed="rId4"/>
                          <a:stretch>
                            <a:fillRect/>
                          </a:stretch>
                        </pic:blipFill>
                        <pic:spPr>
                          <a:xfrm>
                            <a:off x="0" y="0"/>
                            <a:ext cx="179070" cy="3619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83840" behindDoc="0" locked="0" layoutInCell="1" allowOverlap="1">
                  <wp:simplePos x="0" y="0"/>
                  <wp:positionH relativeFrom="column">
                    <wp:posOffset>1757680</wp:posOffset>
                  </wp:positionH>
                  <wp:positionV relativeFrom="paragraph">
                    <wp:posOffset>0</wp:posOffset>
                  </wp:positionV>
                  <wp:extent cx="179070" cy="41910"/>
                  <wp:effectExtent l="0" t="0" r="0" b="0"/>
                  <wp:wrapNone/>
                  <wp:docPr id="11" name="图片 4"/>
                  <wp:cNvGraphicFramePr/>
                  <a:graphic xmlns:a="http://schemas.openxmlformats.org/drawingml/2006/main">
                    <a:graphicData uri="http://schemas.openxmlformats.org/drawingml/2006/picture">
                      <pic:pic xmlns:pic="http://schemas.openxmlformats.org/drawingml/2006/picture">
                        <pic:nvPicPr>
                          <pic:cNvPr id="11" name="图片 4"/>
                          <pic:cNvPicPr/>
                        </pic:nvPicPr>
                        <pic:blipFill>
                          <a:blip r:embed="rId5"/>
                          <a:stretch>
                            <a:fillRect/>
                          </a:stretch>
                        </pic:blipFill>
                        <pic:spPr>
                          <a:xfrm>
                            <a:off x="0" y="0"/>
                            <a:ext cx="179070" cy="41910"/>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84864"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3" name="图片 5"/>
                  <wp:cNvGraphicFramePr/>
                  <a:graphic xmlns:a="http://schemas.openxmlformats.org/drawingml/2006/main">
                    <a:graphicData uri="http://schemas.openxmlformats.org/drawingml/2006/picture">
                      <pic:pic xmlns:pic="http://schemas.openxmlformats.org/drawingml/2006/picture">
                        <pic:nvPicPr>
                          <pic:cNvPr id="3" name="图片 5"/>
                          <pic:cNvPicPr/>
                        </pic:nvPicPr>
                        <pic:blipFill>
                          <a:blip r:embed="rId4"/>
                          <a:stretch>
                            <a:fillRect/>
                          </a:stretch>
                        </pic:blipFill>
                        <pic:spPr>
                          <a:xfrm>
                            <a:off x="0" y="0"/>
                            <a:ext cx="179070" cy="3619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85888" behindDoc="0" locked="0" layoutInCell="1" allowOverlap="1">
                  <wp:simplePos x="0" y="0"/>
                  <wp:positionH relativeFrom="column">
                    <wp:posOffset>1757680</wp:posOffset>
                  </wp:positionH>
                  <wp:positionV relativeFrom="paragraph">
                    <wp:posOffset>0</wp:posOffset>
                  </wp:positionV>
                  <wp:extent cx="179070" cy="20955"/>
                  <wp:effectExtent l="0" t="0" r="0" b="0"/>
                  <wp:wrapNone/>
                  <wp:docPr id="7" name="图片 6"/>
                  <wp:cNvGraphicFramePr/>
                  <a:graphic xmlns:a="http://schemas.openxmlformats.org/drawingml/2006/main">
                    <a:graphicData uri="http://schemas.openxmlformats.org/drawingml/2006/picture">
                      <pic:pic xmlns:pic="http://schemas.openxmlformats.org/drawingml/2006/picture">
                        <pic:nvPicPr>
                          <pic:cNvPr id="7" name="图片 6"/>
                          <pic:cNvPicPr/>
                        </pic:nvPicPr>
                        <pic:blipFill>
                          <a:blip r:embed="rId6"/>
                          <a:stretch>
                            <a:fillRect/>
                          </a:stretch>
                        </pic:blipFill>
                        <pic:spPr>
                          <a:xfrm>
                            <a:off x="0" y="0"/>
                            <a:ext cx="179070" cy="2095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86912"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4" name="图片 7"/>
                  <wp:cNvGraphicFramePr/>
                  <a:graphic xmlns:a="http://schemas.openxmlformats.org/drawingml/2006/main">
                    <a:graphicData uri="http://schemas.openxmlformats.org/drawingml/2006/picture">
                      <pic:pic xmlns:pic="http://schemas.openxmlformats.org/drawingml/2006/picture">
                        <pic:nvPicPr>
                          <pic:cNvPr id="4" name="图片 7"/>
                          <pic:cNvPicPr/>
                        </pic:nvPicPr>
                        <pic:blipFill>
                          <a:blip r:embed="rId4"/>
                          <a:stretch>
                            <a:fillRect/>
                          </a:stretch>
                        </pic:blipFill>
                        <pic:spPr>
                          <a:xfrm>
                            <a:off x="0" y="0"/>
                            <a:ext cx="179070" cy="3619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87936"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5" name="图片 8"/>
                  <wp:cNvGraphicFramePr/>
                  <a:graphic xmlns:a="http://schemas.openxmlformats.org/drawingml/2006/main">
                    <a:graphicData uri="http://schemas.openxmlformats.org/drawingml/2006/picture">
                      <pic:pic xmlns:pic="http://schemas.openxmlformats.org/drawingml/2006/picture">
                        <pic:nvPicPr>
                          <pic:cNvPr id="5" name="图片 8"/>
                          <pic:cNvPicPr/>
                        </pic:nvPicPr>
                        <pic:blipFill>
                          <a:blip r:embed="rId4"/>
                          <a:stretch>
                            <a:fillRect/>
                          </a:stretch>
                        </pic:blipFill>
                        <pic:spPr>
                          <a:xfrm>
                            <a:off x="0" y="0"/>
                            <a:ext cx="179070" cy="3619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88960" behindDoc="0" locked="0" layoutInCell="1" allowOverlap="1">
                  <wp:simplePos x="0" y="0"/>
                  <wp:positionH relativeFrom="column">
                    <wp:posOffset>1757680</wp:posOffset>
                  </wp:positionH>
                  <wp:positionV relativeFrom="paragraph">
                    <wp:posOffset>0</wp:posOffset>
                  </wp:positionV>
                  <wp:extent cx="179070" cy="41910"/>
                  <wp:effectExtent l="0" t="0" r="0" b="0"/>
                  <wp:wrapNone/>
                  <wp:docPr id="1" name="图片 9"/>
                  <wp:cNvGraphicFramePr/>
                  <a:graphic xmlns:a="http://schemas.openxmlformats.org/drawingml/2006/main">
                    <a:graphicData uri="http://schemas.openxmlformats.org/drawingml/2006/picture">
                      <pic:pic xmlns:pic="http://schemas.openxmlformats.org/drawingml/2006/picture">
                        <pic:nvPicPr>
                          <pic:cNvPr id="1" name="图片 9"/>
                          <pic:cNvPicPr/>
                        </pic:nvPicPr>
                        <pic:blipFill>
                          <a:blip r:embed="rId5"/>
                          <a:stretch>
                            <a:fillRect/>
                          </a:stretch>
                        </pic:blipFill>
                        <pic:spPr>
                          <a:xfrm>
                            <a:off x="0" y="0"/>
                            <a:ext cx="179070" cy="41910"/>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89984"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8" name="图片 10"/>
                  <wp:cNvGraphicFramePr/>
                  <a:graphic xmlns:a="http://schemas.openxmlformats.org/drawingml/2006/main">
                    <a:graphicData uri="http://schemas.openxmlformats.org/drawingml/2006/picture">
                      <pic:pic xmlns:pic="http://schemas.openxmlformats.org/drawingml/2006/picture">
                        <pic:nvPicPr>
                          <pic:cNvPr id="8" name="图片 10"/>
                          <pic:cNvPicPr/>
                        </pic:nvPicPr>
                        <pic:blipFill>
                          <a:blip r:embed="rId4"/>
                          <a:stretch>
                            <a:fillRect/>
                          </a:stretch>
                        </pic:blipFill>
                        <pic:spPr>
                          <a:xfrm>
                            <a:off x="0" y="0"/>
                            <a:ext cx="179070" cy="3619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91008" behindDoc="0" locked="0" layoutInCell="1" allowOverlap="1">
                  <wp:simplePos x="0" y="0"/>
                  <wp:positionH relativeFrom="column">
                    <wp:posOffset>1757680</wp:posOffset>
                  </wp:positionH>
                  <wp:positionV relativeFrom="paragraph">
                    <wp:posOffset>0</wp:posOffset>
                  </wp:positionV>
                  <wp:extent cx="179070" cy="41910"/>
                  <wp:effectExtent l="0" t="0" r="0" b="0"/>
                  <wp:wrapNone/>
                  <wp:docPr id="9" name="图片 11"/>
                  <wp:cNvGraphicFramePr/>
                  <a:graphic xmlns:a="http://schemas.openxmlformats.org/drawingml/2006/main">
                    <a:graphicData uri="http://schemas.openxmlformats.org/drawingml/2006/picture">
                      <pic:pic xmlns:pic="http://schemas.openxmlformats.org/drawingml/2006/picture">
                        <pic:nvPicPr>
                          <pic:cNvPr id="9" name="图片 11"/>
                          <pic:cNvPicPr/>
                        </pic:nvPicPr>
                        <pic:blipFill>
                          <a:blip r:embed="rId5"/>
                          <a:stretch>
                            <a:fillRect/>
                          </a:stretch>
                        </pic:blipFill>
                        <pic:spPr>
                          <a:xfrm>
                            <a:off x="0" y="0"/>
                            <a:ext cx="179070" cy="41910"/>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92032"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2" name="图片 12"/>
                  <wp:cNvGraphicFramePr/>
                  <a:graphic xmlns:a="http://schemas.openxmlformats.org/drawingml/2006/main">
                    <a:graphicData uri="http://schemas.openxmlformats.org/drawingml/2006/picture">
                      <pic:pic xmlns:pic="http://schemas.openxmlformats.org/drawingml/2006/picture">
                        <pic:nvPicPr>
                          <pic:cNvPr id="2" name="图片 12"/>
                          <pic:cNvPicPr/>
                        </pic:nvPicPr>
                        <pic:blipFill>
                          <a:blip r:embed="rId4"/>
                          <a:stretch>
                            <a:fillRect/>
                          </a:stretch>
                        </pic:blipFill>
                        <pic:spPr>
                          <a:xfrm>
                            <a:off x="0" y="0"/>
                            <a:ext cx="179070" cy="3619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93056"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35" name="图片 13"/>
                  <wp:cNvGraphicFramePr/>
                  <a:graphic xmlns:a="http://schemas.openxmlformats.org/drawingml/2006/main">
                    <a:graphicData uri="http://schemas.openxmlformats.org/drawingml/2006/picture">
                      <pic:pic xmlns:pic="http://schemas.openxmlformats.org/drawingml/2006/picture">
                        <pic:nvPicPr>
                          <pic:cNvPr id="35" name="图片 13"/>
                          <pic:cNvPicPr/>
                        </pic:nvPicPr>
                        <pic:blipFill>
                          <a:blip r:embed="rId4"/>
                          <a:stretch>
                            <a:fillRect/>
                          </a:stretch>
                        </pic:blipFill>
                        <pic:spPr>
                          <a:xfrm>
                            <a:off x="0" y="0"/>
                            <a:ext cx="179070" cy="3619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94080"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31" name="图片 14"/>
                  <wp:cNvGraphicFramePr/>
                  <a:graphic xmlns:a="http://schemas.openxmlformats.org/drawingml/2006/main">
                    <a:graphicData uri="http://schemas.openxmlformats.org/drawingml/2006/picture">
                      <pic:pic xmlns:pic="http://schemas.openxmlformats.org/drawingml/2006/picture">
                        <pic:nvPicPr>
                          <pic:cNvPr id="31" name="图片 14"/>
                          <pic:cNvPicPr/>
                        </pic:nvPicPr>
                        <pic:blipFill>
                          <a:blip r:embed="rId4"/>
                          <a:stretch>
                            <a:fillRect/>
                          </a:stretch>
                        </pic:blipFill>
                        <pic:spPr>
                          <a:xfrm>
                            <a:off x="0" y="0"/>
                            <a:ext cx="179070" cy="3619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95104" behindDoc="0" locked="0" layoutInCell="1" allowOverlap="1">
                  <wp:simplePos x="0" y="0"/>
                  <wp:positionH relativeFrom="column">
                    <wp:posOffset>1757680</wp:posOffset>
                  </wp:positionH>
                  <wp:positionV relativeFrom="paragraph">
                    <wp:posOffset>0</wp:posOffset>
                  </wp:positionV>
                  <wp:extent cx="179070" cy="26035"/>
                  <wp:effectExtent l="0" t="0" r="0" b="0"/>
                  <wp:wrapNone/>
                  <wp:docPr id="23" name="图片 15"/>
                  <wp:cNvGraphicFramePr/>
                  <a:graphic xmlns:a="http://schemas.openxmlformats.org/drawingml/2006/main">
                    <a:graphicData uri="http://schemas.openxmlformats.org/drawingml/2006/picture">
                      <pic:pic xmlns:pic="http://schemas.openxmlformats.org/drawingml/2006/picture">
                        <pic:nvPicPr>
                          <pic:cNvPr id="23" name="图片 15"/>
                          <pic:cNvPicPr/>
                        </pic:nvPicPr>
                        <pic:blipFill>
                          <a:blip r:embed="rId6"/>
                          <a:stretch>
                            <a:fillRect/>
                          </a:stretch>
                        </pic:blipFill>
                        <pic:spPr>
                          <a:xfrm>
                            <a:off x="0" y="0"/>
                            <a:ext cx="179070" cy="2603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96128"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15" name="图片 16"/>
                  <wp:cNvGraphicFramePr/>
                  <a:graphic xmlns:a="http://schemas.openxmlformats.org/drawingml/2006/main">
                    <a:graphicData uri="http://schemas.openxmlformats.org/drawingml/2006/picture">
                      <pic:pic xmlns:pic="http://schemas.openxmlformats.org/drawingml/2006/picture">
                        <pic:nvPicPr>
                          <pic:cNvPr id="15" name="图片 16"/>
                          <pic:cNvPicPr/>
                        </pic:nvPicPr>
                        <pic:blipFill>
                          <a:blip r:embed="rId4"/>
                          <a:stretch>
                            <a:fillRect/>
                          </a:stretch>
                        </pic:blipFill>
                        <pic:spPr>
                          <a:xfrm>
                            <a:off x="0" y="0"/>
                            <a:ext cx="179070" cy="3619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97152"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30" name="图片 17"/>
                  <wp:cNvGraphicFramePr/>
                  <a:graphic xmlns:a="http://schemas.openxmlformats.org/drawingml/2006/main">
                    <a:graphicData uri="http://schemas.openxmlformats.org/drawingml/2006/picture">
                      <pic:pic xmlns:pic="http://schemas.openxmlformats.org/drawingml/2006/picture">
                        <pic:nvPicPr>
                          <pic:cNvPr id="30" name="图片 17"/>
                          <pic:cNvPicPr/>
                        </pic:nvPicPr>
                        <pic:blipFill>
                          <a:blip r:embed="rId4"/>
                          <a:stretch>
                            <a:fillRect/>
                          </a:stretch>
                        </pic:blipFill>
                        <pic:spPr>
                          <a:xfrm>
                            <a:off x="0" y="0"/>
                            <a:ext cx="179070" cy="3619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98176" behindDoc="0" locked="0" layoutInCell="1" allowOverlap="1">
                  <wp:simplePos x="0" y="0"/>
                  <wp:positionH relativeFrom="column">
                    <wp:posOffset>1757680</wp:posOffset>
                  </wp:positionH>
                  <wp:positionV relativeFrom="paragraph">
                    <wp:posOffset>0</wp:posOffset>
                  </wp:positionV>
                  <wp:extent cx="179070" cy="41910"/>
                  <wp:effectExtent l="0" t="0" r="0" b="0"/>
                  <wp:wrapNone/>
                  <wp:docPr id="13" name="图片 18"/>
                  <wp:cNvGraphicFramePr/>
                  <a:graphic xmlns:a="http://schemas.openxmlformats.org/drawingml/2006/main">
                    <a:graphicData uri="http://schemas.openxmlformats.org/drawingml/2006/picture">
                      <pic:pic xmlns:pic="http://schemas.openxmlformats.org/drawingml/2006/picture">
                        <pic:nvPicPr>
                          <pic:cNvPr id="13" name="图片 18"/>
                          <pic:cNvPicPr/>
                        </pic:nvPicPr>
                        <pic:blipFill>
                          <a:blip r:embed="rId5"/>
                          <a:stretch>
                            <a:fillRect/>
                          </a:stretch>
                        </pic:blipFill>
                        <pic:spPr>
                          <a:xfrm>
                            <a:off x="0" y="0"/>
                            <a:ext cx="179070" cy="41910"/>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99200"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25" name="图片 19"/>
                  <wp:cNvGraphicFramePr/>
                  <a:graphic xmlns:a="http://schemas.openxmlformats.org/drawingml/2006/main">
                    <a:graphicData uri="http://schemas.openxmlformats.org/drawingml/2006/picture">
                      <pic:pic xmlns:pic="http://schemas.openxmlformats.org/drawingml/2006/picture">
                        <pic:nvPicPr>
                          <pic:cNvPr id="25" name="图片 19"/>
                          <pic:cNvPicPr/>
                        </pic:nvPicPr>
                        <pic:blipFill>
                          <a:blip r:embed="rId4"/>
                          <a:stretch>
                            <a:fillRect/>
                          </a:stretch>
                        </pic:blipFill>
                        <pic:spPr>
                          <a:xfrm>
                            <a:off x="0" y="0"/>
                            <a:ext cx="179070" cy="3619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700224"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17" name="图片 20"/>
                  <wp:cNvGraphicFramePr/>
                  <a:graphic xmlns:a="http://schemas.openxmlformats.org/drawingml/2006/main">
                    <a:graphicData uri="http://schemas.openxmlformats.org/drawingml/2006/picture">
                      <pic:pic xmlns:pic="http://schemas.openxmlformats.org/drawingml/2006/picture">
                        <pic:nvPicPr>
                          <pic:cNvPr id="17" name="图片 20"/>
                          <pic:cNvPicPr/>
                        </pic:nvPicPr>
                        <pic:blipFill>
                          <a:blip r:embed="rId4"/>
                          <a:stretch>
                            <a:fillRect/>
                          </a:stretch>
                        </pic:blipFill>
                        <pic:spPr>
                          <a:xfrm>
                            <a:off x="0" y="0"/>
                            <a:ext cx="179070" cy="3619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701248"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18" name="图片 21"/>
                  <wp:cNvGraphicFramePr/>
                  <a:graphic xmlns:a="http://schemas.openxmlformats.org/drawingml/2006/main">
                    <a:graphicData uri="http://schemas.openxmlformats.org/drawingml/2006/picture">
                      <pic:pic xmlns:pic="http://schemas.openxmlformats.org/drawingml/2006/picture">
                        <pic:nvPicPr>
                          <pic:cNvPr id="18" name="图片 21"/>
                          <pic:cNvPicPr/>
                        </pic:nvPicPr>
                        <pic:blipFill>
                          <a:blip r:embed="rId4"/>
                          <a:stretch>
                            <a:fillRect/>
                          </a:stretch>
                        </pic:blipFill>
                        <pic:spPr>
                          <a:xfrm>
                            <a:off x="0" y="0"/>
                            <a:ext cx="179070" cy="3619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702272" behindDoc="0" locked="0" layoutInCell="1" allowOverlap="1">
                  <wp:simplePos x="0" y="0"/>
                  <wp:positionH relativeFrom="column">
                    <wp:posOffset>1757680</wp:posOffset>
                  </wp:positionH>
                  <wp:positionV relativeFrom="paragraph">
                    <wp:posOffset>0</wp:posOffset>
                  </wp:positionV>
                  <wp:extent cx="179070" cy="26035"/>
                  <wp:effectExtent l="0" t="0" r="0" b="0"/>
                  <wp:wrapNone/>
                  <wp:docPr id="36" name="图片 22"/>
                  <wp:cNvGraphicFramePr/>
                  <a:graphic xmlns:a="http://schemas.openxmlformats.org/drawingml/2006/main">
                    <a:graphicData uri="http://schemas.openxmlformats.org/drawingml/2006/picture">
                      <pic:pic xmlns:pic="http://schemas.openxmlformats.org/drawingml/2006/picture">
                        <pic:nvPicPr>
                          <pic:cNvPr id="36" name="图片 22"/>
                          <pic:cNvPicPr/>
                        </pic:nvPicPr>
                        <pic:blipFill>
                          <a:blip r:embed="rId6"/>
                          <a:stretch>
                            <a:fillRect/>
                          </a:stretch>
                        </pic:blipFill>
                        <pic:spPr>
                          <a:xfrm>
                            <a:off x="0" y="0"/>
                            <a:ext cx="179070" cy="2603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703296"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26" name="图片 23"/>
                  <wp:cNvGraphicFramePr/>
                  <a:graphic xmlns:a="http://schemas.openxmlformats.org/drawingml/2006/main">
                    <a:graphicData uri="http://schemas.openxmlformats.org/drawingml/2006/picture">
                      <pic:pic xmlns:pic="http://schemas.openxmlformats.org/drawingml/2006/picture">
                        <pic:nvPicPr>
                          <pic:cNvPr id="26" name="图片 23"/>
                          <pic:cNvPicPr/>
                        </pic:nvPicPr>
                        <pic:blipFill>
                          <a:blip r:embed="rId4"/>
                          <a:stretch>
                            <a:fillRect/>
                          </a:stretch>
                        </pic:blipFill>
                        <pic:spPr>
                          <a:xfrm>
                            <a:off x="0" y="0"/>
                            <a:ext cx="179070" cy="36195"/>
                          </a:xfrm>
                          <a:prstGeom prst="rect">
                            <a:avLst/>
                          </a:prstGeom>
                          <a:noFill/>
                          <a:ln>
                            <a:noFill/>
                          </a:ln>
                        </pic:spPr>
                      </pic:pic>
                    </a:graphicData>
                  </a:graphic>
                </wp:anchor>
              </w:drawing>
            </w:r>
            <w:r>
              <w:rPr>
                <w:rFonts w:hint="eastAsia" w:ascii="宋体" w:hAnsi="宋体" w:eastAsia="宋体" w:cs="宋体"/>
                <w:color w:val="000000"/>
                <w:kern w:val="0"/>
                <w:sz w:val="21"/>
                <w:szCs w:val="21"/>
                <w:lang w:bidi="ar"/>
              </w:rPr>
              <w:t>（元）</w:t>
            </w:r>
          </w:p>
        </w:tc>
      </w:tr>
      <w:tr>
        <w:tblPrEx>
          <w:tblCellMar>
            <w:top w:w="0" w:type="dxa"/>
            <w:left w:w="108" w:type="dxa"/>
            <w:bottom w:w="0" w:type="dxa"/>
            <w:right w:w="108" w:type="dxa"/>
          </w:tblCellMar>
        </w:tblPrEx>
        <w:trPr>
          <w:trHeight w:val="1765" w:hRule="atLeast"/>
        </w:trPr>
        <w:tc>
          <w:tcPr>
            <w:tcW w:w="37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1</w:t>
            </w:r>
          </w:p>
        </w:tc>
        <w:tc>
          <w:tcPr>
            <w:tcW w:w="3228"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二连浩特供电分公司2个通信机柜、阿巴嘎旗供电分公司6个通信机柜、多伦供电分公司5个通信机柜、苏尼特左旗供电分公司15个通信机柜、太旗供电分公司5个通信机柜、乌拉盖供电分公司11个通信机柜、西乌珠穆沁供电分公司9个通信机柜、镶黄旗供电分公司7个通信机柜、正蓝旗供电分公司4个通信机柜、白旗供电分公司4个通信机柜，共计68个通信机柜。设备内部积尘严重，需要进行带电清洗。</w:t>
            </w:r>
          </w:p>
        </w:tc>
        <w:tc>
          <w:tcPr>
            <w:tcW w:w="339"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项</w:t>
            </w:r>
          </w:p>
        </w:tc>
        <w:tc>
          <w:tcPr>
            <w:tcW w:w="408"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651"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ascii="宋体" w:hAnsi="宋体" w:eastAsia="宋体" w:cs="宋体"/>
                <w:color w:val="000000"/>
                <w:sz w:val="21"/>
                <w:szCs w:val="21"/>
              </w:rPr>
            </w:pPr>
            <w:r>
              <w:rPr>
                <w:rFonts w:hint="eastAsia" w:ascii="宋体" w:hAnsi="宋体" w:eastAsia="宋体" w:cs="宋体"/>
                <w:color w:val="000000"/>
                <w:sz w:val="21"/>
                <w:szCs w:val="21"/>
              </w:rPr>
              <w:t>530400.00</w:t>
            </w:r>
          </w:p>
        </w:tc>
      </w:tr>
      <w:tr>
        <w:tblPrEx>
          <w:tblCellMar>
            <w:top w:w="0" w:type="dxa"/>
            <w:left w:w="108" w:type="dxa"/>
            <w:bottom w:w="0" w:type="dxa"/>
            <w:right w:w="108" w:type="dxa"/>
          </w:tblCellMar>
        </w:tblPrEx>
        <w:trPr>
          <w:trHeight w:val="456" w:hRule="atLeast"/>
        </w:trPr>
        <w:tc>
          <w:tcPr>
            <w:tcW w:w="372" w:type="pct"/>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center"/>
              <w:textAlignment w:val="center"/>
              <w:rPr>
                <w:rFonts w:hint="eastAsia" w:ascii="宋体" w:hAnsi="宋体" w:eastAsia="宋体" w:cs="宋体"/>
                <w:color w:val="000000"/>
                <w:sz w:val="21"/>
                <w:szCs w:val="21"/>
              </w:rPr>
            </w:pPr>
          </w:p>
        </w:tc>
        <w:tc>
          <w:tcPr>
            <w:tcW w:w="4627" w:type="pct"/>
            <w:gridSpan w:val="4"/>
            <w:tcBorders>
              <w:top w:val="single" w:color="000000" w:sz="4" w:space="0"/>
              <w:left w:val="single" w:color="000000" w:sz="4" w:space="0"/>
              <w:bottom w:val="single" w:color="000000" w:sz="4" w:space="0"/>
              <w:right w:val="single" w:color="000000" w:sz="4" w:space="0"/>
            </w:tcBorders>
            <w:noWrap w:val="0"/>
            <w:vAlign w:val="center"/>
          </w:tcPr>
          <w:p>
            <w:pPr>
              <w:widowControl/>
              <w:spacing w:before="120" w:beforeLines="50" w:after="120" w:afterLines="50" w:line="360" w:lineRule="auto"/>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lang w:bidi="ar"/>
              </w:rPr>
              <w:t>合计</w:t>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59264"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22" name="AutoShape_94"/>
                  <wp:cNvGraphicFramePr/>
                  <a:graphic xmlns:a="http://schemas.openxmlformats.org/drawingml/2006/main">
                    <a:graphicData uri="http://schemas.openxmlformats.org/drawingml/2006/picture">
                      <pic:pic xmlns:pic="http://schemas.openxmlformats.org/drawingml/2006/picture">
                        <pic:nvPicPr>
                          <pic:cNvPr id="22" name="AutoShape_94"/>
                          <pic:cNvPicPr/>
                        </pic:nvPicPr>
                        <pic:blipFill>
                          <a:blip r:embed="rId4"/>
                          <a:stretch>
                            <a:fillRect/>
                          </a:stretch>
                        </pic:blipFill>
                        <pic:spPr>
                          <a:xfrm>
                            <a:off x="0" y="0"/>
                            <a:ext cx="179070" cy="3619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60288"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34" name="AutoShape_94_SpCnt_1"/>
                  <wp:cNvGraphicFramePr/>
                  <a:graphic xmlns:a="http://schemas.openxmlformats.org/drawingml/2006/main">
                    <a:graphicData uri="http://schemas.openxmlformats.org/drawingml/2006/picture">
                      <pic:pic xmlns:pic="http://schemas.openxmlformats.org/drawingml/2006/picture">
                        <pic:nvPicPr>
                          <pic:cNvPr id="34" name="AutoShape_94_SpCnt_1"/>
                          <pic:cNvPicPr/>
                        </pic:nvPicPr>
                        <pic:blipFill>
                          <a:blip r:embed="rId4"/>
                          <a:stretch>
                            <a:fillRect/>
                          </a:stretch>
                        </pic:blipFill>
                        <pic:spPr>
                          <a:xfrm>
                            <a:off x="0" y="0"/>
                            <a:ext cx="179070" cy="3619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61312" behindDoc="0" locked="0" layoutInCell="1" allowOverlap="1">
                  <wp:simplePos x="0" y="0"/>
                  <wp:positionH relativeFrom="column">
                    <wp:posOffset>1757680</wp:posOffset>
                  </wp:positionH>
                  <wp:positionV relativeFrom="paragraph">
                    <wp:posOffset>0</wp:posOffset>
                  </wp:positionV>
                  <wp:extent cx="179070" cy="41910"/>
                  <wp:effectExtent l="0" t="0" r="0" b="0"/>
                  <wp:wrapNone/>
                  <wp:docPr id="37" name="AutoShape_94_SpCnt_2"/>
                  <wp:cNvGraphicFramePr/>
                  <a:graphic xmlns:a="http://schemas.openxmlformats.org/drawingml/2006/main">
                    <a:graphicData uri="http://schemas.openxmlformats.org/drawingml/2006/picture">
                      <pic:pic xmlns:pic="http://schemas.openxmlformats.org/drawingml/2006/picture">
                        <pic:nvPicPr>
                          <pic:cNvPr id="37" name="AutoShape_94_SpCnt_2"/>
                          <pic:cNvPicPr/>
                        </pic:nvPicPr>
                        <pic:blipFill>
                          <a:blip r:embed="rId5"/>
                          <a:stretch>
                            <a:fillRect/>
                          </a:stretch>
                        </pic:blipFill>
                        <pic:spPr>
                          <a:xfrm>
                            <a:off x="0" y="0"/>
                            <a:ext cx="179070" cy="41910"/>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62336"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27" name="AutoShape_94_SpCnt_3"/>
                  <wp:cNvGraphicFramePr/>
                  <a:graphic xmlns:a="http://schemas.openxmlformats.org/drawingml/2006/main">
                    <a:graphicData uri="http://schemas.openxmlformats.org/drawingml/2006/picture">
                      <pic:pic xmlns:pic="http://schemas.openxmlformats.org/drawingml/2006/picture">
                        <pic:nvPicPr>
                          <pic:cNvPr id="27" name="AutoShape_94_SpCnt_3"/>
                          <pic:cNvPicPr/>
                        </pic:nvPicPr>
                        <pic:blipFill>
                          <a:blip r:embed="rId4"/>
                          <a:stretch>
                            <a:fillRect/>
                          </a:stretch>
                        </pic:blipFill>
                        <pic:spPr>
                          <a:xfrm>
                            <a:off x="0" y="0"/>
                            <a:ext cx="179070" cy="3619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63360" behindDoc="0" locked="0" layoutInCell="1" allowOverlap="1">
                  <wp:simplePos x="0" y="0"/>
                  <wp:positionH relativeFrom="column">
                    <wp:posOffset>1757680</wp:posOffset>
                  </wp:positionH>
                  <wp:positionV relativeFrom="paragraph">
                    <wp:posOffset>0</wp:posOffset>
                  </wp:positionV>
                  <wp:extent cx="179070" cy="20955"/>
                  <wp:effectExtent l="0" t="0" r="0" b="0"/>
                  <wp:wrapNone/>
                  <wp:docPr id="24" name="AutoShape_94_SpCnt_4"/>
                  <wp:cNvGraphicFramePr/>
                  <a:graphic xmlns:a="http://schemas.openxmlformats.org/drawingml/2006/main">
                    <a:graphicData uri="http://schemas.openxmlformats.org/drawingml/2006/picture">
                      <pic:pic xmlns:pic="http://schemas.openxmlformats.org/drawingml/2006/picture">
                        <pic:nvPicPr>
                          <pic:cNvPr id="24" name="AutoShape_94_SpCnt_4"/>
                          <pic:cNvPicPr/>
                        </pic:nvPicPr>
                        <pic:blipFill>
                          <a:blip r:embed="rId6"/>
                          <a:stretch>
                            <a:fillRect/>
                          </a:stretch>
                        </pic:blipFill>
                        <pic:spPr>
                          <a:xfrm>
                            <a:off x="0" y="0"/>
                            <a:ext cx="179070" cy="2095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64384"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32" name="AutoShape_94_SpCnt_5"/>
                  <wp:cNvGraphicFramePr/>
                  <a:graphic xmlns:a="http://schemas.openxmlformats.org/drawingml/2006/main">
                    <a:graphicData uri="http://schemas.openxmlformats.org/drawingml/2006/picture">
                      <pic:pic xmlns:pic="http://schemas.openxmlformats.org/drawingml/2006/picture">
                        <pic:nvPicPr>
                          <pic:cNvPr id="32" name="AutoShape_94_SpCnt_5"/>
                          <pic:cNvPicPr/>
                        </pic:nvPicPr>
                        <pic:blipFill>
                          <a:blip r:embed="rId4"/>
                          <a:stretch>
                            <a:fillRect/>
                          </a:stretch>
                        </pic:blipFill>
                        <pic:spPr>
                          <a:xfrm>
                            <a:off x="0" y="0"/>
                            <a:ext cx="179070" cy="3619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65408"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28" name="AutoShape_94_SpCnt_6"/>
                  <wp:cNvGraphicFramePr/>
                  <a:graphic xmlns:a="http://schemas.openxmlformats.org/drawingml/2006/main">
                    <a:graphicData uri="http://schemas.openxmlformats.org/drawingml/2006/picture">
                      <pic:pic xmlns:pic="http://schemas.openxmlformats.org/drawingml/2006/picture">
                        <pic:nvPicPr>
                          <pic:cNvPr id="28" name="AutoShape_94_SpCnt_6"/>
                          <pic:cNvPicPr/>
                        </pic:nvPicPr>
                        <pic:blipFill>
                          <a:blip r:embed="rId4"/>
                          <a:stretch>
                            <a:fillRect/>
                          </a:stretch>
                        </pic:blipFill>
                        <pic:spPr>
                          <a:xfrm>
                            <a:off x="0" y="0"/>
                            <a:ext cx="179070" cy="3619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66432" behindDoc="0" locked="0" layoutInCell="1" allowOverlap="1">
                  <wp:simplePos x="0" y="0"/>
                  <wp:positionH relativeFrom="column">
                    <wp:posOffset>1757680</wp:posOffset>
                  </wp:positionH>
                  <wp:positionV relativeFrom="paragraph">
                    <wp:posOffset>0</wp:posOffset>
                  </wp:positionV>
                  <wp:extent cx="179070" cy="41910"/>
                  <wp:effectExtent l="0" t="0" r="0" b="0"/>
                  <wp:wrapNone/>
                  <wp:docPr id="21" name="AutoShape_94_SpCnt_7"/>
                  <wp:cNvGraphicFramePr/>
                  <a:graphic xmlns:a="http://schemas.openxmlformats.org/drawingml/2006/main">
                    <a:graphicData uri="http://schemas.openxmlformats.org/drawingml/2006/picture">
                      <pic:pic xmlns:pic="http://schemas.openxmlformats.org/drawingml/2006/picture">
                        <pic:nvPicPr>
                          <pic:cNvPr id="21" name="AutoShape_94_SpCnt_7"/>
                          <pic:cNvPicPr/>
                        </pic:nvPicPr>
                        <pic:blipFill>
                          <a:blip r:embed="rId5"/>
                          <a:stretch>
                            <a:fillRect/>
                          </a:stretch>
                        </pic:blipFill>
                        <pic:spPr>
                          <a:xfrm>
                            <a:off x="0" y="0"/>
                            <a:ext cx="179070" cy="41910"/>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67456"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33" name="AutoShape_94_SpCnt_8"/>
                  <wp:cNvGraphicFramePr/>
                  <a:graphic xmlns:a="http://schemas.openxmlformats.org/drawingml/2006/main">
                    <a:graphicData uri="http://schemas.openxmlformats.org/drawingml/2006/picture">
                      <pic:pic xmlns:pic="http://schemas.openxmlformats.org/drawingml/2006/picture">
                        <pic:nvPicPr>
                          <pic:cNvPr id="33" name="AutoShape_94_SpCnt_8"/>
                          <pic:cNvPicPr/>
                        </pic:nvPicPr>
                        <pic:blipFill>
                          <a:blip r:embed="rId4"/>
                          <a:stretch>
                            <a:fillRect/>
                          </a:stretch>
                        </pic:blipFill>
                        <pic:spPr>
                          <a:xfrm>
                            <a:off x="0" y="0"/>
                            <a:ext cx="179070" cy="3619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68480" behindDoc="0" locked="0" layoutInCell="1" allowOverlap="1">
                  <wp:simplePos x="0" y="0"/>
                  <wp:positionH relativeFrom="column">
                    <wp:posOffset>1757680</wp:posOffset>
                  </wp:positionH>
                  <wp:positionV relativeFrom="paragraph">
                    <wp:posOffset>0</wp:posOffset>
                  </wp:positionV>
                  <wp:extent cx="179070" cy="41910"/>
                  <wp:effectExtent l="0" t="0" r="0" b="0"/>
                  <wp:wrapNone/>
                  <wp:docPr id="38" name="AutoShape_94_SpCnt_9"/>
                  <wp:cNvGraphicFramePr/>
                  <a:graphic xmlns:a="http://schemas.openxmlformats.org/drawingml/2006/main">
                    <a:graphicData uri="http://schemas.openxmlformats.org/drawingml/2006/picture">
                      <pic:pic xmlns:pic="http://schemas.openxmlformats.org/drawingml/2006/picture">
                        <pic:nvPicPr>
                          <pic:cNvPr id="38" name="AutoShape_94_SpCnt_9"/>
                          <pic:cNvPicPr/>
                        </pic:nvPicPr>
                        <pic:blipFill>
                          <a:blip r:embed="rId5"/>
                          <a:stretch>
                            <a:fillRect/>
                          </a:stretch>
                        </pic:blipFill>
                        <pic:spPr>
                          <a:xfrm>
                            <a:off x="0" y="0"/>
                            <a:ext cx="179070" cy="41910"/>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69504"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19" name="AutoShape_94_SpCnt_10"/>
                  <wp:cNvGraphicFramePr/>
                  <a:graphic xmlns:a="http://schemas.openxmlformats.org/drawingml/2006/main">
                    <a:graphicData uri="http://schemas.openxmlformats.org/drawingml/2006/picture">
                      <pic:pic xmlns:pic="http://schemas.openxmlformats.org/drawingml/2006/picture">
                        <pic:nvPicPr>
                          <pic:cNvPr id="19" name="AutoShape_94_SpCnt_10"/>
                          <pic:cNvPicPr/>
                        </pic:nvPicPr>
                        <pic:blipFill>
                          <a:blip r:embed="rId4"/>
                          <a:stretch>
                            <a:fillRect/>
                          </a:stretch>
                        </pic:blipFill>
                        <pic:spPr>
                          <a:xfrm>
                            <a:off x="0" y="0"/>
                            <a:ext cx="179070" cy="3619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70528"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39" name="AutoShape_94_SpCnt_11"/>
                  <wp:cNvGraphicFramePr/>
                  <a:graphic xmlns:a="http://schemas.openxmlformats.org/drawingml/2006/main">
                    <a:graphicData uri="http://schemas.openxmlformats.org/drawingml/2006/picture">
                      <pic:pic xmlns:pic="http://schemas.openxmlformats.org/drawingml/2006/picture">
                        <pic:nvPicPr>
                          <pic:cNvPr id="39" name="AutoShape_94_SpCnt_11"/>
                          <pic:cNvPicPr/>
                        </pic:nvPicPr>
                        <pic:blipFill>
                          <a:blip r:embed="rId4"/>
                          <a:stretch>
                            <a:fillRect/>
                          </a:stretch>
                        </pic:blipFill>
                        <pic:spPr>
                          <a:xfrm>
                            <a:off x="0" y="0"/>
                            <a:ext cx="179070" cy="3619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71552"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40" name="AutoShape_94_SpCnt_12"/>
                  <wp:cNvGraphicFramePr/>
                  <a:graphic xmlns:a="http://schemas.openxmlformats.org/drawingml/2006/main">
                    <a:graphicData uri="http://schemas.openxmlformats.org/drawingml/2006/picture">
                      <pic:pic xmlns:pic="http://schemas.openxmlformats.org/drawingml/2006/picture">
                        <pic:nvPicPr>
                          <pic:cNvPr id="40" name="AutoShape_94_SpCnt_12"/>
                          <pic:cNvPicPr/>
                        </pic:nvPicPr>
                        <pic:blipFill>
                          <a:blip r:embed="rId4"/>
                          <a:stretch>
                            <a:fillRect/>
                          </a:stretch>
                        </pic:blipFill>
                        <pic:spPr>
                          <a:xfrm>
                            <a:off x="0" y="0"/>
                            <a:ext cx="179070" cy="3619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72576" behindDoc="0" locked="0" layoutInCell="1" allowOverlap="1">
                  <wp:simplePos x="0" y="0"/>
                  <wp:positionH relativeFrom="column">
                    <wp:posOffset>1757680</wp:posOffset>
                  </wp:positionH>
                  <wp:positionV relativeFrom="paragraph">
                    <wp:posOffset>0</wp:posOffset>
                  </wp:positionV>
                  <wp:extent cx="179070" cy="26035"/>
                  <wp:effectExtent l="0" t="0" r="0" b="0"/>
                  <wp:wrapNone/>
                  <wp:docPr id="41" name="AutoShape_94_SpCnt_13"/>
                  <wp:cNvGraphicFramePr/>
                  <a:graphic xmlns:a="http://schemas.openxmlformats.org/drawingml/2006/main">
                    <a:graphicData uri="http://schemas.openxmlformats.org/drawingml/2006/picture">
                      <pic:pic xmlns:pic="http://schemas.openxmlformats.org/drawingml/2006/picture">
                        <pic:nvPicPr>
                          <pic:cNvPr id="41" name="AutoShape_94_SpCnt_13"/>
                          <pic:cNvPicPr/>
                        </pic:nvPicPr>
                        <pic:blipFill>
                          <a:blip r:embed="rId6"/>
                          <a:stretch>
                            <a:fillRect/>
                          </a:stretch>
                        </pic:blipFill>
                        <pic:spPr>
                          <a:xfrm>
                            <a:off x="0" y="0"/>
                            <a:ext cx="179070" cy="2603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73600"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29" name="AutoShape_94_SpCnt_14"/>
                  <wp:cNvGraphicFramePr/>
                  <a:graphic xmlns:a="http://schemas.openxmlformats.org/drawingml/2006/main">
                    <a:graphicData uri="http://schemas.openxmlformats.org/drawingml/2006/picture">
                      <pic:pic xmlns:pic="http://schemas.openxmlformats.org/drawingml/2006/picture">
                        <pic:nvPicPr>
                          <pic:cNvPr id="29" name="AutoShape_94_SpCnt_14"/>
                          <pic:cNvPicPr/>
                        </pic:nvPicPr>
                        <pic:blipFill>
                          <a:blip r:embed="rId4"/>
                          <a:stretch>
                            <a:fillRect/>
                          </a:stretch>
                        </pic:blipFill>
                        <pic:spPr>
                          <a:xfrm>
                            <a:off x="0" y="0"/>
                            <a:ext cx="179070" cy="3619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74624"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42" name="AutoShape_94_SpCnt_15"/>
                  <wp:cNvGraphicFramePr/>
                  <a:graphic xmlns:a="http://schemas.openxmlformats.org/drawingml/2006/main">
                    <a:graphicData uri="http://schemas.openxmlformats.org/drawingml/2006/picture">
                      <pic:pic xmlns:pic="http://schemas.openxmlformats.org/drawingml/2006/picture">
                        <pic:nvPicPr>
                          <pic:cNvPr id="42" name="AutoShape_94_SpCnt_15"/>
                          <pic:cNvPicPr/>
                        </pic:nvPicPr>
                        <pic:blipFill>
                          <a:blip r:embed="rId4"/>
                          <a:stretch>
                            <a:fillRect/>
                          </a:stretch>
                        </pic:blipFill>
                        <pic:spPr>
                          <a:xfrm>
                            <a:off x="0" y="0"/>
                            <a:ext cx="179070" cy="3619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75648" behindDoc="0" locked="0" layoutInCell="1" allowOverlap="1">
                  <wp:simplePos x="0" y="0"/>
                  <wp:positionH relativeFrom="column">
                    <wp:posOffset>1757680</wp:posOffset>
                  </wp:positionH>
                  <wp:positionV relativeFrom="paragraph">
                    <wp:posOffset>0</wp:posOffset>
                  </wp:positionV>
                  <wp:extent cx="179070" cy="41910"/>
                  <wp:effectExtent l="0" t="0" r="0" b="0"/>
                  <wp:wrapNone/>
                  <wp:docPr id="20" name="AutoShape_94_SpCnt_16"/>
                  <wp:cNvGraphicFramePr/>
                  <a:graphic xmlns:a="http://schemas.openxmlformats.org/drawingml/2006/main">
                    <a:graphicData uri="http://schemas.openxmlformats.org/drawingml/2006/picture">
                      <pic:pic xmlns:pic="http://schemas.openxmlformats.org/drawingml/2006/picture">
                        <pic:nvPicPr>
                          <pic:cNvPr id="20" name="AutoShape_94_SpCnt_16"/>
                          <pic:cNvPicPr/>
                        </pic:nvPicPr>
                        <pic:blipFill>
                          <a:blip r:embed="rId5"/>
                          <a:stretch>
                            <a:fillRect/>
                          </a:stretch>
                        </pic:blipFill>
                        <pic:spPr>
                          <a:xfrm>
                            <a:off x="0" y="0"/>
                            <a:ext cx="179070" cy="41910"/>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76672"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12" name="AutoShape_94_SpCnt_17"/>
                  <wp:cNvGraphicFramePr/>
                  <a:graphic xmlns:a="http://schemas.openxmlformats.org/drawingml/2006/main">
                    <a:graphicData uri="http://schemas.openxmlformats.org/drawingml/2006/picture">
                      <pic:pic xmlns:pic="http://schemas.openxmlformats.org/drawingml/2006/picture">
                        <pic:nvPicPr>
                          <pic:cNvPr id="12" name="AutoShape_94_SpCnt_17"/>
                          <pic:cNvPicPr/>
                        </pic:nvPicPr>
                        <pic:blipFill>
                          <a:blip r:embed="rId4"/>
                          <a:stretch>
                            <a:fillRect/>
                          </a:stretch>
                        </pic:blipFill>
                        <pic:spPr>
                          <a:xfrm>
                            <a:off x="0" y="0"/>
                            <a:ext cx="179070" cy="3619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77696"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16" name="AutoShape_94_SpCnt_18"/>
                  <wp:cNvGraphicFramePr/>
                  <a:graphic xmlns:a="http://schemas.openxmlformats.org/drawingml/2006/main">
                    <a:graphicData uri="http://schemas.openxmlformats.org/drawingml/2006/picture">
                      <pic:pic xmlns:pic="http://schemas.openxmlformats.org/drawingml/2006/picture">
                        <pic:nvPicPr>
                          <pic:cNvPr id="16" name="AutoShape_94_SpCnt_18"/>
                          <pic:cNvPicPr/>
                        </pic:nvPicPr>
                        <pic:blipFill>
                          <a:blip r:embed="rId4"/>
                          <a:stretch>
                            <a:fillRect/>
                          </a:stretch>
                        </pic:blipFill>
                        <pic:spPr>
                          <a:xfrm>
                            <a:off x="0" y="0"/>
                            <a:ext cx="179070" cy="3619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78720"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14" name="AutoShape_94_SpCnt_19"/>
                  <wp:cNvGraphicFramePr/>
                  <a:graphic xmlns:a="http://schemas.openxmlformats.org/drawingml/2006/main">
                    <a:graphicData uri="http://schemas.openxmlformats.org/drawingml/2006/picture">
                      <pic:pic xmlns:pic="http://schemas.openxmlformats.org/drawingml/2006/picture">
                        <pic:nvPicPr>
                          <pic:cNvPr id="14" name="AutoShape_94_SpCnt_19"/>
                          <pic:cNvPicPr/>
                        </pic:nvPicPr>
                        <pic:blipFill>
                          <a:blip r:embed="rId4"/>
                          <a:stretch>
                            <a:fillRect/>
                          </a:stretch>
                        </pic:blipFill>
                        <pic:spPr>
                          <a:xfrm>
                            <a:off x="0" y="0"/>
                            <a:ext cx="179070" cy="3619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79744" behindDoc="0" locked="0" layoutInCell="1" allowOverlap="1">
                  <wp:simplePos x="0" y="0"/>
                  <wp:positionH relativeFrom="column">
                    <wp:posOffset>1757680</wp:posOffset>
                  </wp:positionH>
                  <wp:positionV relativeFrom="paragraph">
                    <wp:posOffset>0</wp:posOffset>
                  </wp:positionV>
                  <wp:extent cx="179070" cy="26035"/>
                  <wp:effectExtent l="0" t="0" r="0" b="0"/>
                  <wp:wrapNone/>
                  <wp:docPr id="44" name="AutoShape_94_SpCnt_20"/>
                  <wp:cNvGraphicFramePr/>
                  <a:graphic xmlns:a="http://schemas.openxmlformats.org/drawingml/2006/main">
                    <a:graphicData uri="http://schemas.openxmlformats.org/drawingml/2006/picture">
                      <pic:pic xmlns:pic="http://schemas.openxmlformats.org/drawingml/2006/picture">
                        <pic:nvPicPr>
                          <pic:cNvPr id="44" name="AutoShape_94_SpCnt_20"/>
                          <pic:cNvPicPr/>
                        </pic:nvPicPr>
                        <pic:blipFill>
                          <a:blip r:embed="rId6"/>
                          <a:stretch>
                            <a:fillRect/>
                          </a:stretch>
                        </pic:blipFill>
                        <pic:spPr>
                          <a:xfrm>
                            <a:off x="0" y="0"/>
                            <a:ext cx="179070" cy="26035"/>
                          </a:xfrm>
                          <a:prstGeom prst="rect">
                            <a:avLst/>
                          </a:prstGeom>
                          <a:noFill/>
                          <a:ln>
                            <a:noFill/>
                          </a:ln>
                        </pic:spPr>
                      </pic:pic>
                    </a:graphicData>
                  </a:graphic>
                </wp:anchor>
              </w:drawing>
            </w:r>
            <w:r>
              <w:rPr>
                <w:rFonts w:hint="eastAsia" w:ascii="宋体" w:hAnsi="宋体" w:eastAsia="宋体" w:cs="宋体"/>
                <w:color w:val="000000"/>
                <w:kern w:val="0"/>
                <w:sz w:val="21"/>
                <w:szCs w:val="21"/>
                <w:bdr w:val="single" w:color="000000" w:sz="4" w:space="0"/>
                <w:lang w:bidi="ar"/>
              </w:rPr>
              <w:drawing>
                <wp:anchor distT="0" distB="0" distL="114300" distR="114300" simplePos="0" relativeHeight="251680768" behindDoc="0" locked="0" layoutInCell="1" allowOverlap="1">
                  <wp:simplePos x="0" y="0"/>
                  <wp:positionH relativeFrom="column">
                    <wp:posOffset>1757680</wp:posOffset>
                  </wp:positionH>
                  <wp:positionV relativeFrom="paragraph">
                    <wp:posOffset>0</wp:posOffset>
                  </wp:positionV>
                  <wp:extent cx="179070" cy="36195"/>
                  <wp:effectExtent l="0" t="0" r="0" b="0"/>
                  <wp:wrapNone/>
                  <wp:docPr id="43" name="AutoShape_94_SpCnt_21"/>
                  <wp:cNvGraphicFramePr/>
                  <a:graphic xmlns:a="http://schemas.openxmlformats.org/drawingml/2006/main">
                    <a:graphicData uri="http://schemas.openxmlformats.org/drawingml/2006/picture">
                      <pic:pic xmlns:pic="http://schemas.openxmlformats.org/drawingml/2006/picture">
                        <pic:nvPicPr>
                          <pic:cNvPr id="43" name="AutoShape_94_SpCnt_21"/>
                          <pic:cNvPicPr/>
                        </pic:nvPicPr>
                        <pic:blipFill>
                          <a:blip r:embed="rId4"/>
                          <a:stretch>
                            <a:fillRect/>
                          </a:stretch>
                        </pic:blipFill>
                        <pic:spPr>
                          <a:xfrm>
                            <a:off x="0" y="0"/>
                            <a:ext cx="179070" cy="36195"/>
                          </a:xfrm>
                          <a:prstGeom prst="rect">
                            <a:avLst/>
                          </a:prstGeom>
                          <a:noFill/>
                          <a:ln>
                            <a:noFill/>
                          </a:ln>
                        </pic:spPr>
                      </pic:pic>
                    </a:graphicData>
                  </a:graphic>
                </wp:anchor>
              </w:drawing>
            </w:r>
            <w:r>
              <w:rPr>
                <w:rFonts w:hint="eastAsia" w:ascii="宋体" w:hAnsi="宋体" w:eastAsia="宋体" w:cs="宋体"/>
                <w:color w:val="000000"/>
                <w:kern w:val="0"/>
                <w:sz w:val="21"/>
                <w:szCs w:val="21"/>
                <w:lang w:bidi="ar"/>
              </w:rPr>
              <w:t>（元）：</w:t>
            </w:r>
            <w:r>
              <w:rPr>
                <w:rFonts w:hint="eastAsia" w:ascii="宋体" w:hAnsi="宋体" w:eastAsia="宋体" w:cs="宋体"/>
                <w:color w:val="000000"/>
                <w:sz w:val="21"/>
                <w:szCs w:val="21"/>
              </w:rPr>
              <w:t>530400.00</w:t>
            </w:r>
          </w:p>
        </w:tc>
      </w:tr>
    </w:tbl>
    <w:p>
      <w:pPr>
        <w:keepNext w:val="0"/>
        <w:keepLines w:val="0"/>
        <w:pageBreakBefore w:val="0"/>
        <w:widowControl w:val="0"/>
        <w:kinsoku/>
        <w:wordWrap/>
        <w:overflowPunct/>
        <w:topLinePunct w:val="0"/>
        <w:autoSpaceDE/>
        <w:autoSpaceDN/>
        <w:bidi w:val="0"/>
        <w:adjustRightInd/>
        <w:snapToGrid w:val="0"/>
        <w:spacing w:line="360" w:lineRule="auto"/>
        <w:ind w:right="-65" w:rightChars="-19"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1.4资金来源：企业自筹</w:t>
      </w:r>
    </w:p>
    <w:p>
      <w:pPr>
        <w:keepNext w:val="0"/>
        <w:keepLines w:val="0"/>
        <w:pageBreakBefore w:val="0"/>
        <w:widowControl w:val="0"/>
        <w:kinsoku/>
        <w:wordWrap/>
        <w:overflowPunct/>
        <w:topLinePunct w:val="0"/>
        <w:autoSpaceDE/>
        <w:autoSpaceDN/>
        <w:bidi w:val="0"/>
        <w:adjustRightInd/>
        <w:snapToGrid w:val="0"/>
        <w:spacing w:line="360" w:lineRule="auto"/>
        <w:ind w:right="-65" w:rightChars="-19"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1.</w:t>
      </w:r>
      <w:bookmarkEnd w:id="2"/>
      <w:bookmarkStart w:id="3" w:name="_Toc37407095"/>
      <w:bookmarkStart w:id="4" w:name="_Toc37409907"/>
      <w:bookmarkStart w:id="5" w:name="_Toc37411142"/>
      <w:r>
        <w:rPr>
          <w:rFonts w:hint="eastAsia" w:ascii="宋体" w:hAnsi="宋体" w:eastAsia="宋体" w:cs="宋体"/>
          <w:sz w:val="24"/>
          <w:szCs w:val="22"/>
        </w:rPr>
        <w:t>5服务期限：自签订合同之日起至2024年6月30日</w:t>
      </w:r>
    </w:p>
    <w:p>
      <w:pPr>
        <w:keepNext w:val="0"/>
        <w:keepLines w:val="0"/>
        <w:pageBreakBefore w:val="0"/>
        <w:widowControl w:val="0"/>
        <w:kinsoku/>
        <w:wordWrap/>
        <w:overflowPunct/>
        <w:topLinePunct w:val="0"/>
        <w:autoSpaceDE/>
        <w:autoSpaceDN/>
        <w:bidi w:val="0"/>
        <w:adjustRightInd/>
        <w:snapToGrid w:val="0"/>
        <w:spacing w:line="360" w:lineRule="auto"/>
        <w:ind w:right="-65" w:rightChars="-19" w:firstLine="480" w:firstLineChars="200"/>
        <w:textAlignment w:val="auto"/>
        <w:rPr>
          <w:rFonts w:hint="eastAsia" w:ascii="宋体" w:hAnsi="宋体" w:eastAsia="宋体" w:cs="宋体"/>
          <w:sz w:val="24"/>
          <w:szCs w:val="22"/>
        </w:rPr>
      </w:pPr>
      <w:r>
        <w:rPr>
          <w:rFonts w:hint="eastAsia" w:ascii="宋体" w:hAnsi="宋体" w:eastAsia="宋体" w:cs="宋体"/>
          <w:sz w:val="24"/>
          <w:szCs w:val="22"/>
        </w:rPr>
        <w:t>1.6服务地点：</w:t>
      </w:r>
      <w:r>
        <w:rPr>
          <w:rFonts w:hint="eastAsia" w:ascii="宋体" w:hAnsi="宋体" w:eastAsia="宋体" w:cs="仿宋_GB2312"/>
          <w:sz w:val="24"/>
          <w:szCs w:val="24"/>
        </w:rPr>
        <w:t>锡林郭勒盟</w:t>
      </w:r>
    </w:p>
    <w:bookmarkEnd w:id="3"/>
    <w:bookmarkEnd w:id="4"/>
    <w:bookmarkEnd w:id="5"/>
    <w:p>
      <w:pPr>
        <w:snapToGrid w:val="0"/>
        <w:spacing w:line="360" w:lineRule="auto"/>
        <w:ind w:right="-65" w:rightChars="-19"/>
        <w:rPr>
          <w:rFonts w:hint="eastAsia" w:ascii="宋体" w:hAnsi="宋体" w:eastAsia="宋体" w:cs="宋体"/>
          <w:sz w:val="24"/>
          <w:szCs w:val="24"/>
        </w:rPr>
      </w:pPr>
      <w:r>
        <w:rPr>
          <w:rFonts w:hint="eastAsia" w:ascii="宋体" w:hAnsi="宋体" w:eastAsia="宋体" w:cs="宋体"/>
          <w:b/>
          <w:sz w:val="24"/>
          <w:szCs w:val="24"/>
        </w:rPr>
        <w:t>2.供应商资格要求：</w:t>
      </w:r>
      <w:bookmarkStart w:id="26" w:name="_GoBack"/>
      <w:bookmarkEnd w:id="26"/>
    </w:p>
    <w:p>
      <w:pPr>
        <w:spacing w:line="360" w:lineRule="auto"/>
        <w:ind w:right="-65" w:rightChars="-19"/>
        <w:rPr>
          <w:rFonts w:hint="eastAsia" w:ascii="宋体" w:hAnsi="宋体" w:eastAsia="宋体" w:cs="宋体"/>
          <w:b/>
          <w:sz w:val="24"/>
          <w:szCs w:val="24"/>
        </w:rPr>
      </w:pPr>
      <w:r>
        <w:rPr>
          <w:rFonts w:hint="eastAsia" w:ascii="宋体" w:hAnsi="宋体" w:eastAsia="宋体" w:cs="宋体"/>
          <w:b/>
          <w:sz w:val="24"/>
          <w:szCs w:val="24"/>
        </w:rPr>
        <w:t>2.1通用资格要求</w:t>
      </w:r>
    </w:p>
    <w:p>
      <w:pPr>
        <w:widowControl/>
        <w:shd w:val="clear" w:color="auto" w:fill="FFFFFF"/>
        <w:spacing w:line="360" w:lineRule="auto"/>
        <w:ind w:firstLine="480" w:firstLineChars="200"/>
        <w:jc w:val="left"/>
        <w:rPr>
          <w:rFonts w:ascii="宋体" w:hAnsi="宋体" w:eastAsia="宋体" w:cs="宋体"/>
          <w:sz w:val="24"/>
        </w:rPr>
      </w:pPr>
      <w:r>
        <w:rPr>
          <w:rFonts w:hint="eastAsia" w:ascii="宋体" w:hAnsi="宋体" w:eastAsia="宋体" w:cs="宋体"/>
          <w:sz w:val="24"/>
        </w:rPr>
        <w:t>（1）本次采购要求供应商具有中华人民共和国企业法人资格或其他组织，且具有独立订立合同的权利；</w:t>
      </w:r>
    </w:p>
    <w:p>
      <w:pPr>
        <w:widowControl/>
        <w:shd w:val="clear" w:color="auto" w:fill="FFFFFF"/>
        <w:spacing w:line="360" w:lineRule="auto"/>
        <w:ind w:firstLine="480" w:firstLineChars="200"/>
        <w:jc w:val="left"/>
        <w:rPr>
          <w:rFonts w:hint="eastAsia" w:ascii="宋体" w:hAnsi="宋体" w:eastAsia="宋体" w:cs="宋体"/>
          <w:color w:val="000000"/>
          <w:sz w:val="24"/>
        </w:rPr>
      </w:pPr>
      <w:r>
        <w:rPr>
          <w:rFonts w:hint="eastAsia" w:ascii="宋体" w:hAnsi="宋体" w:eastAsia="宋体" w:cs="宋体"/>
          <w:sz w:val="24"/>
        </w:rPr>
        <w:t>（2）</w:t>
      </w:r>
      <w:r>
        <w:rPr>
          <w:rFonts w:hint="eastAsia" w:ascii="宋体" w:hAnsi="宋体" w:eastAsia="宋体" w:cs="宋体"/>
          <w:color w:val="000000"/>
          <w:sz w:val="24"/>
        </w:rPr>
        <w:t>单位负责人为同一人或者存在控股、管理关系的不同单位，不得参加同一标段投标或者未划分标段的同一采购项目投标。母子公司不能互用资质、业绩；</w:t>
      </w:r>
    </w:p>
    <w:p>
      <w:pPr>
        <w:snapToGrid w:val="0"/>
        <w:spacing w:line="360" w:lineRule="auto"/>
        <w:ind w:right="-65" w:rightChars="-19" w:firstLine="480" w:firstLineChars="200"/>
        <w:rPr>
          <w:rFonts w:hint="eastAsia" w:ascii="宋体" w:hAnsi="宋体" w:eastAsia="宋体" w:cs="宋体"/>
          <w:sz w:val="24"/>
          <w:szCs w:val="24"/>
        </w:rPr>
      </w:pPr>
      <w:r>
        <w:rPr>
          <w:rFonts w:hint="eastAsia" w:ascii="宋体" w:hAnsi="宋体" w:eastAsia="宋体" w:cs="宋体"/>
          <w:sz w:val="24"/>
        </w:rPr>
        <w:t>（3）</w:t>
      </w:r>
      <w:r>
        <w:rPr>
          <w:rFonts w:hint="eastAsia" w:ascii="宋体" w:hAnsi="宋体" w:eastAsia="宋体" w:cs="宋体"/>
          <w:sz w:val="24"/>
          <w:szCs w:val="24"/>
        </w:rPr>
        <w:t>具有国家相关部门颁发且有效的营业执照，企业如有信息变更，需有市场监督管理部门出具的变更说明；</w:t>
      </w:r>
    </w:p>
    <w:p>
      <w:pPr>
        <w:spacing w:line="360" w:lineRule="auto"/>
        <w:ind w:firstLine="480" w:firstLineChars="200"/>
        <w:jc w:val="left"/>
        <w:rPr>
          <w:rFonts w:ascii="宋体" w:hAnsi="宋体" w:eastAsia="宋体" w:cs="宋体"/>
          <w:bCs/>
          <w:sz w:val="24"/>
        </w:rPr>
      </w:pPr>
      <w:r>
        <w:rPr>
          <w:rFonts w:hint="eastAsia" w:ascii="宋体" w:hAnsi="宋体" w:eastAsia="宋体" w:cs="宋体"/>
          <w:sz w:val="24"/>
        </w:rPr>
        <w:t>（4）</w:t>
      </w:r>
      <w:r>
        <w:rPr>
          <w:rFonts w:hint="eastAsia" w:ascii="宋体" w:hAnsi="宋体" w:eastAsia="宋体" w:cs="宋体"/>
          <w:bCs/>
          <w:sz w:val="24"/>
        </w:rPr>
        <w:t>供应商具有开具增值税专用发票的能力；</w:t>
      </w:r>
    </w:p>
    <w:p>
      <w:pPr>
        <w:spacing w:line="360" w:lineRule="auto"/>
        <w:ind w:firstLine="480" w:firstLineChars="200"/>
        <w:jc w:val="left"/>
        <w:rPr>
          <w:rFonts w:ascii="宋体" w:hAnsi="宋体" w:eastAsia="宋体" w:cs="宋体"/>
          <w:bCs/>
          <w:color w:val="000000"/>
          <w:sz w:val="24"/>
        </w:rPr>
      </w:pPr>
      <w:r>
        <w:rPr>
          <w:rFonts w:hint="eastAsia" w:ascii="宋体" w:hAnsi="宋体" w:eastAsia="宋体" w:cs="宋体"/>
          <w:sz w:val="24"/>
        </w:rPr>
        <w:t>（5）</w:t>
      </w:r>
      <w:r>
        <w:rPr>
          <w:rFonts w:hint="eastAsia" w:ascii="宋体" w:hAnsi="宋体" w:eastAsia="宋体" w:cs="宋体"/>
          <w:bCs/>
          <w:color w:val="000000"/>
          <w:sz w:val="24"/>
        </w:rPr>
        <w:t>在近三年内（自招标文件发售之日起前三年）投标单位和其法定代表人未有行贿犯罪行为的。</w:t>
      </w:r>
    </w:p>
    <w:p>
      <w:pPr>
        <w:spacing w:line="360" w:lineRule="auto"/>
        <w:ind w:firstLine="480" w:firstLineChars="200"/>
        <w:jc w:val="left"/>
        <w:rPr>
          <w:rFonts w:ascii="宋体" w:hAnsi="宋体" w:eastAsia="宋体" w:cs="宋体"/>
          <w:bCs/>
          <w:color w:val="000000"/>
          <w:sz w:val="24"/>
        </w:rPr>
      </w:pPr>
      <w:r>
        <w:rPr>
          <w:rFonts w:hint="eastAsia" w:ascii="宋体" w:hAnsi="宋体" w:eastAsia="宋体" w:cs="宋体"/>
          <w:bCs/>
          <w:color w:val="000000"/>
          <w:sz w:val="24"/>
        </w:rPr>
        <w:t>注：投标单位需提供近三年内（自中招标文件发售之日起前三年）投标单位在中国裁判文书网（http://wenshu.court.gov.cn/）无行贿犯罪档案的查询结果截图和其法定代表人在中国裁判文书网无行贿犯罪档案的查询结果截图，查询结果截图中须包含：“当事人”为投标单位名称或投标单位法定代表人，“全文”为“行贿罪”，“裁判日期”不得少于近三年（自招标文件发售之日起前三年）。</w:t>
      </w:r>
    </w:p>
    <w:p>
      <w:pPr>
        <w:spacing w:line="360" w:lineRule="auto"/>
        <w:ind w:firstLine="480" w:firstLineChars="200"/>
        <w:jc w:val="left"/>
        <w:rPr>
          <w:rFonts w:ascii="宋体" w:hAnsi="宋体" w:eastAsia="宋体" w:cs="宋体"/>
          <w:bCs/>
          <w:color w:val="000000"/>
          <w:sz w:val="24"/>
        </w:rPr>
      </w:pPr>
      <w:r>
        <w:rPr>
          <w:rFonts w:hint="eastAsia" w:ascii="宋体" w:hAnsi="宋体" w:eastAsia="宋体" w:cs="宋体"/>
          <w:bCs/>
          <w:color w:val="000000"/>
          <w:sz w:val="24"/>
        </w:rPr>
        <w:t>（6）投标单位未被工商行政管理机关在国家企业信用信息公示系统中列入“严重违法失信企业名单”。</w:t>
      </w:r>
    </w:p>
    <w:p>
      <w:pPr>
        <w:spacing w:line="360" w:lineRule="auto"/>
        <w:ind w:firstLine="480" w:firstLineChars="200"/>
        <w:jc w:val="left"/>
        <w:rPr>
          <w:rFonts w:ascii="宋体" w:hAnsi="宋体" w:eastAsia="宋体" w:cs="宋体"/>
          <w:bCs/>
          <w:color w:val="000000"/>
          <w:sz w:val="24"/>
        </w:rPr>
      </w:pPr>
      <w:r>
        <w:rPr>
          <w:rFonts w:hint="eastAsia" w:ascii="宋体" w:hAnsi="宋体" w:eastAsia="宋体" w:cs="宋体"/>
          <w:bCs/>
          <w:color w:val="000000"/>
          <w:sz w:val="24"/>
        </w:rPr>
        <w:t>注：投标单位需提供投标单位在国家企业信用信息公示系统（www.gsxt.gov.cn）针对“严重违法失信企业名单”的查询结果截图，查询结果截图中须包含：投标单位名称、统一社会信用代码、列入严重违法失信名单（黑名单）信息。</w:t>
      </w:r>
    </w:p>
    <w:p>
      <w:pPr>
        <w:spacing w:line="360" w:lineRule="auto"/>
        <w:ind w:firstLine="480" w:firstLineChars="200"/>
        <w:jc w:val="left"/>
        <w:rPr>
          <w:rFonts w:ascii="宋体" w:hAnsi="宋体" w:eastAsia="宋体" w:cs="宋体"/>
          <w:bCs/>
          <w:color w:val="000000"/>
          <w:sz w:val="24"/>
        </w:rPr>
      </w:pPr>
      <w:r>
        <w:rPr>
          <w:rFonts w:hint="eastAsia" w:ascii="宋体" w:hAnsi="宋体" w:eastAsia="宋体" w:cs="宋体"/>
          <w:sz w:val="24"/>
        </w:rPr>
        <w:t>（7）</w:t>
      </w:r>
      <w:r>
        <w:rPr>
          <w:rFonts w:hint="eastAsia" w:ascii="宋体" w:hAnsi="宋体" w:eastAsia="宋体" w:cs="宋体"/>
          <w:bCs/>
          <w:color w:val="000000"/>
          <w:sz w:val="24"/>
        </w:rPr>
        <w:t>未被最高人民法院在“信用中国”网站（www.creditchina.gov.cn）或各级信用信息共享平台中列入失信被执行人名单。</w:t>
      </w:r>
    </w:p>
    <w:p>
      <w:pPr>
        <w:spacing w:line="360" w:lineRule="auto"/>
        <w:ind w:firstLine="480" w:firstLineChars="200"/>
        <w:jc w:val="left"/>
        <w:rPr>
          <w:rFonts w:ascii="宋体" w:hAnsi="宋体" w:eastAsia="宋体" w:cs="宋体"/>
          <w:bCs/>
          <w:color w:val="000000"/>
          <w:sz w:val="24"/>
        </w:rPr>
      </w:pPr>
      <w:r>
        <w:rPr>
          <w:rFonts w:hint="eastAsia" w:ascii="宋体" w:hAnsi="宋体" w:eastAsia="宋体" w:cs="宋体"/>
          <w:bCs/>
          <w:color w:val="000000"/>
          <w:sz w:val="24"/>
        </w:rPr>
        <w:t>注：投标单位需提供在“信用中国”网站（www.creditchina.gov.cn）或各级信用信息共享平台中列入失信被执行人名单信息的查询结果截图，在“信用中国”的查询结果截图须能体现投标单位在“中国执行信息公开网”的查询结果。</w:t>
      </w:r>
    </w:p>
    <w:p>
      <w:pPr>
        <w:spacing w:line="360" w:lineRule="auto"/>
        <w:ind w:firstLine="480" w:firstLineChars="200"/>
        <w:jc w:val="left"/>
        <w:rPr>
          <w:rFonts w:ascii="宋体" w:hAnsi="宋体" w:eastAsia="宋体" w:cs="宋体"/>
          <w:bCs/>
          <w:color w:val="000000"/>
          <w:sz w:val="24"/>
        </w:rPr>
      </w:pPr>
      <w:r>
        <w:rPr>
          <w:rFonts w:hint="eastAsia" w:ascii="宋体" w:hAnsi="宋体" w:eastAsia="宋体" w:cs="宋体"/>
          <w:bCs/>
          <w:color w:val="000000"/>
          <w:sz w:val="24"/>
        </w:rPr>
        <w:t>“信用中国”查询方式：“信用中国”→“信用服务”→“失信被执行人”，在弹出窗口进入链接网站（“中国执行信息公开网”），在查询窗口输入查询企业名称，在查询省份范围中选择“全国”，将查询结果截图。</w:t>
      </w:r>
    </w:p>
    <w:p>
      <w:pPr>
        <w:spacing w:line="360" w:lineRule="auto"/>
        <w:ind w:firstLine="480" w:firstLineChars="200"/>
        <w:jc w:val="left"/>
        <w:rPr>
          <w:rFonts w:ascii="宋体" w:hAnsi="宋体" w:eastAsia="宋体" w:cs="宋体"/>
          <w:bCs/>
          <w:color w:val="000000"/>
          <w:sz w:val="24"/>
        </w:rPr>
      </w:pPr>
      <w:r>
        <w:rPr>
          <w:rFonts w:hint="eastAsia" w:ascii="宋体" w:hAnsi="宋体" w:eastAsia="宋体" w:cs="宋体"/>
          <w:sz w:val="24"/>
        </w:rPr>
        <w:t>（8）</w:t>
      </w:r>
      <w:r>
        <w:rPr>
          <w:rFonts w:hint="eastAsia" w:ascii="宋体" w:hAnsi="宋体" w:eastAsia="宋体" w:cs="宋体"/>
          <w:bCs/>
          <w:color w:val="000000"/>
          <w:sz w:val="24"/>
        </w:rPr>
        <w:t>供应商未因发生过骗取中标和严重违约、质量事故及重大合同纠纷被上级部门（内蒙古电力（集团）有限责任公司）通报/披露取消投标资格，并且目前不处于处罚期内；按照内蒙古电力（集团）有限责任公司《关于对供应商不良行为处理的通知》的规定，未列入最新发布的不良供应商名单；</w:t>
      </w:r>
    </w:p>
    <w:p>
      <w:pPr>
        <w:spacing w:line="360" w:lineRule="auto"/>
        <w:ind w:firstLine="480" w:firstLineChars="200"/>
        <w:jc w:val="left"/>
        <w:rPr>
          <w:rFonts w:ascii="宋体" w:hAnsi="宋体" w:eastAsia="宋体" w:cs="宋体"/>
          <w:bCs/>
          <w:color w:val="000000"/>
          <w:sz w:val="24"/>
        </w:rPr>
      </w:pPr>
      <w:r>
        <w:rPr>
          <w:rFonts w:hint="eastAsia" w:ascii="宋体" w:hAnsi="宋体" w:eastAsia="宋体" w:cs="宋体"/>
          <w:sz w:val="24"/>
        </w:rPr>
        <w:t>（9）</w:t>
      </w:r>
      <w:r>
        <w:rPr>
          <w:rFonts w:hint="eastAsia" w:ascii="宋体" w:hAnsi="宋体" w:eastAsia="宋体" w:cs="宋体"/>
          <w:bCs/>
          <w:color w:val="000000"/>
          <w:sz w:val="24"/>
        </w:rPr>
        <w:t>供应商未被列入中电联发布的涉电力领域失信联合惩戒对象名单及涉电力领域重点关注对象名单（截止到最新所有名单）；</w:t>
      </w:r>
    </w:p>
    <w:p>
      <w:pPr>
        <w:spacing w:line="360" w:lineRule="auto"/>
        <w:ind w:firstLine="480" w:firstLineChars="200"/>
        <w:jc w:val="left"/>
        <w:rPr>
          <w:rFonts w:ascii="宋体" w:hAnsi="宋体" w:eastAsia="宋体" w:cs="宋体"/>
          <w:bCs/>
          <w:color w:val="000000"/>
          <w:sz w:val="24"/>
        </w:rPr>
      </w:pPr>
      <w:r>
        <w:rPr>
          <w:rFonts w:hint="eastAsia" w:ascii="宋体" w:hAnsi="宋体" w:eastAsia="宋体" w:cs="宋体"/>
          <w:sz w:val="24"/>
        </w:rPr>
        <w:t>（10）</w:t>
      </w:r>
      <w:r>
        <w:rPr>
          <w:rFonts w:hint="eastAsia" w:ascii="宋体" w:hAnsi="宋体" w:eastAsia="宋体" w:cs="宋体"/>
          <w:bCs/>
          <w:color w:val="000000"/>
          <w:sz w:val="24"/>
        </w:rPr>
        <w:t>本项目不接受联合体竞标。</w:t>
      </w:r>
    </w:p>
    <w:p>
      <w:pPr>
        <w:pStyle w:val="12"/>
        <w:spacing w:line="360" w:lineRule="auto"/>
        <w:ind w:firstLine="482" w:firstLineChars="200"/>
        <w:rPr>
          <w:rFonts w:hint="eastAsia" w:ascii="宋体" w:hAnsi="宋体" w:eastAsia="宋体" w:cs="宋体"/>
          <w:b/>
          <w:color w:val="000000"/>
          <w:sz w:val="24"/>
        </w:rPr>
      </w:pPr>
      <w:r>
        <w:rPr>
          <w:rFonts w:hint="eastAsia" w:ascii="宋体" w:hAnsi="宋体" w:eastAsia="宋体" w:cs="宋体"/>
          <w:b/>
          <w:color w:val="000000"/>
          <w:sz w:val="24"/>
        </w:rPr>
        <w:t>专用资格要求：</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360" w:firstLineChars="150"/>
        <w:textAlignment w:val="auto"/>
        <w:rPr>
          <w:rFonts w:hint="eastAsia" w:ascii="宋体" w:hAnsi="宋体" w:eastAsia="宋体" w:cs="宋体"/>
          <w:sz w:val="24"/>
        </w:rPr>
      </w:pPr>
      <w:r>
        <w:rPr>
          <w:rFonts w:hint="eastAsia" w:ascii="宋体" w:hAnsi="宋体" w:eastAsia="宋体" w:cs="宋体"/>
          <w:sz w:val="24"/>
          <w:lang w:eastAsia="zh-CN"/>
        </w:rPr>
        <w:t>（</w:t>
      </w:r>
      <w:r>
        <w:rPr>
          <w:rFonts w:hint="eastAsia" w:ascii="宋体" w:hAnsi="宋体" w:eastAsia="宋体" w:cs="宋体"/>
          <w:sz w:val="24"/>
          <w:lang w:val="en-US" w:eastAsia="zh-CN"/>
        </w:rPr>
        <w:t>1</w:t>
      </w:r>
      <w:r>
        <w:rPr>
          <w:rFonts w:hint="eastAsia" w:ascii="宋体" w:hAnsi="宋体" w:eastAsia="宋体" w:cs="宋体"/>
          <w:sz w:val="24"/>
          <w:lang w:eastAsia="zh-CN"/>
        </w:rPr>
        <w:t>）</w:t>
      </w:r>
      <w:r>
        <w:rPr>
          <w:rFonts w:hint="eastAsia" w:ascii="宋体" w:hAnsi="宋体" w:eastAsia="宋体" w:cs="宋体"/>
          <w:sz w:val="24"/>
        </w:rPr>
        <w:t>供应商须具有国家能源局（国家电力监管委员会）颁发的承装（修、试）设施许可证（承装类）三级及以上资质证书，证书在有效期内；</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360" w:firstLineChars="150"/>
        <w:textAlignment w:val="auto"/>
        <w:rPr>
          <w:rFonts w:ascii="宋体" w:hAnsi="宋体" w:eastAsia="宋体" w:cs="宋体"/>
          <w:bCs/>
          <w:sz w:val="24"/>
        </w:rPr>
      </w:pPr>
      <w:r>
        <w:rPr>
          <w:rFonts w:hint="eastAsia" w:ascii="宋体" w:hAnsi="宋体" w:eastAsia="宋体" w:cs="宋体"/>
          <w:sz w:val="24"/>
        </w:rPr>
        <w:t>（2）供应商须具有建设行政主管部门颁发的有效期内的安全生产许可证；</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360" w:firstLineChars="150"/>
        <w:textAlignment w:val="auto"/>
        <w:rPr>
          <w:rFonts w:hint="eastAsia" w:ascii="宋体" w:hAnsi="宋体" w:eastAsia="宋体" w:cs="宋体"/>
          <w:color w:val="auto"/>
          <w:sz w:val="24"/>
        </w:rPr>
      </w:pPr>
      <w:r>
        <w:rPr>
          <w:rFonts w:hint="eastAsia" w:ascii="宋体" w:hAnsi="宋体" w:eastAsia="宋体" w:cs="宋体"/>
          <w:color w:val="auto"/>
          <w:sz w:val="24"/>
        </w:rPr>
        <w:t>（3）供应商须</w:t>
      </w:r>
      <w:r>
        <w:rPr>
          <w:rFonts w:hint="eastAsia" w:ascii="宋体" w:hAnsi="宋体" w:eastAsia="宋体" w:cs="宋体"/>
          <w:color w:val="auto"/>
          <w:sz w:val="24"/>
          <w:lang w:val="en-US" w:eastAsia="zh-CN"/>
        </w:rPr>
        <w:t>承诺</w:t>
      </w:r>
      <w:r>
        <w:rPr>
          <w:rFonts w:hint="eastAsia" w:ascii="宋体" w:hAnsi="宋体" w:eastAsia="宋体" w:cs="宋体"/>
          <w:color w:val="auto"/>
          <w:sz w:val="24"/>
          <w:lang w:eastAsia="zh-CN"/>
        </w:rPr>
        <w:t>进场施工人员具备电工证</w:t>
      </w:r>
      <w:r>
        <w:rPr>
          <w:rFonts w:hint="eastAsia" w:ascii="宋体" w:hAnsi="宋体" w:eastAsia="宋体" w:cs="宋体"/>
          <w:color w:val="auto"/>
          <w:sz w:val="24"/>
        </w:rPr>
        <w:t>（</w:t>
      </w:r>
      <w:r>
        <w:rPr>
          <w:rFonts w:hint="eastAsia" w:ascii="宋体" w:hAnsi="宋体" w:eastAsia="宋体" w:cs="宋体"/>
          <w:color w:val="auto"/>
          <w:sz w:val="24"/>
          <w:lang w:val="en-US" w:eastAsia="zh-CN"/>
        </w:rPr>
        <w:t>提供</w:t>
      </w:r>
      <w:r>
        <w:rPr>
          <w:rFonts w:hint="eastAsia" w:ascii="宋体" w:hAnsi="宋体" w:eastAsia="宋体" w:cs="宋体"/>
          <w:color w:val="auto"/>
          <w:sz w:val="24"/>
        </w:rPr>
        <w:t>承诺</w:t>
      </w:r>
      <w:r>
        <w:rPr>
          <w:rFonts w:hint="eastAsia" w:ascii="宋体" w:hAnsi="宋体" w:eastAsia="宋体" w:cs="宋体"/>
          <w:color w:val="auto"/>
          <w:sz w:val="24"/>
          <w:lang w:val="en-US" w:eastAsia="zh-CN"/>
        </w:rPr>
        <w:t>函，格式自拟</w:t>
      </w:r>
      <w:r>
        <w:rPr>
          <w:rFonts w:hint="eastAsia" w:ascii="宋体" w:hAnsi="宋体" w:eastAsia="宋体" w:cs="宋体"/>
          <w:color w:val="auto"/>
          <w:sz w:val="24"/>
        </w:rPr>
        <w:t>）；</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360" w:firstLineChars="150"/>
        <w:textAlignment w:val="auto"/>
        <w:rPr>
          <w:rFonts w:ascii="宋体" w:hAnsi="宋体" w:eastAsia="宋体" w:cs="宋体"/>
          <w:color w:val="auto"/>
          <w:sz w:val="24"/>
        </w:rPr>
      </w:pPr>
      <w:r>
        <w:rPr>
          <w:rFonts w:hint="eastAsia" w:ascii="宋体" w:hAnsi="宋体" w:eastAsia="宋体" w:cs="宋体"/>
          <w:color w:val="auto"/>
          <w:sz w:val="24"/>
        </w:rPr>
        <w:t>（4）供应商须</w:t>
      </w:r>
      <w:r>
        <w:rPr>
          <w:rFonts w:hint="eastAsia" w:ascii="宋体" w:hAnsi="宋体" w:eastAsia="宋体" w:cs="宋体"/>
          <w:color w:val="auto"/>
          <w:sz w:val="24"/>
          <w:lang w:val="en-US" w:eastAsia="zh-CN"/>
        </w:rPr>
        <w:t>承诺</w:t>
      </w:r>
      <w:r>
        <w:rPr>
          <w:rFonts w:hint="eastAsia" w:ascii="宋体" w:hAnsi="宋体" w:eastAsia="宋体" w:cs="宋体"/>
          <w:color w:val="auto"/>
          <w:sz w:val="24"/>
        </w:rPr>
        <w:t>使用的绝缘清洁剂，具有并</w:t>
      </w:r>
      <w:r>
        <w:rPr>
          <w:rFonts w:hint="eastAsia" w:ascii="宋体" w:hAnsi="宋体" w:eastAsia="宋体" w:cs="宋体"/>
          <w:color w:val="auto"/>
          <w:sz w:val="24"/>
          <w:lang w:val="en-US" w:eastAsia="zh-CN"/>
        </w:rPr>
        <w:t>能</w:t>
      </w:r>
      <w:r>
        <w:rPr>
          <w:rFonts w:hint="eastAsia" w:ascii="宋体" w:hAnsi="宋体" w:eastAsia="宋体" w:cs="宋体"/>
          <w:color w:val="auto"/>
          <w:sz w:val="24"/>
        </w:rPr>
        <w:t>提供合格的绝缘清洁剂的性能检测报告和无毒毒理检测报告（</w:t>
      </w:r>
      <w:r>
        <w:rPr>
          <w:rFonts w:hint="eastAsia" w:ascii="宋体" w:hAnsi="宋体" w:eastAsia="宋体" w:cs="宋体"/>
          <w:color w:val="auto"/>
          <w:sz w:val="24"/>
          <w:lang w:val="en-US" w:eastAsia="zh-CN"/>
        </w:rPr>
        <w:t>提供</w:t>
      </w:r>
      <w:r>
        <w:rPr>
          <w:rFonts w:hint="eastAsia" w:ascii="宋体" w:hAnsi="宋体" w:eastAsia="宋体" w:cs="宋体"/>
          <w:color w:val="auto"/>
          <w:sz w:val="24"/>
        </w:rPr>
        <w:t>承诺</w:t>
      </w:r>
      <w:r>
        <w:rPr>
          <w:rFonts w:hint="eastAsia" w:ascii="宋体" w:hAnsi="宋体" w:eastAsia="宋体" w:cs="宋体"/>
          <w:color w:val="auto"/>
          <w:sz w:val="24"/>
          <w:lang w:val="en-US" w:eastAsia="zh-CN"/>
        </w:rPr>
        <w:t>函，格式自拟</w:t>
      </w:r>
      <w:r>
        <w:rPr>
          <w:rFonts w:hint="eastAsia" w:ascii="宋体" w:hAnsi="宋体" w:eastAsia="宋体" w:cs="宋体"/>
          <w:color w:val="auto"/>
          <w:sz w:val="24"/>
        </w:rPr>
        <w:t>）。</w:t>
      </w:r>
    </w:p>
    <w:p>
      <w:pPr>
        <w:spacing w:line="360" w:lineRule="auto"/>
        <w:ind w:right="-65" w:rightChars="-19"/>
        <w:rPr>
          <w:rFonts w:hint="eastAsia" w:ascii="宋体" w:hAnsi="宋体" w:eastAsia="宋体" w:cs="宋体"/>
          <w:b/>
          <w:sz w:val="24"/>
        </w:rPr>
      </w:pPr>
      <w:r>
        <w:rPr>
          <w:rFonts w:hint="eastAsia" w:ascii="宋体" w:hAnsi="宋体" w:eastAsia="宋体" w:cs="宋体"/>
          <w:b/>
          <w:sz w:val="24"/>
        </w:rPr>
        <w:t>3.报名及采购文件的获取：</w:t>
      </w:r>
    </w:p>
    <w:p>
      <w:pPr>
        <w:spacing w:line="360" w:lineRule="auto"/>
        <w:ind w:firstLine="480" w:firstLineChars="200"/>
        <w:rPr>
          <w:rFonts w:hint="eastAsia" w:ascii="宋体" w:hAnsi="宋体" w:eastAsia="宋体" w:cs="宋体"/>
          <w:sz w:val="24"/>
          <w:szCs w:val="24"/>
        </w:rPr>
      </w:pPr>
      <w:bookmarkStart w:id="6" w:name="_Toc37409913"/>
      <w:bookmarkStart w:id="7" w:name="_Toc495645075"/>
      <w:bookmarkStart w:id="8" w:name="_Toc37407101"/>
      <w:bookmarkStart w:id="9" w:name="_Toc37411148"/>
      <w:r>
        <w:rPr>
          <w:rFonts w:hint="eastAsia" w:ascii="宋体" w:hAnsi="宋体" w:eastAsia="宋体" w:cs="宋体"/>
          <w:bCs/>
          <w:sz w:val="24"/>
        </w:rPr>
        <w:t>3.1</w:t>
      </w:r>
      <w:r>
        <w:rPr>
          <w:rFonts w:hint="eastAsia" w:ascii="宋体" w:hAnsi="宋体" w:eastAsia="宋体" w:cs="宋体"/>
          <w:sz w:val="24"/>
          <w:szCs w:val="24"/>
        </w:rPr>
        <w:t>凡第一次参与内蒙古电力公司的各类采购项目的投标人，在投标报名前需要在内蒙古电力公司物资管理信息系统--“内蒙古电力（集团）有限责任公司电子商务平台（http://wzglb.impc.com.cn:82）”，先进行投标人基本信息注册，然后在采购项目挂网公告所在的电子采购交易平台办理中招互连扫码签章，前述工作完成后方可开始报名。</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本项目实行在线报名和发布采购文件。凡有意参加投标者，请于</w:t>
      </w:r>
      <w:r>
        <w:rPr>
          <w:rFonts w:hint="eastAsia" w:ascii="宋体" w:hAnsi="宋体" w:eastAsia="宋体" w:cs="宋体"/>
          <w:sz w:val="24"/>
          <w:szCs w:val="24"/>
          <w:lang w:eastAsia="zh-CN"/>
        </w:rPr>
        <w:t>2024年04月02日</w:t>
      </w:r>
      <w:r>
        <w:rPr>
          <w:rFonts w:hint="eastAsia" w:ascii="宋体" w:hAnsi="宋体" w:eastAsia="宋体" w:cs="宋体"/>
          <w:sz w:val="24"/>
          <w:szCs w:val="24"/>
        </w:rPr>
        <w:t>至</w:t>
      </w:r>
      <w:r>
        <w:rPr>
          <w:rFonts w:hint="eastAsia" w:ascii="宋体" w:hAnsi="宋体" w:eastAsia="宋体" w:cs="宋体"/>
          <w:sz w:val="24"/>
          <w:szCs w:val="24"/>
          <w:lang w:eastAsia="zh-CN"/>
        </w:rPr>
        <w:t>2024年04月09日</w:t>
      </w:r>
      <w:r>
        <w:rPr>
          <w:rFonts w:hint="eastAsia" w:ascii="宋体" w:hAnsi="宋体" w:eastAsia="宋体" w:cs="宋体"/>
          <w:sz w:val="24"/>
          <w:szCs w:val="24"/>
        </w:rPr>
        <w:t>下午17:00，进入内蒙古电力集团电子采购系统（http://guocai-impc.cppchina.cn）→投标人登录→“报名管理”在线报名，逾期不予受理。</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（1）具体流程为：登录平台（未注册用户请先免费注册）→在报名管理界面查看最新采购项目→投标人报名提交报名资料→等待审核→审核通过后→投标人下载招标文件。平台联系电话：400-9913-966 。</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报名单位须凭【中招互连】APP办理项目后续电子响应事宜，之前未进行注册【中招互连】APP的企业需要登录内蒙古电力集团电子采购系统，点击首页扫码下载【中招互连】APP，根据提示即可在线办理相关事宜，后续所有流程全部扫码登录，扫码签章，扫码加密，扫码解密。</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szCs w:val="24"/>
        </w:rPr>
        <w:t>注：扫码登录，扫码签章，扫码加密，扫码解密， 登录 APP 的手机号必须保持一致。</w:t>
      </w:r>
    </w:p>
    <w:p>
      <w:pPr>
        <w:pStyle w:val="13"/>
        <w:shd w:val="clear" w:color="auto" w:fill="FFFFFF"/>
        <w:spacing w:before="0" w:beforeAutospacing="0" w:after="0" w:afterAutospacing="0" w:line="360" w:lineRule="auto"/>
        <w:rPr>
          <w:rFonts w:hint="eastAsia" w:eastAsia="宋体" w:cs="宋体"/>
          <w:b/>
        </w:rPr>
      </w:pPr>
      <w:r>
        <w:rPr>
          <w:rFonts w:hint="eastAsia" w:eastAsia="宋体" w:cs="宋体"/>
          <w:b/>
          <w:bCs/>
        </w:rPr>
        <w:t>3.2报名资料</w:t>
      </w:r>
    </w:p>
    <w:p>
      <w:pPr>
        <w:spacing w:line="360" w:lineRule="auto"/>
        <w:ind w:firstLine="120" w:firstLineChars="50"/>
        <w:rPr>
          <w:rFonts w:hint="eastAsia" w:ascii="宋体" w:hAnsi="宋体" w:eastAsia="宋体" w:cs="宋体"/>
          <w:kern w:val="24"/>
          <w:sz w:val="24"/>
          <w:szCs w:val="24"/>
        </w:rPr>
      </w:pPr>
      <w:r>
        <w:rPr>
          <w:rFonts w:hint="eastAsia" w:ascii="宋体" w:hAnsi="宋体" w:eastAsia="宋体" w:cs="宋体"/>
          <w:kern w:val="24"/>
          <w:sz w:val="24"/>
          <w:szCs w:val="24"/>
        </w:rPr>
        <w:t>（1）法定代表人身份证明或法定代表人授权委托书（详见采购公告附件）；</w:t>
      </w:r>
    </w:p>
    <w:p>
      <w:pPr>
        <w:spacing w:line="360" w:lineRule="auto"/>
        <w:ind w:firstLine="120" w:firstLineChars="50"/>
        <w:rPr>
          <w:rFonts w:hint="eastAsia" w:ascii="宋体" w:hAnsi="宋体" w:eastAsia="宋体" w:cs="宋体"/>
          <w:kern w:val="24"/>
          <w:sz w:val="24"/>
          <w:szCs w:val="24"/>
        </w:rPr>
      </w:pPr>
      <w:r>
        <w:rPr>
          <w:rFonts w:hint="eastAsia" w:ascii="宋体" w:hAnsi="宋体" w:eastAsia="宋体" w:cs="宋体"/>
          <w:kern w:val="24"/>
          <w:sz w:val="24"/>
          <w:szCs w:val="24"/>
        </w:rPr>
        <w:t>（2）有效的营业执照，企业名称如有变更，需提供有关行政机关提供的变更证明；</w:t>
      </w:r>
    </w:p>
    <w:p>
      <w:pPr>
        <w:spacing w:line="360" w:lineRule="auto"/>
        <w:ind w:firstLine="120" w:firstLineChars="50"/>
        <w:rPr>
          <w:rFonts w:hint="eastAsia" w:ascii="宋体" w:hAnsi="宋体" w:eastAsia="宋体" w:cs="宋体"/>
          <w:kern w:val="24"/>
          <w:sz w:val="24"/>
          <w:szCs w:val="24"/>
        </w:rPr>
      </w:pPr>
      <w:r>
        <w:rPr>
          <w:rFonts w:hint="eastAsia" w:ascii="宋体" w:hAnsi="宋体" w:eastAsia="宋体" w:cs="宋体"/>
          <w:kern w:val="24"/>
          <w:sz w:val="24"/>
          <w:szCs w:val="24"/>
        </w:rPr>
        <w:t>（3）响应真实性承诺书；</w:t>
      </w:r>
    </w:p>
    <w:p>
      <w:pPr>
        <w:spacing w:line="360" w:lineRule="auto"/>
        <w:ind w:firstLine="120" w:firstLineChars="50"/>
        <w:rPr>
          <w:rFonts w:hint="eastAsia" w:ascii="宋体" w:hAnsi="宋体" w:eastAsia="宋体" w:cs="宋体"/>
          <w:kern w:val="24"/>
          <w:sz w:val="24"/>
          <w:szCs w:val="24"/>
          <w:highlight w:val="yellow"/>
        </w:rPr>
      </w:pPr>
      <w:r>
        <w:rPr>
          <w:rFonts w:hint="eastAsia" w:ascii="宋体" w:hAnsi="宋体" w:eastAsia="宋体" w:cs="宋体"/>
          <w:kern w:val="24"/>
          <w:sz w:val="24"/>
          <w:szCs w:val="24"/>
        </w:rPr>
        <w:t>（4）</w:t>
      </w:r>
      <w:r>
        <w:rPr>
          <w:rFonts w:hint="eastAsia" w:ascii="宋体" w:hAnsi="宋体" w:eastAsia="宋体" w:cs="宋体"/>
          <w:sz w:val="24"/>
        </w:rPr>
        <w:t>提供开具增值税专用发票的相关证明资料；</w:t>
      </w:r>
    </w:p>
    <w:p>
      <w:pPr>
        <w:spacing w:line="360" w:lineRule="auto"/>
        <w:ind w:firstLine="120" w:firstLineChars="50"/>
        <w:rPr>
          <w:rFonts w:hint="eastAsia" w:ascii="宋体" w:hAnsi="宋体" w:eastAsia="宋体" w:cs="宋体"/>
          <w:kern w:val="24"/>
          <w:sz w:val="24"/>
          <w:szCs w:val="24"/>
        </w:rPr>
      </w:pPr>
      <w:r>
        <w:rPr>
          <w:rFonts w:hint="eastAsia" w:ascii="宋体" w:hAnsi="宋体" w:eastAsia="宋体" w:cs="宋体"/>
          <w:kern w:val="24"/>
          <w:sz w:val="24"/>
          <w:szCs w:val="24"/>
        </w:rPr>
        <w:t>（5）供应商通用资格要求中的证明材料；</w:t>
      </w:r>
    </w:p>
    <w:p>
      <w:pPr>
        <w:spacing w:line="360" w:lineRule="auto"/>
        <w:ind w:firstLine="120" w:firstLineChars="50"/>
        <w:rPr>
          <w:rFonts w:hint="eastAsia" w:ascii="宋体" w:hAnsi="宋体" w:eastAsia="宋体" w:cs="宋体"/>
          <w:kern w:val="24"/>
          <w:sz w:val="24"/>
          <w:szCs w:val="24"/>
        </w:rPr>
      </w:pPr>
      <w:r>
        <w:rPr>
          <w:rFonts w:hint="eastAsia" w:ascii="宋体" w:hAnsi="宋体" w:eastAsia="宋体" w:cs="宋体"/>
          <w:kern w:val="24"/>
          <w:sz w:val="24"/>
          <w:szCs w:val="24"/>
        </w:rPr>
        <w:t xml:space="preserve">（6）供应商专用资格要求中的证明材料；（提供专用资格要求的证明材料，必要时需提供网页查询真伪截图及网址链接）   </w:t>
      </w:r>
      <w:r>
        <w:rPr>
          <w:rFonts w:hint="eastAsia" w:ascii="宋体" w:hAnsi="宋体" w:eastAsia="宋体" w:cs="宋体"/>
          <w:b/>
          <w:szCs w:val="24"/>
        </w:rPr>
        <w:t xml:space="preserve">                                                                                                                                                                                                                                                                                                                                                                      </w:t>
      </w:r>
    </w:p>
    <w:p>
      <w:pPr>
        <w:pStyle w:val="13"/>
        <w:shd w:val="clear" w:color="auto" w:fill="FFFFFF"/>
        <w:spacing w:before="0" w:beforeAutospacing="0" w:after="0" w:afterAutospacing="0" w:line="360" w:lineRule="auto"/>
        <w:ind w:firstLine="482" w:firstLineChars="200"/>
        <w:rPr>
          <w:rFonts w:hint="eastAsia" w:eastAsia="宋体" w:cs="宋体"/>
        </w:rPr>
      </w:pPr>
      <w:bookmarkStart w:id="10" w:name="_Toc495645074"/>
      <w:r>
        <w:rPr>
          <w:rFonts w:hint="eastAsia" w:eastAsia="宋体" w:cs="宋体"/>
          <w:b/>
        </w:rPr>
        <w:t>注：</w:t>
      </w:r>
      <w:bookmarkStart w:id="11" w:name="_Toc37407096"/>
      <w:bookmarkStart w:id="12" w:name="_Toc37411143"/>
      <w:bookmarkStart w:id="13" w:name="_Toc37409908"/>
      <w:r>
        <w:rPr>
          <w:rFonts w:hint="eastAsia" w:eastAsia="宋体" w:cs="宋体"/>
        </w:rPr>
        <w:t>A、上述要求是对供应商的基本要求，如按照行业及相关部门另有规定的遵循其规定，供应商应提供相应的证明或资信材料；</w:t>
      </w:r>
    </w:p>
    <w:p>
      <w:pPr>
        <w:widowControl/>
        <w:numPr>
          <w:ilvl w:val="0"/>
          <w:numId w:val="2"/>
        </w:numPr>
        <w:autoSpaceDE w:val="0"/>
        <w:autoSpaceDN w:val="0"/>
        <w:adjustRightIn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如发现存在虚假资料，采购人取消其竞标/中标资格，由此造成的后果由成交/中标单位自负，并承担相应的法律责任;</w:t>
      </w:r>
    </w:p>
    <w:p>
      <w:pPr>
        <w:widowControl/>
        <w:numPr>
          <w:ilvl w:val="0"/>
          <w:numId w:val="2"/>
        </w:numPr>
        <w:autoSpaceDE w:val="0"/>
        <w:autoSpaceDN w:val="0"/>
        <w:adjustRightInd w:val="0"/>
        <w:spacing w:line="360" w:lineRule="auto"/>
        <w:ind w:firstLine="480" w:firstLineChars="200"/>
        <w:jc w:val="left"/>
        <w:rPr>
          <w:rFonts w:hint="eastAsia" w:ascii="宋体" w:hAnsi="宋体" w:eastAsia="宋体" w:cs="宋体"/>
          <w:sz w:val="24"/>
        </w:rPr>
      </w:pPr>
      <w:r>
        <w:rPr>
          <w:rFonts w:hint="eastAsia" w:ascii="宋体" w:hAnsi="宋体" w:eastAsia="宋体" w:cs="宋体"/>
          <w:bCs/>
          <w:color w:val="000000"/>
          <w:sz w:val="24"/>
        </w:rPr>
        <w:t>为保证供应商顺利报名成功，请供应商充分考虑上传时间，供应商不能及时上传报名资料，导致的报名不成功，后果由供应商自负；</w:t>
      </w:r>
      <w:r>
        <w:rPr>
          <w:rFonts w:hint="eastAsia" w:ascii="宋体" w:hAnsi="宋体" w:eastAsia="宋体" w:cs="宋体"/>
          <w:sz w:val="24"/>
        </w:rPr>
        <w:t xml:space="preserve"> </w:t>
      </w:r>
    </w:p>
    <w:p>
      <w:pPr>
        <w:widowControl/>
        <w:numPr>
          <w:ilvl w:val="0"/>
          <w:numId w:val="2"/>
        </w:numPr>
        <w:autoSpaceDE w:val="0"/>
        <w:autoSpaceDN w:val="0"/>
        <w:adjustRightInd w:val="0"/>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为提高报名工作效率，投多个包的请供应商按包分别对应上传相应报名资料，严禁上传与本包无关资料，否则，采购人有权拒绝。</w:t>
      </w:r>
    </w:p>
    <w:p>
      <w:pPr>
        <w:widowControl/>
        <w:autoSpaceDE w:val="0"/>
        <w:autoSpaceDN w:val="0"/>
        <w:adjustRightInd w:val="0"/>
        <w:spacing w:line="360" w:lineRule="auto"/>
        <w:jc w:val="left"/>
        <w:rPr>
          <w:rFonts w:hint="eastAsia" w:ascii="宋体" w:hAnsi="宋体" w:eastAsia="宋体" w:cs="宋体"/>
          <w:b/>
          <w:sz w:val="24"/>
        </w:rPr>
      </w:pPr>
      <w:r>
        <w:rPr>
          <w:rFonts w:hint="eastAsia" w:ascii="宋体" w:hAnsi="宋体" w:eastAsia="宋体" w:cs="宋体"/>
          <w:b/>
          <w:sz w:val="24"/>
          <w:szCs w:val="24"/>
        </w:rPr>
        <w:t>4. 响应文件的递交</w:t>
      </w:r>
      <w:bookmarkEnd w:id="10"/>
      <w:bookmarkEnd w:id="11"/>
      <w:bookmarkEnd w:id="12"/>
      <w:bookmarkEnd w:id="13"/>
      <w:r>
        <w:rPr>
          <w:rFonts w:hint="eastAsia" w:ascii="宋体" w:hAnsi="宋体" w:eastAsia="宋体" w:cs="宋体"/>
          <w:b/>
          <w:sz w:val="24"/>
          <w:szCs w:val="24"/>
        </w:rPr>
        <w:t xml:space="preserve"> </w:t>
      </w:r>
    </w:p>
    <w:p>
      <w:pPr>
        <w:spacing w:line="360" w:lineRule="auto"/>
        <w:ind w:right="103" w:firstLine="480" w:firstLineChars="200"/>
        <w:rPr>
          <w:rFonts w:hint="eastAsia" w:ascii="宋体" w:hAnsi="宋体" w:eastAsia="宋体" w:cs="宋体"/>
          <w:sz w:val="24"/>
          <w:szCs w:val="24"/>
        </w:rPr>
      </w:pPr>
      <w:r>
        <w:rPr>
          <w:rFonts w:hint="eastAsia" w:ascii="宋体" w:hAnsi="宋体" w:eastAsia="宋体" w:cs="宋体"/>
          <w:sz w:val="24"/>
          <w:szCs w:val="24"/>
        </w:rPr>
        <w:t>4.1电子响应文件请于响应截止时间之前上传到“内蒙古电力集团电子采购系统”，响应截止时间后上传的响应文件恕不接收。本项目采用远程评审方式，不接收纸质响应文件，逾期送达的响应文件，“内蒙古电力集团电子采购系统”将不予接收。</w:t>
      </w:r>
    </w:p>
    <w:p>
      <w:pPr>
        <w:spacing w:line="360" w:lineRule="auto"/>
        <w:ind w:right="103" w:firstLine="480" w:firstLineChars="200"/>
        <w:rPr>
          <w:rFonts w:hint="eastAsia" w:ascii="宋体" w:hAnsi="宋体" w:eastAsia="宋体" w:cs="宋体"/>
          <w:sz w:val="24"/>
          <w:szCs w:val="24"/>
        </w:rPr>
      </w:pPr>
      <w:r>
        <w:rPr>
          <w:rFonts w:hint="eastAsia" w:ascii="宋体" w:hAnsi="宋体" w:eastAsia="宋体" w:cs="宋体"/>
          <w:sz w:val="24"/>
          <w:szCs w:val="24"/>
        </w:rPr>
        <w:t>4.2供应商对网上递交的响应文件应加密。登录[中招互联]：APP对响应文件进行加密功能（如果供应商使用 A 手机号码对响应文件进行了扫码解密），必须需要使用A手机号码进行扫码解密，才能读取或导入响应文件。</w:t>
      </w:r>
      <w:bookmarkStart w:id="14" w:name="_Toc37407097"/>
      <w:bookmarkStart w:id="15" w:name="_Toc37409909"/>
      <w:bookmarkStart w:id="16" w:name="_Toc37411144"/>
    </w:p>
    <w:p>
      <w:pPr>
        <w:spacing w:line="360" w:lineRule="auto"/>
        <w:ind w:right="103"/>
        <w:rPr>
          <w:rFonts w:hint="eastAsia" w:ascii="宋体" w:hAnsi="宋体" w:eastAsia="宋体" w:cs="宋体"/>
          <w:b/>
          <w:sz w:val="24"/>
          <w:szCs w:val="24"/>
        </w:rPr>
      </w:pPr>
      <w:r>
        <w:rPr>
          <w:rFonts w:hint="eastAsia" w:ascii="宋体" w:hAnsi="宋体" w:eastAsia="宋体" w:cs="宋体"/>
          <w:b/>
          <w:sz w:val="24"/>
          <w:szCs w:val="24"/>
        </w:rPr>
        <w:t>5、资格审查：</w:t>
      </w:r>
      <w:bookmarkEnd w:id="14"/>
      <w:bookmarkEnd w:id="15"/>
      <w:bookmarkEnd w:id="16"/>
    </w:p>
    <w:p>
      <w:pPr>
        <w:spacing w:line="360" w:lineRule="auto"/>
        <w:ind w:right="103" w:firstLine="480" w:firstLineChars="200"/>
        <w:rPr>
          <w:rFonts w:hint="eastAsia" w:ascii="宋体" w:hAnsi="宋体" w:eastAsia="宋体" w:cs="宋体"/>
          <w:sz w:val="24"/>
          <w:szCs w:val="24"/>
        </w:rPr>
      </w:pPr>
      <w:r>
        <w:rPr>
          <w:rFonts w:hint="eastAsia" w:ascii="宋体" w:hAnsi="宋体" w:eastAsia="宋体" w:cs="宋体"/>
          <w:sz w:val="24"/>
          <w:szCs w:val="24"/>
        </w:rPr>
        <w:t>本次采购采取资格后审方式，开标后由询比评审小组统一进行资格审查，详见采购文件。资格审查时，供应商提供的资料不全或不合格的或模糊不清无法辨认，均不能通过资格审查，其响应文件将被否决。</w:t>
      </w:r>
      <w:bookmarkStart w:id="17" w:name="_Toc37407098"/>
      <w:bookmarkStart w:id="18" w:name="_Toc37409910"/>
      <w:bookmarkStart w:id="19" w:name="_Toc37411145"/>
    </w:p>
    <w:p>
      <w:pPr>
        <w:spacing w:line="360" w:lineRule="auto"/>
        <w:ind w:right="103"/>
        <w:rPr>
          <w:rFonts w:hint="eastAsia" w:ascii="宋体" w:hAnsi="宋体" w:eastAsia="宋体" w:cs="宋体"/>
          <w:b/>
          <w:sz w:val="24"/>
          <w:szCs w:val="24"/>
        </w:rPr>
      </w:pPr>
      <w:r>
        <w:rPr>
          <w:rFonts w:hint="eastAsia" w:ascii="宋体" w:hAnsi="宋体" w:eastAsia="宋体" w:cs="宋体"/>
          <w:b/>
          <w:sz w:val="24"/>
          <w:szCs w:val="24"/>
        </w:rPr>
        <w:t>6. 竞标截止时间及地点：</w:t>
      </w:r>
      <w:bookmarkEnd w:id="17"/>
      <w:bookmarkEnd w:id="18"/>
      <w:bookmarkEnd w:id="19"/>
    </w:p>
    <w:p>
      <w:pPr>
        <w:spacing w:line="360" w:lineRule="auto"/>
        <w:ind w:right="103" w:firstLine="480" w:firstLineChars="200"/>
        <w:rPr>
          <w:rFonts w:hint="eastAsia" w:ascii="宋体" w:hAnsi="宋体" w:eastAsia="宋体" w:cs="宋体"/>
          <w:sz w:val="24"/>
          <w:szCs w:val="24"/>
        </w:rPr>
      </w:pPr>
      <w:bookmarkStart w:id="20" w:name="_Toc37407099"/>
      <w:bookmarkStart w:id="21" w:name="_Toc37411146"/>
      <w:bookmarkStart w:id="22" w:name="_Toc37409911"/>
      <w:r>
        <w:rPr>
          <w:rFonts w:hint="eastAsia" w:ascii="宋体" w:hAnsi="宋体" w:eastAsia="宋体" w:cs="宋体"/>
          <w:sz w:val="24"/>
          <w:szCs w:val="24"/>
        </w:rPr>
        <w:t>响应文件上传时间：</w:t>
      </w:r>
      <w:r>
        <w:rPr>
          <w:rFonts w:hint="eastAsia" w:ascii="宋体" w:hAnsi="宋体" w:eastAsia="宋体" w:cs="宋体"/>
          <w:sz w:val="24"/>
          <w:szCs w:val="24"/>
          <w:lang w:eastAsia="zh-CN"/>
        </w:rPr>
        <w:t>2024年04月02日</w:t>
      </w:r>
      <w:r>
        <w:rPr>
          <w:rFonts w:hint="eastAsia" w:ascii="宋体" w:hAnsi="宋体" w:eastAsia="宋体" w:cs="宋体"/>
          <w:sz w:val="24"/>
          <w:szCs w:val="24"/>
        </w:rPr>
        <w:t>～</w:t>
      </w:r>
      <w:r>
        <w:rPr>
          <w:rFonts w:hint="eastAsia" w:ascii="宋体" w:hAnsi="宋体" w:eastAsia="宋体" w:cs="宋体"/>
          <w:sz w:val="24"/>
          <w:szCs w:val="24"/>
          <w:lang w:eastAsia="zh-CN"/>
        </w:rPr>
        <w:t>2024年04月12日</w:t>
      </w:r>
      <w:r>
        <w:rPr>
          <w:rFonts w:hint="eastAsia" w:ascii="宋体" w:hAnsi="宋体" w:eastAsia="宋体" w:cs="宋体"/>
          <w:sz w:val="24"/>
          <w:szCs w:val="24"/>
        </w:rPr>
        <w:t>上午9:00</w:t>
      </w:r>
    </w:p>
    <w:p>
      <w:pPr>
        <w:spacing w:line="360" w:lineRule="auto"/>
        <w:ind w:right="103" w:firstLine="480" w:firstLineChars="200"/>
        <w:rPr>
          <w:rFonts w:hint="eastAsia" w:ascii="宋体" w:hAnsi="宋体" w:eastAsia="宋体" w:cs="宋体"/>
          <w:sz w:val="24"/>
          <w:szCs w:val="24"/>
        </w:rPr>
      </w:pPr>
      <w:r>
        <w:rPr>
          <w:rFonts w:hint="eastAsia" w:ascii="宋体" w:hAnsi="宋体" w:eastAsia="宋体" w:cs="宋体"/>
          <w:sz w:val="24"/>
          <w:szCs w:val="24"/>
        </w:rPr>
        <w:t>询比截止时间：</w:t>
      </w:r>
      <w:r>
        <w:rPr>
          <w:rFonts w:hint="eastAsia" w:ascii="宋体" w:hAnsi="宋体" w:eastAsia="宋体" w:cs="宋体"/>
          <w:sz w:val="24"/>
          <w:szCs w:val="24"/>
          <w:lang w:eastAsia="zh-CN"/>
        </w:rPr>
        <w:t>2024年04月12日</w:t>
      </w:r>
      <w:r>
        <w:rPr>
          <w:rFonts w:hint="eastAsia" w:ascii="宋体" w:hAnsi="宋体" w:eastAsia="宋体" w:cs="宋体"/>
          <w:sz w:val="24"/>
          <w:szCs w:val="24"/>
        </w:rPr>
        <w:t>上午9:00</w:t>
      </w:r>
    </w:p>
    <w:p>
      <w:pPr>
        <w:spacing w:line="360" w:lineRule="auto"/>
        <w:ind w:right="103" w:firstLine="480" w:firstLineChars="200"/>
        <w:rPr>
          <w:rFonts w:hint="eastAsia" w:ascii="宋体" w:hAnsi="宋体" w:eastAsia="宋体" w:cs="宋体"/>
          <w:sz w:val="24"/>
          <w:szCs w:val="24"/>
        </w:rPr>
      </w:pPr>
      <w:r>
        <w:rPr>
          <w:rFonts w:hint="eastAsia" w:ascii="宋体" w:hAnsi="宋体" w:eastAsia="宋体" w:cs="宋体"/>
          <w:sz w:val="24"/>
          <w:szCs w:val="24"/>
        </w:rPr>
        <w:t>商务技术经济标开标时间：</w:t>
      </w:r>
      <w:r>
        <w:rPr>
          <w:rFonts w:hint="eastAsia" w:ascii="宋体" w:hAnsi="宋体" w:eastAsia="宋体" w:cs="宋体"/>
          <w:sz w:val="24"/>
          <w:szCs w:val="24"/>
          <w:lang w:eastAsia="zh-CN"/>
        </w:rPr>
        <w:t>2024年04月12日</w:t>
      </w:r>
      <w:r>
        <w:rPr>
          <w:rFonts w:hint="eastAsia" w:ascii="宋体" w:hAnsi="宋体" w:eastAsia="宋体" w:cs="宋体"/>
          <w:sz w:val="24"/>
          <w:szCs w:val="24"/>
        </w:rPr>
        <w:t>上午9:00</w:t>
      </w:r>
    </w:p>
    <w:p>
      <w:pPr>
        <w:spacing w:line="360" w:lineRule="auto"/>
        <w:ind w:right="102" w:firstLine="480" w:firstLineChars="200"/>
        <w:rPr>
          <w:rFonts w:hint="eastAsia" w:ascii="宋体" w:hAnsi="宋体" w:eastAsia="宋体" w:cs="宋体"/>
          <w:sz w:val="24"/>
          <w:szCs w:val="24"/>
        </w:rPr>
      </w:pPr>
      <w:r>
        <w:rPr>
          <w:rFonts w:hint="eastAsia" w:ascii="宋体" w:hAnsi="宋体" w:eastAsia="宋体" w:cs="宋体"/>
          <w:sz w:val="24"/>
          <w:szCs w:val="24"/>
        </w:rPr>
        <w:t>商务技术经济标解密时间：</w:t>
      </w:r>
      <w:r>
        <w:rPr>
          <w:rFonts w:hint="eastAsia" w:ascii="宋体" w:hAnsi="宋体" w:eastAsia="宋体" w:cs="宋体"/>
          <w:sz w:val="24"/>
          <w:szCs w:val="24"/>
          <w:lang w:eastAsia="zh-CN"/>
        </w:rPr>
        <w:t>2024年04月12日</w:t>
      </w:r>
      <w:r>
        <w:rPr>
          <w:rFonts w:hint="eastAsia" w:ascii="宋体" w:hAnsi="宋体" w:eastAsia="宋体" w:cs="宋体"/>
          <w:sz w:val="24"/>
          <w:szCs w:val="24"/>
        </w:rPr>
        <w:t>上午9:00～上午9:30</w:t>
      </w:r>
    </w:p>
    <w:p>
      <w:pPr>
        <w:spacing w:line="360" w:lineRule="auto"/>
        <w:ind w:left="1676" w:leftChars="140" w:hanging="1200" w:hangingChars="500"/>
        <w:rPr>
          <w:rFonts w:hint="eastAsia" w:ascii="宋体" w:hAnsi="宋体" w:eastAsia="宋体" w:cs="宋体"/>
          <w:sz w:val="24"/>
          <w:szCs w:val="24"/>
        </w:rPr>
      </w:pPr>
      <w:r>
        <w:rPr>
          <w:rFonts w:hint="eastAsia" w:ascii="宋体" w:hAnsi="宋体" w:eastAsia="宋体" w:cs="宋体"/>
          <w:sz w:val="24"/>
          <w:szCs w:val="24"/>
        </w:rPr>
        <w:t>询比地点：内蒙古锡林浩特市赛汉路荣华苑7号楼商铺7-01室</w:t>
      </w:r>
    </w:p>
    <w:bookmarkEnd w:id="20"/>
    <w:bookmarkEnd w:id="21"/>
    <w:bookmarkEnd w:id="22"/>
    <w:p>
      <w:pPr>
        <w:spacing w:line="360" w:lineRule="auto"/>
        <w:ind w:left="-5"/>
        <w:rPr>
          <w:rFonts w:hint="eastAsia" w:ascii="宋体" w:hAnsi="宋体" w:eastAsia="宋体" w:cs="宋体"/>
          <w:b/>
          <w:sz w:val="24"/>
          <w:szCs w:val="24"/>
        </w:rPr>
      </w:pPr>
      <w:bookmarkStart w:id="23" w:name="_Toc37407100"/>
      <w:bookmarkStart w:id="24" w:name="_Toc37409912"/>
      <w:bookmarkStart w:id="25" w:name="_Toc37411147"/>
      <w:r>
        <w:rPr>
          <w:rFonts w:hint="eastAsia" w:ascii="宋体" w:hAnsi="宋体" w:eastAsia="宋体" w:cs="宋体"/>
          <w:b/>
          <w:bCs/>
          <w:sz w:val="24"/>
          <w:szCs w:val="24"/>
        </w:rPr>
        <w:t>7.解密方式及开标地点</w:t>
      </w:r>
      <w:r>
        <w:rPr>
          <w:rFonts w:hint="eastAsia" w:ascii="宋体" w:hAnsi="宋体" w:eastAsia="宋体" w:cs="宋体"/>
          <w:sz w:val="24"/>
          <w:szCs w:val="24"/>
        </w:rPr>
        <w:t>：</w:t>
      </w:r>
    </w:p>
    <w:p>
      <w:pPr>
        <w:pStyle w:val="16"/>
        <w:spacing w:line="360" w:lineRule="auto"/>
        <w:ind w:firstLine="480" w:firstLineChars="200"/>
        <w:rPr>
          <w:rFonts w:hint="eastAsia" w:hAnsi="宋体"/>
        </w:rPr>
      </w:pPr>
      <w:r>
        <w:rPr>
          <w:rFonts w:hint="eastAsia" w:hAnsi="宋体"/>
        </w:rPr>
        <w:t>远程解密：投标人于递交投标文件截止时间在原单位使用原上传文件电脑在“网上开标”界面，点击“进开标厅”按钮，在该界面进行投标文件的远程解密。届时请持上传文件时所使用的数字证书（CA证书）提前30分钟等候在电脑前准备参加文件解密（投标人需保持电脑网络通畅）。</w:t>
      </w:r>
    </w:p>
    <w:p>
      <w:pPr>
        <w:pStyle w:val="16"/>
        <w:spacing w:line="360" w:lineRule="auto"/>
        <w:ind w:firstLine="480" w:firstLineChars="200"/>
        <w:rPr>
          <w:rFonts w:hint="eastAsia" w:hAnsi="宋体"/>
        </w:rPr>
      </w:pPr>
      <w:r>
        <w:rPr>
          <w:rFonts w:hint="eastAsia" w:hAnsi="宋体"/>
        </w:rPr>
        <w:t>请投标人按公告时间及时参与相关签到、解密及确认工作，签到、解密及确认过程中有任何问题请及时联系技术支持解决（电话：400-9913-966，周一至周日，8点30至20点30时），因投标人原因未在规定时间内解密投标文件，视为投标人撤销其投标文件。</w:t>
      </w:r>
    </w:p>
    <w:p>
      <w:pPr>
        <w:spacing w:line="360" w:lineRule="auto"/>
        <w:ind w:right="103"/>
        <w:rPr>
          <w:rFonts w:hint="eastAsia" w:ascii="宋体" w:hAnsi="宋体" w:eastAsia="宋体" w:cs="宋体"/>
          <w:b/>
          <w:sz w:val="24"/>
          <w:szCs w:val="24"/>
        </w:rPr>
      </w:pPr>
      <w:r>
        <w:rPr>
          <w:rFonts w:hint="eastAsia" w:ascii="宋体" w:hAnsi="宋体" w:eastAsia="宋体" w:cs="宋体"/>
          <w:b/>
          <w:sz w:val="24"/>
          <w:szCs w:val="24"/>
        </w:rPr>
        <w:t>8.竞标及采购费用：</w:t>
      </w:r>
      <w:bookmarkEnd w:id="23"/>
      <w:bookmarkEnd w:id="24"/>
      <w:bookmarkEnd w:id="25"/>
    </w:p>
    <w:p>
      <w:pPr>
        <w:spacing w:line="360" w:lineRule="auto"/>
        <w:ind w:right="102" w:firstLine="480" w:firstLineChars="200"/>
        <w:rPr>
          <w:rFonts w:hint="eastAsia" w:ascii="宋体" w:hAnsi="宋体" w:eastAsia="宋体" w:cs="宋体"/>
          <w:sz w:val="24"/>
          <w:szCs w:val="24"/>
        </w:rPr>
      </w:pPr>
      <w:r>
        <w:rPr>
          <w:rFonts w:hint="eastAsia" w:ascii="宋体" w:hAnsi="宋体" w:eastAsia="宋体" w:cs="宋体"/>
          <w:sz w:val="24"/>
          <w:szCs w:val="24"/>
        </w:rPr>
        <w:t>8.1 中标服务费：中标服务费由成交供应商支付。</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8.2 平台使用费：本项目采用全流程电子采购，供应商需（在线下载采购文件后，上传响应文件前）在线向电子交易平台缴纳电子采购服务费，具体收费标准为：</w:t>
      </w:r>
    </w:p>
    <w:p>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（1）公开招标项目中电子投标服务费：400元/包/次；</w:t>
      </w:r>
    </w:p>
    <w:p>
      <w:pPr>
        <w:spacing w:line="360" w:lineRule="auto"/>
        <w:ind w:firstLine="600" w:firstLineChars="250"/>
        <w:rPr>
          <w:rFonts w:hint="eastAsia" w:ascii="宋体" w:hAnsi="宋体" w:eastAsia="宋体" w:cs="宋体"/>
        </w:rPr>
      </w:pPr>
      <w:r>
        <w:rPr>
          <w:rFonts w:hint="eastAsia" w:ascii="宋体" w:hAnsi="宋体" w:eastAsia="宋体" w:cs="宋体"/>
          <w:sz w:val="24"/>
          <w:szCs w:val="24"/>
        </w:rPr>
        <w:t>（2）非招标采购项目中电子采购服务费：300元/包/次；</w:t>
      </w:r>
    </w:p>
    <w:p>
      <w:pPr>
        <w:spacing w:line="360" w:lineRule="auto"/>
        <w:rPr>
          <w:rFonts w:hint="eastAsia" w:ascii="宋体" w:hAnsi="宋体" w:eastAsia="宋体" w:cs="宋体"/>
          <w:b/>
          <w:sz w:val="24"/>
          <w:szCs w:val="24"/>
        </w:rPr>
      </w:pPr>
      <w:r>
        <w:rPr>
          <w:rFonts w:hint="eastAsia" w:ascii="宋体" w:hAnsi="宋体" w:eastAsia="宋体" w:cs="宋体"/>
          <w:b/>
          <w:sz w:val="24"/>
          <w:szCs w:val="24"/>
        </w:rPr>
        <w:t>9. 发布公告的媒介</w:t>
      </w:r>
      <w:bookmarkEnd w:id="6"/>
      <w:bookmarkEnd w:id="7"/>
      <w:bookmarkEnd w:id="8"/>
      <w:bookmarkEnd w:id="9"/>
      <w:r>
        <w:rPr>
          <w:rFonts w:hint="eastAsia" w:ascii="宋体" w:hAnsi="宋体" w:eastAsia="宋体" w:cs="宋体"/>
          <w:b/>
          <w:sz w:val="24"/>
          <w:szCs w:val="24"/>
        </w:rPr>
        <w:t xml:space="preserve"> </w:t>
      </w:r>
    </w:p>
    <w:p>
      <w:pPr>
        <w:wordWrap w:val="0"/>
        <w:spacing w:line="360" w:lineRule="auto"/>
        <w:ind w:right="102" w:firstLine="480" w:firstLineChars="200"/>
        <w:rPr>
          <w:rFonts w:hint="eastAsia" w:ascii="宋体" w:hAnsi="宋体" w:eastAsia="宋体" w:cs="宋体"/>
          <w:sz w:val="24"/>
          <w:szCs w:val="24"/>
        </w:rPr>
      </w:pPr>
      <w:r>
        <w:rPr>
          <w:rFonts w:hint="eastAsia" w:ascii="宋体" w:hAnsi="宋体" w:eastAsia="宋体" w:cs="宋体"/>
          <w:sz w:val="24"/>
          <w:szCs w:val="24"/>
        </w:rPr>
        <w:t>本次公告在《内蒙古电力集团电子采购系统》（http://guocai-impc.cppchina.cn）、《中国招标投标公共服务平台》（www.cebpubservice.com）、《内蒙古招标投标公共服务平台》（http://zbgg.nmgztb.com.cn/）同时发布，其它媒介转发无效。</w:t>
      </w:r>
    </w:p>
    <w:p>
      <w:pPr>
        <w:spacing w:line="360" w:lineRule="auto"/>
        <w:rPr>
          <w:rFonts w:hint="eastAsia" w:ascii="宋体" w:hAnsi="宋体" w:eastAsia="宋体" w:cs="宋体"/>
          <w:b/>
          <w:bCs/>
          <w:sz w:val="24"/>
          <w:szCs w:val="24"/>
        </w:rPr>
      </w:pPr>
      <w:r>
        <w:rPr>
          <w:rFonts w:hint="eastAsia" w:ascii="宋体" w:hAnsi="宋体" w:eastAsia="宋体" w:cs="宋体"/>
          <w:b/>
          <w:bCs/>
          <w:sz w:val="24"/>
          <w:szCs w:val="24"/>
        </w:rPr>
        <w:t>10.联系方式</w:t>
      </w:r>
    </w:p>
    <w:p>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采 购 人：内蒙古电力（集团）有限责任公司锡林郭勒供电分公司物资供应处</w:t>
      </w:r>
    </w:p>
    <w:p>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联系电话：0479-8296337</w:t>
      </w:r>
    </w:p>
    <w:p>
      <w:pPr>
        <w:spacing w:line="360" w:lineRule="auto"/>
        <w:ind w:firstLine="480" w:firstLineChars="200"/>
        <w:rPr>
          <w:rFonts w:hint="eastAsia" w:ascii="宋体" w:hAnsi="宋体" w:eastAsia="宋体" w:cs="宋体"/>
          <w:kern w:val="0"/>
          <w:sz w:val="24"/>
        </w:rPr>
      </w:pPr>
    </w:p>
    <w:p>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 xml:space="preserve">采购代理机构：法正项目管理集团有限公司 </w:t>
      </w:r>
    </w:p>
    <w:p>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办公地址：内蒙古锡林浩特市赛汉路荣华苑7号楼商铺7-01室</w:t>
      </w:r>
    </w:p>
    <w:p>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联 系 人：赵磊、仲桂燕</w:t>
      </w:r>
    </w:p>
    <w:p>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联系电话：0479-8289588</w:t>
      </w:r>
    </w:p>
    <w:p>
      <w:pPr>
        <w:spacing w:line="360" w:lineRule="auto"/>
        <w:ind w:firstLine="480" w:firstLineChars="200"/>
        <w:rPr>
          <w:rFonts w:hint="eastAsia" w:ascii="宋体" w:hAnsi="宋体" w:eastAsia="宋体" w:cs="宋体"/>
          <w:sz w:val="24"/>
        </w:rPr>
      </w:pPr>
      <w:r>
        <w:rPr>
          <w:rFonts w:hint="eastAsia" w:ascii="宋体" w:hAnsi="宋体" w:eastAsia="宋体" w:cs="宋体"/>
          <w:kern w:val="0"/>
          <w:sz w:val="24"/>
        </w:rPr>
        <w:t xml:space="preserve">Email: </w:t>
      </w:r>
      <w:r>
        <w:rPr>
          <w:rFonts w:hint="eastAsia" w:ascii="宋体" w:hAnsi="宋体" w:eastAsia="宋体" w:cs="宋体"/>
        </w:rPr>
        <w:fldChar w:fldCharType="begin"/>
      </w:r>
      <w:r>
        <w:rPr>
          <w:rFonts w:hint="eastAsia" w:ascii="宋体" w:hAnsi="宋体" w:eastAsia="宋体" w:cs="宋体"/>
        </w:rPr>
        <w:instrText xml:space="preserve"> HYPERLINK "mailto:laystars@126.com" </w:instrText>
      </w:r>
      <w:r>
        <w:rPr>
          <w:rFonts w:hint="eastAsia" w:ascii="宋体" w:hAnsi="宋体" w:eastAsia="宋体" w:cs="宋体"/>
        </w:rPr>
        <w:fldChar w:fldCharType="separate"/>
      </w:r>
      <w:r>
        <w:rPr>
          <w:rFonts w:hint="eastAsia" w:ascii="宋体" w:hAnsi="宋体" w:eastAsia="宋体" w:cs="宋体"/>
          <w:sz w:val="24"/>
        </w:rPr>
        <w:t>463378062@qq.com</w:t>
      </w:r>
      <w:r>
        <w:rPr>
          <w:rFonts w:hint="eastAsia" w:ascii="宋体" w:hAnsi="宋体" w:eastAsia="宋体" w:cs="宋体"/>
          <w:sz w:val="24"/>
        </w:rPr>
        <w:fldChar w:fldCharType="end"/>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D"/>
    <w:multiLevelType w:val="singleLevel"/>
    <w:tmpl w:val="0000001D"/>
    <w:lvl w:ilvl="0" w:tentative="0">
      <w:start w:val="2"/>
      <w:numFmt w:val="upperLetter"/>
      <w:suff w:val="nothing"/>
      <w:lvlText w:val="%1、"/>
      <w:lvlJc w:val="left"/>
    </w:lvl>
  </w:abstractNum>
  <w:abstractNum w:abstractNumId="1">
    <w:nsid w:val="55E02EF4"/>
    <w:multiLevelType w:val="multilevel"/>
    <w:tmpl w:val="55E02EF4"/>
    <w:lvl w:ilvl="0" w:tentative="0">
      <w:start w:val="1"/>
      <w:numFmt w:val="decimal"/>
      <w:pStyle w:val="4"/>
      <w:lvlText w:val="图%1"/>
      <w:lvlJc w:val="left"/>
      <w:pPr>
        <w:tabs>
          <w:tab w:val="left" w:pos="360"/>
        </w:tabs>
        <w:ind w:left="0" w:firstLine="0"/>
      </w:pPr>
      <w:rPr>
        <w:rFonts w:hint="eastAsia" w:ascii="黑体" w:eastAsia="黑体"/>
        <w:b/>
        <w:i w:val="0"/>
        <w:sz w:val="20"/>
      </w:rPr>
    </w:lvl>
    <w:lvl w:ilvl="1" w:tentative="0">
      <w:start w:val="1"/>
      <w:numFmt w:val="lowerLetter"/>
      <w:lvlText w:val="%2)"/>
      <w:lvlJc w:val="left"/>
      <w:pPr>
        <w:tabs>
          <w:tab w:val="left" w:pos="840"/>
        </w:tabs>
        <w:ind w:left="840" w:hanging="42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
  </w:num>
  <w:num w:numId="2">
    <w:abstractNumId w:val="0"/>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68D47CE"/>
    <w:rsid w:val="5E8151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name="Body Text First Indent"/>
    <w:lsdException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Times New Roman" w:eastAsia="仿宋_GB2312" w:cs="Times New Roman"/>
      <w:kern w:val="2"/>
      <w:sz w:val="34"/>
      <w:lang w:val="en-US" w:eastAsia="zh-CN" w:bidi="ar-SA"/>
    </w:rPr>
  </w:style>
  <w:style w:type="character" w:default="1" w:styleId="15">
    <w:name w:val="Default Paragraph Font"/>
    <w:semiHidden/>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5"/>
    <w:semiHidden/>
    <w:uiPriority w:val="0"/>
    <w:pPr>
      <w:spacing w:after="120"/>
      <w:ind w:left="420" w:firstLine="420" w:firstLineChars="0"/>
    </w:pPr>
    <w:rPr>
      <w:rFonts w:ascii="Times New Roman" w:eastAsia="宋体"/>
      <w:b/>
      <w:bCs/>
      <w:kern w:val="44"/>
      <w:sz w:val="44"/>
      <w:szCs w:val="44"/>
    </w:rPr>
  </w:style>
  <w:style w:type="paragraph" w:styleId="3">
    <w:name w:val="Body Text Indent"/>
    <w:basedOn w:val="1"/>
    <w:next w:val="4"/>
    <w:uiPriority w:val="0"/>
    <w:pPr>
      <w:ind w:firstLine="830" w:firstLineChars="352"/>
    </w:pPr>
    <w:rPr>
      <w:kern w:val="0"/>
      <w:sz w:val="32"/>
    </w:rPr>
  </w:style>
  <w:style w:type="paragraph" w:styleId="4">
    <w:name w:val="footnote text"/>
    <w:basedOn w:val="1"/>
    <w:qFormat/>
    <w:uiPriority w:val="0"/>
    <w:pPr>
      <w:numPr>
        <w:ilvl w:val="0"/>
        <w:numId w:val="1"/>
      </w:numPr>
      <w:snapToGrid w:val="0"/>
      <w:jc w:val="left"/>
    </w:pPr>
    <w:rPr>
      <w:sz w:val="18"/>
      <w:szCs w:val="18"/>
    </w:rPr>
  </w:style>
  <w:style w:type="paragraph" w:styleId="5">
    <w:name w:val="Body Text First Indent"/>
    <w:basedOn w:val="6"/>
    <w:next w:val="9"/>
    <w:semiHidden/>
    <w:qFormat/>
    <w:uiPriority w:val="0"/>
    <w:pPr>
      <w:ind w:firstLine="420"/>
    </w:pPr>
    <w:rPr>
      <w:kern w:val="2"/>
      <w:sz w:val="28"/>
    </w:rPr>
  </w:style>
  <w:style w:type="paragraph" w:styleId="6">
    <w:name w:val="Body Text"/>
    <w:basedOn w:val="1"/>
    <w:next w:val="7"/>
    <w:uiPriority w:val="0"/>
    <w:pPr>
      <w:spacing w:after="120"/>
    </w:pPr>
    <w:rPr>
      <w:rFonts w:ascii="Times New Roman" w:eastAsia="宋体"/>
      <w:kern w:val="0"/>
      <w:sz w:val="21"/>
      <w:szCs w:val="24"/>
    </w:rPr>
  </w:style>
  <w:style w:type="paragraph" w:customStyle="1" w:styleId="7">
    <w:name w:val="p15"/>
    <w:basedOn w:val="1"/>
    <w:next w:val="8"/>
    <w:uiPriority w:val="0"/>
    <w:pPr>
      <w:widowControl/>
      <w:spacing w:before="100" w:after="100"/>
      <w:jc w:val="left"/>
    </w:pPr>
    <w:rPr>
      <w:rFonts w:ascii="宋体" w:hAnsi="宋体" w:cs="宋体"/>
      <w:kern w:val="0"/>
      <w:sz w:val="24"/>
    </w:rPr>
  </w:style>
  <w:style w:type="paragraph" w:customStyle="1" w:styleId="8">
    <w:name w:val="Char Char Char Char Char Char"/>
    <w:basedOn w:val="1"/>
    <w:next w:val="5"/>
    <w:semiHidden/>
    <w:uiPriority w:val="0"/>
    <w:rPr>
      <w:szCs w:val="20"/>
    </w:rPr>
  </w:style>
  <w:style w:type="paragraph" w:customStyle="1" w:styleId="9">
    <w:name w:val="Char Char Char"/>
    <w:basedOn w:val="1"/>
    <w:next w:val="10"/>
    <w:semiHidden/>
    <w:qFormat/>
    <w:uiPriority w:val="0"/>
  </w:style>
  <w:style w:type="paragraph" w:styleId="10">
    <w:name w:val="Balloon Text"/>
    <w:basedOn w:val="1"/>
    <w:next w:val="11"/>
    <w:semiHidden/>
    <w:uiPriority w:val="0"/>
    <w:rPr>
      <w:rFonts w:ascii="Times New Roman" w:eastAsia="宋体"/>
      <w:sz w:val="18"/>
      <w:szCs w:val="18"/>
    </w:rPr>
  </w:style>
  <w:style w:type="paragraph" w:styleId="11">
    <w:name w:val="Date"/>
    <w:basedOn w:val="1"/>
    <w:next w:val="1"/>
    <w:qFormat/>
    <w:uiPriority w:val="0"/>
    <w:pPr>
      <w:ind w:left="100" w:leftChars="2500"/>
    </w:pPr>
    <w:rPr>
      <w:rFonts w:ascii="宋体" w:hAnsi="Courier New" w:eastAsia="宋体"/>
      <w:kern w:val="0"/>
      <w:sz w:val="21"/>
      <w:szCs w:val="21"/>
    </w:rPr>
  </w:style>
  <w:style w:type="paragraph" w:styleId="12">
    <w:name w:val="Normal Indent"/>
    <w:basedOn w:val="1"/>
    <w:next w:val="1"/>
    <w:qFormat/>
    <w:uiPriority w:val="0"/>
    <w:pPr>
      <w:ind w:firstLine="420"/>
    </w:pPr>
  </w:style>
  <w:style w:type="paragraph" w:styleId="13">
    <w:name w:val="Normal (Web)"/>
    <w:basedOn w:val="1"/>
    <w:qFormat/>
    <w:uiPriority w:val="0"/>
    <w:pPr>
      <w:widowControl/>
      <w:spacing w:before="100" w:beforeAutospacing="1" w:after="100" w:afterAutospacing="1"/>
      <w:jc w:val="left"/>
    </w:pPr>
    <w:rPr>
      <w:rFonts w:ascii="宋体" w:hAnsi="宋体"/>
      <w:kern w:val="0"/>
      <w:sz w:val="24"/>
    </w:rPr>
  </w:style>
  <w:style w:type="paragraph" w:customStyle="1" w:styleId="1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3575</Words>
  <Characters>4016</Characters>
  <Lines>0</Lines>
  <Paragraphs>0</Paragraphs>
  <TotalTime>0</TotalTime>
  <ScaleCrop>false</ScaleCrop>
  <LinksUpToDate>false</LinksUpToDate>
  <CharactersWithSpaces>4402</CharactersWithSpaces>
  <Application>WPS Office_11.8.2.12195_F1E327BC-269C-435d-A152-05C5408002CA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pcc</dc:creator>
  <cp:lastModifiedBy>pcc</cp:lastModifiedBy>
  <dcterms:modified xsi:type="dcterms:W3CDTF">2024-04-02T03:41:27Z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ICV">
    <vt:lpwstr>B08FEAE01CAD4F12B453CA2F3242EC77</vt:lpwstr>
  </property>
</Properties>
</file>