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2024年车辆相关服务</w:t>
      </w:r>
      <w:r>
        <w:rPr>
          <w:rFonts w:hint="eastAsia" w:ascii="宋体" w:hAnsi="宋体" w:eastAsia="宋体" w:cs="宋体"/>
          <w:b/>
          <w:bCs/>
          <w:sz w:val="28"/>
          <w:szCs w:val="28"/>
          <w:lang w:val="en-US" w:eastAsia="zh-CN"/>
        </w:rPr>
        <w:t>框架</w:t>
      </w:r>
      <w:r>
        <w:rPr>
          <w:rFonts w:hint="eastAsia" w:ascii="宋体" w:hAnsi="宋体" w:eastAsia="宋体" w:cs="宋体"/>
          <w:b/>
          <w:bCs/>
          <w:sz w:val="28"/>
          <w:szCs w:val="28"/>
          <w:lang w:eastAsia="zh-CN"/>
        </w:rPr>
        <w:t>采购（四次）招标公告</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13888"/>
      <w:bookmarkStart w:id="1" w:name="_Toc54632629"/>
      <w:bookmarkStart w:id="2" w:name="_Toc13556"/>
      <w:bookmarkStart w:id="3" w:name="_Toc1489"/>
      <w:bookmarkStart w:id="4" w:name="_Toc495644242"/>
      <w:bookmarkStart w:id="5" w:name="_Toc58406238"/>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招标条件</w:t>
      </w:r>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内蒙古电力(集团)有限责任公司薛家湾供电分公司2024年车辆相关服务框架采购（四次）</w:t>
      </w:r>
      <w:r>
        <w:rPr>
          <w:rFonts w:hint="eastAsia" w:ascii="宋体" w:hAnsi="宋体" w:eastAsia="宋体" w:cs="宋体"/>
          <w:color w:val="auto"/>
          <w:sz w:val="24"/>
          <w:szCs w:val="24"/>
        </w:rPr>
        <w:t>组织</w:t>
      </w:r>
      <w:r>
        <w:rPr>
          <w:rFonts w:hint="eastAsia" w:ascii="宋体" w:hAnsi="宋体" w:eastAsia="宋体" w:cs="宋体"/>
          <w:color w:val="auto"/>
          <w:sz w:val="24"/>
          <w:szCs w:val="24"/>
          <w:lang w:eastAsia="zh-CN"/>
        </w:rPr>
        <w:t>公开招标</w:t>
      </w:r>
      <w:r>
        <w:rPr>
          <w:rFonts w:hint="eastAsia" w:ascii="宋体" w:hAnsi="宋体" w:eastAsia="宋体" w:cs="宋体"/>
          <w:color w:val="auto"/>
          <w:sz w:val="24"/>
          <w:szCs w:val="24"/>
        </w:rPr>
        <w:t>。现将有关事宜公告如下：</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13446"/>
      <w:bookmarkStart w:id="7" w:name="_Toc54632630"/>
      <w:bookmarkStart w:id="8" w:name="_Toc495644243"/>
      <w:bookmarkStart w:id="9" w:name="_Toc58406239"/>
      <w:bookmarkStart w:id="10" w:name="_Toc5564"/>
      <w:bookmarkStart w:id="11" w:name="_Toc22876"/>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招标项目编号</w:t>
      </w:r>
      <w:r>
        <w:rPr>
          <w:rFonts w:hint="eastAsia" w:ascii="宋体" w:hAnsi="宋体" w:eastAsia="宋体" w:cs="宋体"/>
          <w:color w:val="auto"/>
          <w:sz w:val="24"/>
          <w:szCs w:val="24"/>
        </w:rPr>
        <w:t>:</w:t>
      </w:r>
      <w:r>
        <w:rPr>
          <w:rFonts w:hint="eastAsia" w:ascii="宋体" w:hAnsi="宋体" w:eastAsia="宋体" w:cs="宋体"/>
          <w:color w:val="auto"/>
          <w:sz w:val="24"/>
          <w:szCs w:val="24"/>
          <w:highlight w:val="none"/>
          <w:lang w:eastAsia="zh-CN"/>
        </w:rPr>
        <w:t>BHZB-FW-202303068（四次）</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内蒙古电力(集团)有限责任公司薛家湾供电分公司2024年车辆相关服务框架采购（四次）</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pPr>
        <w:pageBreakBefore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2.3.1第三标段：薛家湾供电公司2024年度车辆装具用品、清洗服务框架(薛家湾）；</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内容:</w:t>
      </w:r>
      <w:bookmarkStart w:id="12" w:name="_Toc495644244"/>
      <w:bookmarkStart w:id="13" w:name="_Toc529"/>
      <w:r>
        <w:rPr>
          <w:rFonts w:hint="eastAsia" w:ascii="宋体" w:hAnsi="宋体" w:eastAsia="宋体" w:cs="宋体"/>
          <w:color w:val="auto"/>
          <w:sz w:val="24"/>
          <w:szCs w:val="24"/>
          <w:highlight w:val="none"/>
          <w:lang w:eastAsia="zh-CN"/>
        </w:rPr>
        <w:t>内蒙古电力(集团)有限责任公司薛家湾供电分公司2024年车辆相关服务框架采购，具体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lang w:eastAsia="zh-CN"/>
        </w:rPr>
        <w:t>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框架服务期限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val="en-US" w:eastAsia="zh-CN"/>
        </w:rPr>
        <w:t>详见采购明细表及采购文件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sz w:val="24"/>
          <w:szCs w:val="24"/>
          <w:highlight w:val="none"/>
          <w:lang w:val="en-US" w:eastAsia="zh-CN"/>
        </w:rPr>
        <w:t>服务质量：满足招标人需求</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lang w:val="en-US" w:eastAsia="zh-CN"/>
        </w:rPr>
      </w:pPr>
      <w:r>
        <w:rPr>
          <w:rFonts w:hint="eastAsia" w:ascii="宋体" w:hAnsi="宋体" w:eastAsia="宋体" w:cs="宋体"/>
          <w:color w:val="auto"/>
          <w:sz w:val="24"/>
          <w:szCs w:val="24"/>
          <w:highlight w:val="none"/>
          <w:lang w:val="en-US" w:eastAsia="zh-CN"/>
        </w:rPr>
        <w:t>2.9框架入围家数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招标</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招标</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54632631"/>
      <w:bookmarkStart w:id="15" w:name="_Toc6120"/>
      <w:bookmarkStart w:id="16" w:name="_Toc58406240"/>
      <w:bookmarkStart w:id="17" w:name="_Toc8335"/>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投标人</w:t>
      </w:r>
      <w:r>
        <w:rPr>
          <w:rFonts w:hint="eastAsia" w:ascii="宋体" w:hAnsi="宋体" w:eastAsia="宋体" w:cs="宋体"/>
          <w:b/>
          <w:bCs w:val="0"/>
          <w:color w:val="auto"/>
          <w:sz w:val="24"/>
          <w:szCs w:val="24"/>
        </w:rPr>
        <w:t>资格要求</w:t>
      </w:r>
      <w:bookmarkEnd w:id="14"/>
      <w:bookmarkEnd w:id="15"/>
      <w:bookmarkEnd w:id="16"/>
      <w:bookmarkEnd w:id="17"/>
    </w:p>
    <w:p>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54632632"/>
      <w:bookmarkStart w:id="19" w:name="_Toc23506"/>
      <w:bookmarkStart w:id="20" w:name="_Toc11915"/>
      <w:bookmarkStart w:id="21" w:name="_Toc58406241"/>
      <w:bookmarkStart w:id="22" w:name="_Toc58406242"/>
      <w:bookmarkStart w:id="23" w:name="_Toc20511"/>
      <w:bookmarkStart w:id="24" w:name="_Toc13086"/>
      <w:bookmarkStart w:id="25" w:name="_Toc54632633"/>
      <w:r>
        <w:rPr>
          <w:rFonts w:hint="eastAsia" w:ascii="宋体" w:hAnsi="宋体" w:eastAsia="宋体" w:cs="宋体"/>
          <w:b/>
          <w:bCs w:val="0"/>
          <w:color w:val="auto"/>
          <w:sz w:val="24"/>
          <w:szCs w:val="24"/>
        </w:rPr>
        <w:t>3.1通用资格要求</w:t>
      </w:r>
      <w:bookmarkEnd w:id="18"/>
      <w:bookmarkEnd w:id="19"/>
      <w:bookmarkEnd w:id="20"/>
      <w:bookmarkEnd w:id="21"/>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须为中华人民共和国境内依法注册，具有有效的营业执照</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3.1.2投标人具有开具增值税专用发票的能力(提供近一年开具的增值税专用发票或相关证明资料)并在人员、设备、资金、等方面具有保障如期服务等承担招标项目的能力；</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投标；母公司和其全资子公司不得在同一标段中同时投标；存在控股、管理关系的不同单位，不得参加同一标段中投标或者未划分标段的同一招标项目中投标:母子公司不得相互借用任何资质、业绩；</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3.1.4参加本次招标项目近三年内，在经营活动中没有重大违法记录或不良记录，有良好的财务状况和商业信誉，未处于被责令停产、财产被接管、冻结或破产状态；</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r>
        <w:rPr>
          <w:rFonts w:hint="eastAsia" w:ascii="宋体" w:hAnsi="宋体" w:eastAsia="宋体" w:cs="宋体"/>
          <w:color w:val="auto"/>
          <w:sz w:val="24"/>
          <w:szCs w:val="24"/>
          <w:highlight w:val="none"/>
        </w:rPr>
        <w:t>(提供承诺函，格式自拟)</w:t>
      </w:r>
      <w:r>
        <w:rPr>
          <w:rFonts w:hint="eastAsia" w:ascii="宋体" w:hAnsi="宋体" w:eastAsia="宋体" w:cs="宋体"/>
          <w:color w:val="auto"/>
          <w:sz w:val="24"/>
          <w:szCs w:val="24"/>
          <w:lang w:val="en-US"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3.1.6投标人及其法定代表人在“中国执行信息公开网”（省份选择全部）（http://zxgk.court.gov.cn/shixin/）中未被列入失信被执行人名单；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投标人在“国家企业信用信息公示系统网”(http://www.gsxt.gov.cn/index.html)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3.1.8投标人需提供近三年中国裁判文书网(https://wenshu.court.gov.cn/）查询的投标人及法定代表人无行贿犯罪记录的截图；</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3.1.9投标人未被列入中国电力企业联合公布的“中电联关于公布涉电力领域重点关注对象名单”；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3.1.10本项目不接受联合体投标。</w:t>
      </w:r>
    </w:p>
    <w:p>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58406243"/>
      <w:bookmarkStart w:id="27" w:name="_Toc54632634"/>
      <w:bookmarkStart w:id="28" w:name="_Toc11301"/>
      <w:bookmarkStart w:id="29" w:name="_Toc14058"/>
      <w:r>
        <w:rPr>
          <w:rFonts w:hint="eastAsia" w:ascii="宋体" w:hAnsi="宋体" w:eastAsia="宋体" w:cs="宋体"/>
          <w:b/>
          <w:bCs w:val="0"/>
          <w:color w:val="auto"/>
          <w:sz w:val="24"/>
          <w:szCs w:val="24"/>
          <w:lang w:val="en-US" w:eastAsia="zh-CN"/>
        </w:rPr>
        <w:t xml:space="preserve"> </w:t>
      </w:r>
    </w:p>
    <w:p>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招标</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招标文件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本项目不收取招标文件费</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招标文件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2024年0</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11</w:t>
      </w:r>
      <w:r>
        <w:rPr>
          <w:rFonts w:hint="eastAsia" w:ascii="宋体" w:hAnsi="宋体" w:eastAsia="宋体" w:cs="宋体"/>
          <w:sz w:val="24"/>
          <w:szCs w:val="24"/>
          <w:highlight w:val="none"/>
          <w:lang w:eastAsia="zh-CN"/>
        </w:rPr>
        <w:t>日至2024年04月</w:t>
      </w:r>
      <w:r>
        <w:rPr>
          <w:rFonts w:hint="eastAsia" w:ascii="宋体" w:hAnsi="宋体" w:eastAsia="宋体" w:cs="宋体"/>
          <w:sz w:val="24"/>
          <w:szCs w:val="24"/>
          <w:highlight w:val="none"/>
          <w:lang w:val="en-US" w:eastAsia="zh-CN"/>
        </w:rPr>
        <w:t>18</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供应商提交报名资料，通过资格查验的供应商报名后通过“文件下载”界面下载招标文件，平台联系电话:400-9913-966。</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投标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4.3投标报名资料</w:t>
      </w:r>
    </w:p>
    <w:bookmarkEnd w:id="30"/>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投标人资格要求的潜在投标人，报名需上传下列有效证明资料加盖公章的扫描件（注：报名资料内容清晰可辨，请按照顺序将所有报名资料的扫描件放到一个PDF文件内，只上传一个PDF文件即可，上传时文件夹命名为所投标段编号+公司名称,出现未按照规定上传、资料不全、资料不合格的情况，招标人有权拒绝），具体如下：</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4.3.3载有统一社会信用代码的营业执照扫描件；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4.3.4提供开具的增值税发票或税务局出具的相关证明等；</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4.3.5投标人专用资格要求中所需资料扫描件；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4.3.6投标人及其法定代表人在“中国执行信息公开网”（省份选择全部）（http://zxgk.court.gov.cn/shixin/）”查询显示未被列入失信被执行人名单查询结果截图；(详见公告附件3)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投标人</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4.3.8投标人在中国裁判文书网(https://wenshu.court.gov.cn/)显示投标人及法定代表人近三年无行贿犯罪记录；(详见公告附件3)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注：A、上述要求是对投标人的基本要求，如按照行业及相关部门另有规定的遵循其规定，投标人应提供相应的证明或资信材料；</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招标人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投标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投标</w:t>
      </w:r>
      <w:r>
        <w:rPr>
          <w:rFonts w:hint="eastAsia" w:ascii="宋体" w:hAnsi="宋体" w:eastAsia="宋体" w:cs="宋体"/>
          <w:b/>
          <w:kern w:val="0"/>
          <w:sz w:val="24"/>
          <w:szCs w:val="24"/>
        </w:rPr>
        <w:t>/中标人自负，并承担相应的法律责任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自负；</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招标人</w:t>
      </w:r>
      <w:r>
        <w:rPr>
          <w:rFonts w:hint="eastAsia" w:ascii="宋体" w:hAnsi="宋体" w:eastAsia="宋体" w:cs="宋体"/>
          <w:b/>
          <w:kern w:val="0"/>
          <w:sz w:val="24"/>
          <w:szCs w:val="24"/>
        </w:rPr>
        <w:t>有权拒绝；</w:t>
      </w:r>
    </w:p>
    <w:p>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E、投标人上传的报名资料中，检验报告及合同可以只附关键页，关键页是指能体现投标人名称、检验产品名称、结论、签订合同时间、签订金额等即可。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19515"/>
      <w:bookmarkStart w:id="32" w:name="_Toc11424"/>
      <w:bookmarkStart w:id="33" w:name="_Toc495645074"/>
      <w:bookmarkStart w:id="34" w:name="_Toc54632635"/>
      <w:bookmarkStart w:id="35" w:name="_Toc21923"/>
      <w:bookmarkStart w:id="36" w:name="_Toc58406244"/>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eastAsia="zh-CN"/>
        </w:rPr>
        <w:t>投标文件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递交投标文件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递交投标文件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8406245"/>
      <w:bookmarkStart w:id="39" w:name="_Toc26010"/>
      <w:bookmarkStart w:id="40" w:name="_Toc54632636"/>
      <w:bookmarkStart w:id="41" w:name="_Toc11300"/>
      <w:r>
        <w:rPr>
          <w:rFonts w:hint="eastAsia" w:ascii="宋体" w:hAnsi="宋体" w:eastAsia="宋体" w:cs="宋体"/>
          <w:b/>
          <w:bCs w:val="0"/>
          <w:color w:val="auto"/>
          <w:sz w:val="24"/>
          <w:szCs w:val="24"/>
        </w:rPr>
        <w:t>6.资格审查：</w:t>
      </w:r>
      <w:bookmarkEnd w:id="37"/>
      <w:bookmarkEnd w:id="38"/>
      <w:bookmarkEnd w:id="39"/>
      <w:bookmarkEnd w:id="40"/>
      <w:bookmarkEnd w:id="4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将被否决。</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54632637"/>
      <w:bookmarkStart w:id="43" w:name="_Toc260"/>
      <w:bookmarkStart w:id="44" w:name="_Toc26331"/>
      <w:bookmarkStart w:id="45" w:name="_Toc4184"/>
      <w:bookmarkStart w:id="46" w:name="_Toc58406246"/>
      <w:r>
        <w:rPr>
          <w:rFonts w:hint="eastAsia" w:ascii="宋体" w:hAnsi="宋体" w:eastAsia="宋体" w:cs="宋体"/>
          <w:b/>
          <w:bCs w:val="0"/>
          <w:color w:val="auto"/>
          <w:sz w:val="24"/>
          <w:szCs w:val="24"/>
        </w:rPr>
        <w:t>7.截标及开标时间：</w:t>
      </w:r>
      <w:bookmarkEnd w:id="42"/>
      <w:bookmarkEnd w:id="43"/>
      <w:bookmarkEnd w:id="44"/>
      <w:bookmarkEnd w:id="45"/>
      <w:bookmarkEnd w:id="46"/>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8804"/>
      <w:bookmarkStart w:id="48" w:name="_Toc24008"/>
      <w:bookmarkStart w:id="49" w:name="_Toc54632638"/>
      <w:bookmarkStart w:id="50" w:name="_Toc58406247"/>
      <w:bookmarkStart w:id="51" w:name="_Toc5776"/>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04月11日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05月06日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bookmarkStart w:id="63" w:name="_GoBack"/>
      <w:bookmarkEnd w:id="63"/>
      <w:r>
        <w:rPr>
          <w:rFonts w:hint="eastAsia" w:ascii="宋体" w:hAnsi="宋体" w:eastAsia="宋体" w:cs="宋体"/>
          <w:color w:val="auto"/>
          <w:sz w:val="24"/>
          <w:szCs w:val="24"/>
          <w:highlight w:val="none"/>
          <w:lang w:val="en-US" w:eastAsia="zh-CN"/>
        </w:rPr>
        <w:t>05月06日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05月06日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05月06日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需保持电脑网络通畅)。</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文件的，视为</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开标现场地点：内蒙古招标投标协会开标室</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yellow"/>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w:t>
      </w:r>
      <w:r>
        <w:rPr>
          <w:rFonts w:hint="eastAsia" w:ascii="宋体" w:hAnsi="宋体" w:eastAsia="宋体" w:cs="宋体"/>
          <w:b/>
          <w:bCs/>
          <w:color w:val="auto"/>
          <w:sz w:val="24"/>
          <w:szCs w:val="24"/>
          <w:highlight w:val="none"/>
        </w:rPr>
        <w:t>新城区呼伦贝尔北路呼铁党校南楼（交通岗亭南50米）</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如果截标或开标时间及地点有改变，</w:t>
      </w:r>
      <w:r>
        <w:rPr>
          <w:rFonts w:hint="eastAsia" w:ascii="宋体" w:hAnsi="宋体" w:eastAsia="宋体" w:cs="宋体"/>
          <w:color w:val="auto"/>
          <w:sz w:val="24"/>
          <w:szCs w:val="24"/>
          <w:lang w:val="en-US" w:eastAsia="zh-CN"/>
        </w:rPr>
        <w:t>代理</w:t>
      </w:r>
      <w:r>
        <w:rPr>
          <w:rFonts w:hint="eastAsia" w:ascii="宋体" w:hAnsi="宋体" w:eastAsia="宋体" w:cs="宋体"/>
          <w:color w:val="auto"/>
          <w:sz w:val="24"/>
          <w:szCs w:val="24"/>
        </w:rPr>
        <w:t>机构将提前通知，逾期提交的</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将不予受理，不接受邮寄方式提交</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3" w:name="_Toc58406248"/>
      <w:bookmarkStart w:id="54" w:name="_Toc54632639"/>
      <w:bookmarkStart w:id="55" w:name="_Toc23124"/>
      <w:bookmarkStart w:id="56" w:name="_Toc18343"/>
      <w:r>
        <w:rPr>
          <w:rFonts w:hint="eastAsia" w:ascii="宋体" w:hAnsi="宋体" w:eastAsia="宋体" w:cs="宋体"/>
          <w:b/>
          <w:bCs w:val="0"/>
          <w:color w:val="auto"/>
          <w:sz w:val="24"/>
          <w:szCs w:val="24"/>
        </w:rPr>
        <w:t>9.</w:t>
      </w:r>
      <w:r>
        <w:rPr>
          <w:rFonts w:hint="eastAsia" w:ascii="宋体" w:hAnsi="宋体" w:eastAsia="宋体" w:cs="宋体"/>
          <w:b/>
          <w:bCs w:val="0"/>
          <w:color w:val="auto"/>
          <w:sz w:val="24"/>
          <w:szCs w:val="24"/>
          <w:lang w:eastAsia="zh-CN"/>
        </w:rPr>
        <w:t>招标</w:t>
      </w:r>
      <w:r>
        <w:rPr>
          <w:rFonts w:hint="eastAsia" w:ascii="宋体" w:hAnsi="宋体" w:eastAsia="宋体" w:cs="宋体"/>
          <w:b/>
          <w:bCs w:val="0"/>
          <w:color w:val="auto"/>
          <w:sz w:val="24"/>
          <w:szCs w:val="24"/>
        </w:rPr>
        <w:t>费用：</w:t>
      </w:r>
      <w:bookmarkEnd w:id="52"/>
      <w:bookmarkEnd w:id="53"/>
      <w:bookmarkEnd w:id="54"/>
      <w:bookmarkEnd w:id="55"/>
      <w:bookmarkEnd w:id="56"/>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bookmarkStart w:id="57" w:name="_Toc495645075"/>
      <w:bookmarkStart w:id="58" w:name="_Toc13484"/>
      <w:r>
        <w:rPr>
          <w:rFonts w:hint="eastAsia" w:ascii="宋体" w:hAnsi="宋体" w:eastAsia="宋体" w:cs="宋体"/>
          <w:color w:val="auto"/>
          <w:sz w:val="24"/>
          <w:szCs w:val="24"/>
        </w:rPr>
        <w:t>9.1平台使用费：本项目采用全流程电子招</w:t>
      </w:r>
      <w:r>
        <w:rPr>
          <w:rFonts w:hint="eastAsia" w:ascii="宋体" w:hAnsi="宋体" w:eastAsia="宋体" w:cs="宋体"/>
          <w:color w:val="auto"/>
          <w:sz w:val="24"/>
          <w:szCs w:val="24"/>
          <w:lang w:val="en-US" w:eastAsia="zh-CN"/>
        </w:rPr>
        <w:t>投</w:t>
      </w:r>
      <w:r>
        <w:rPr>
          <w:rFonts w:hint="eastAsia" w:ascii="宋体" w:hAnsi="宋体" w:eastAsia="宋体" w:cs="宋体"/>
          <w:color w:val="auto"/>
          <w:sz w:val="24"/>
          <w:szCs w:val="24"/>
          <w:lang w:eastAsia="zh-CN"/>
        </w:rPr>
        <w:t>标</w:t>
      </w:r>
      <w:r>
        <w:rPr>
          <w:rFonts w:hint="eastAsia" w:ascii="宋体" w:hAnsi="宋体" w:eastAsia="宋体" w:cs="宋体"/>
          <w:color w:val="auto"/>
          <w:sz w:val="24"/>
          <w:szCs w:val="24"/>
        </w:rPr>
        <w:t>，每</w:t>
      </w:r>
      <w:r>
        <w:rPr>
          <w:rFonts w:hint="eastAsia" w:ascii="宋体" w:hAnsi="宋体" w:eastAsia="宋体" w:cs="宋体"/>
          <w:color w:val="auto"/>
          <w:sz w:val="24"/>
          <w:szCs w:val="24"/>
          <w:lang w:eastAsia="zh-CN"/>
        </w:rPr>
        <w:t>标段</w:t>
      </w:r>
      <w:r>
        <w:rPr>
          <w:rFonts w:hint="eastAsia" w:ascii="宋体" w:hAnsi="宋体" w:eastAsia="宋体" w:cs="宋体"/>
          <w:color w:val="auto"/>
          <w:sz w:val="24"/>
          <w:szCs w:val="24"/>
        </w:rPr>
        <w:t>每家</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需（在线</w:t>
      </w:r>
      <w:r>
        <w:rPr>
          <w:rFonts w:hint="eastAsia" w:ascii="宋体" w:hAnsi="宋体" w:eastAsia="宋体" w:cs="宋体"/>
          <w:color w:val="auto"/>
          <w:sz w:val="24"/>
          <w:szCs w:val="24"/>
          <w:lang w:val="en-US" w:eastAsia="zh-CN"/>
        </w:rPr>
        <w:t>下载招标</w:t>
      </w:r>
      <w:r>
        <w:rPr>
          <w:rFonts w:hint="eastAsia" w:ascii="宋体" w:hAnsi="宋体" w:eastAsia="宋体" w:cs="宋体"/>
          <w:color w:val="auto"/>
          <w:sz w:val="24"/>
          <w:szCs w:val="24"/>
        </w:rPr>
        <w:t>文件后，上传</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前）在线向电子交易平台缴纳电子</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89"/>
        <w:gridCol w:w="4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招标类型</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平台使用费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400元/</w:t>
            </w:r>
            <w:r>
              <w:rPr>
                <w:rFonts w:hint="eastAsia" w:ascii="宋体" w:hAnsi="宋体" w:eastAsia="宋体" w:cs="宋体"/>
                <w:color w:val="auto"/>
                <w:sz w:val="24"/>
                <w:szCs w:val="24"/>
                <w:lang w:eastAsia="zh-CN"/>
              </w:rPr>
              <w:t>标段</w:t>
            </w:r>
            <w:r>
              <w:rPr>
                <w:rFonts w:hint="eastAsia" w:ascii="宋体" w:hAnsi="宋体" w:eastAsia="宋体" w:cs="宋体"/>
                <w:color w:val="auto"/>
                <w:sz w:val="24"/>
                <w:szCs w:val="24"/>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非招标项目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00元/</w:t>
            </w:r>
            <w:r>
              <w:rPr>
                <w:rFonts w:hint="eastAsia" w:ascii="宋体" w:hAnsi="宋体" w:eastAsia="宋体" w:cs="宋体"/>
                <w:color w:val="auto"/>
                <w:sz w:val="24"/>
                <w:szCs w:val="24"/>
                <w:lang w:eastAsia="zh-CN"/>
              </w:rPr>
              <w:t>标段</w:t>
            </w:r>
            <w:r>
              <w:rPr>
                <w:rFonts w:hint="eastAsia" w:ascii="宋体" w:hAnsi="宋体" w:eastAsia="宋体" w:cs="宋体"/>
                <w:color w:val="auto"/>
                <w:sz w:val="24"/>
                <w:szCs w:val="24"/>
              </w:rPr>
              <w:t>/次</w:t>
            </w:r>
          </w:p>
        </w:tc>
      </w:tr>
    </w:tbl>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9.2场所服务费：由</w:t>
      </w:r>
      <w:r>
        <w:rPr>
          <w:rFonts w:hint="eastAsia" w:ascii="宋体" w:hAnsi="宋体" w:eastAsia="宋体" w:cs="宋体"/>
          <w:color w:val="auto"/>
          <w:sz w:val="24"/>
          <w:szCs w:val="24"/>
          <w:highlight w:val="none"/>
          <w:lang w:val="en-US" w:eastAsia="zh-CN"/>
        </w:rPr>
        <w:t>中标人</w:t>
      </w:r>
      <w:r>
        <w:rPr>
          <w:rFonts w:hint="eastAsia" w:ascii="宋体" w:hAnsi="宋体" w:eastAsia="宋体" w:cs="宋体"/>
          <w:color w:val="auto"/>
          <w:sz w:val="24"/>
          <w:szCs w:val="24"/>
          <w:highlight w:val="none"/>
        </w:rPr>
        <w:t>向</w:t>
      </w:r>
      <w:r>
        <w:rPr>
          <w:rFonts w:hint="eastAsia" w:ascii="宋体" w:hAnsi="宋体" w:eastAsia="宋体" w:cs="宋体"/>
          <w:color w:val="auto"/>
          <w:sz w:val="24"/>
          <w:szCs w:val="24"/>
          <w:highlight w:val="none"/>
          <w:lang w:eastAsia="zh-CN"/>
        </w:rPr>
        <w:t>内蒙古网佳招标公共服务平台运营有限公司</w:t>
      </w:r>
      <w:r>
        <w:rPr>
          <w:rFonts w:hint="eastAsia" w:ascii="宋体" w:hAnsi="宋体" w:eastAsia="宋体" w:cs="宋体"/>
          <w:color w:val="auto"/>
          <w:sz w:val="24"/>
          <w:szCs w:val="24"/>
          <w:highlight w:val="none"/>
        </w:rPr>
        <w:t>支付</w:t>
      </w:r>
      <w:r>
        <w:rPr>
          <w:rFonts w:hint="eastAsia" w:ascii="宋体" w:hAnsi="宋体" w:eastAsia="宋体" w:cs="宋体"/>
          <w:color w:val="auto"/>
          <w:sz w:val="24"/>
          <w:szCs w:val="24"/>
          <w:highlight w:val="none"/>
          <w:lang w:eastAsia="zh-CN"/>
        </w:rPr>
        <w:t>，按每标段中标金额的万分之二(最高2万元)收取，不足800元的按照800元收取，无具体中标金额、费率、框架等形式的标段，按照800元/标段收取。</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中标单位</w:t>
      </w:r>
      <w:r>
        <w:rPr>
          <w:rFonts w:hint="eastAsia" w:ascii="宋体" w:hAnsi="宋体" w:eastAsia="宋体" w:cs="宋体"/>
          <w:color w:val="auto"/>
          <w:sz w:val="24"/>
          <w:szCs w:val="24"/>
          <w:highlight w:val="none"/>
        </w:rPr>
        <w:t>汇款时请务必公对公转账</w:t>
      </w:r>
      <w:r>
        <w:rPr>
          <w:rFonts w:hint="eastAsia" w:ascii="宋体" w:hAnsi="宋体" w:eastAsia="宋体" w:cs="宋体"/>
          <w:color w:val="auto"/>
          <w:sz w:val="24"/>
          <w:szCs w:val="24"/>
          <w:highlight w:val="none"/>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户名：内蒙古网佳招标公共服务平台运营有限公司</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账号：0602004109200022157</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开户行：中国工商银行股份有限公司呼和浩特市军区支行</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联系电话：0471—3261228</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邮箱地址：wjzbcw@126.com（</w:t>
      </w:r>
      <w:r>
        <w:rPr>
          <w:rFonts w:hint="eastAsia" w:ascii="宋体" w:hAnsi="宋体" w:eastAsia="宋体" w:cs="宋体"/>
          <w:color w:val="auto"/>
          <w:sz w:val="24"/>
          <w:szCs w:val="24"/>
          <w:highlight w:val="none"/>
          <w:lang w:eastAsia="zh-CN"/>
        </w:rPr>
        <w:t>成交供应商</w:t>
      </w:r>
      <w:r>
        <w:rPr>
          <w:rFonts w:hint="eastAsia" w:ascii="宋体" w:hAnsi="宋体" w:eastAsia="宋体" w:cs="宋体"/>
          <w:color w:val="auto"/>
          <w:sz w:val="24"/>
          <w:szCs w:val="24"/>
          <w:highlight w:val="none"/>
        </w:rPr>
        <w:t>汇款时请务必公对公转账并备注：代理机构名称及开标日期）</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9.3中标服务费：中标服务费由中标人支付，中标人须向</w:t>
      </w:r>
      <w:r>
        <w:rPr>
          <w:rFonts w:hint="eastAsia" w:ascii="宋体" w:hAnsi="宋体" w:eastAsia="宋体" w:cs="宋体"/>
          <w:color w:val="auto"/>
          <w:sz w:val="24"/>
          <w:szCs w:val="24"/>
          <w:lang w:val="en-US" w:eastAsia="zh-CN"/>
        </w:rPr>
        <w:t>招标代理</w:t>
      </w:r>
      <w:r>
        <w:rPr>
          <w:rFonts w:hint="eastAsia" w:ascii="宋体" w:hAnsi="宋体" w:eastAsia="宋体" w:cs="宋体"/>
          <w:color w:val="auto"/>
          <w:sz w:val="24"/>
          <w:szCs w:val="24"/>
        </w:rPr>
        <w:t>代理机构按如下标准和规定交纳中标服务费。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8695"/>
      <w:bookmarkStart w:id="60" w:name="_Toc58406249"/>
      <w:bookmarkStart w:id="61" w:name="_Toc54632640"/>
      <w:bookmarkStart w:id="62" w:name="_Toc32527"/>
      <w:r>
        <w:rPr>
          <w:rFonts w:hint="eastAsia" w:ascii="宋体" w:hAnsi="宋体" w:eastAsia="宋体" w:cs="宋体"/>
          <w:b/>
          <w:bCs w:val="0"/>
          <w:color w:val="auto"/>
          <w:sz w:val="24"/>
          <w:szCs w:val="24"/>
        </w:rPr>
        <w:t>10.发布公告的媒介</w:t>
      </w:r>
      <w:bookmarkEnd w:id="57"/>
      <w:bookmarkEnd w:id="58"/>
      <w:bookmarkEnd w:id="59"/>
      <w:bookmarkEnd w:id="60"/>
      <w:bookmarkEnd w:id="61"/>
      <w:bookmarkEnd w:id="62"/>
    </w:p>
    <w:p>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招标文件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pPr>
        <w:pageBreakBefore w:val="0"/>
        <w:kinsoku/>
        <w:wordWrap/>
        <w:overflowPunct/>
        <w:topLinePunct w:val="0"/>
        <w:bidi w:val="0"/>
        <w:snapToGrid/>
        <w:spacing w:line="360"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pPr>
        <w:ind w:firstLine="480" w:firstLineChars="200"/>
        <w:rPr>
          <w:rFonts w:hint="eastAsia" w:ascii="宋体" w:hAnsi="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2"/>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pPr>
        <w:pStyle w:val="2"/>
        <w:rPr>
          <w:rFonts w:hint="eastAsia" w:ascii="宋体" w:hAnsi="宋体" w:cs="宋体"/>
          <w:color w:val="auto"/>
          <w:sz w:val="24"/>
          <w:szCs w:val="24"/>
          <w:u w:val="none"/>
          <w:lang w:val="en-US" w:eastAsia="zh-CN"/>
        </w:rPr>
      </w:pPr>
    </w:p>
    <w:p>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202</w:t>
      </w:r>
      <w:r>
        <w:rPr>
          <w:rFonts w:hint="eastAsia" w:ascii="宋体" w:hAnsi="宋体" w:cs="宋体"/>
          <w:b w:val="0"/>
          <w:bCs w:val="0"/>
          <w:color w:val="auto"/>
          <w:kern w:val="2"/>
          <w:sz w:val="24"/>
          <w:szCs w:val="24"/>
          <w:highlight w:val="none"/>
          <w:lang w:val="en-US" w:eastAsia="zh-CN" w:bidi="ar-SA"/>
        </w:rPr>
        <w:t>4</w:t>
      </w:r>
      <w:r>
        <w:rPr>
          <w:rFonts w:hint="eastAsia" w:ascii="宋体" w:hAnsi="宋体" w:eastAsia="宋体" w:cs="宋体"/>
          <w:b w:val="0"/>
          <w:bCs w:val="0"/>
          <w:color w:val="auto"/>
          <w:kern w:val="2"/>
          <w:sz w:val="24"/>
          <w:szCs w:val="24"/>
          <w:highlight w:val="none"/>
          <w:lang w:val="en-US" w:eastAsia="zh-CN" w:bidi="ar-SA"/>
        </w:rPr>
        <w:t>年</w:t>
      </w:r>
      <w:r>
        <w:rPr>
          <w:rFonts w:hint="eastAsia" w:ascii="宋体" w:hAnsi="宋体" w:cs="宋体"/>
          <w:b w:val="0"/>
          <w:bCs w:val="0"/>
          <w:color w:val="auto"/>
          <w:kern w:val="2"/>
          <w:sz w:val="24"/>
          <w:szCs w:val="24"/>
          <w:highlight w:val="none"/>
          <w:lang w:val="en-US" w:eastAsia="zh-CN" w:bidi="ar-SA"/>
        </w:rPr>
        <w:t>04月11日</w:t>
      </w:r>
    </w:p>
    <w:sectPr>
      <w:pgSz w:w="11906" w:h="16838"/>
      <w:pgMar w:top="1134" w:right="1800"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kOGNkODYxNTQxMTJjNjdjMDllMzZkNzU4YzBlNWEifQ=="/>
  </w:docVars>
  <w:rsids>
    <w:rsidRoot w:val="7772748D"/>
    <w:rsid w:val="02DB19D0"/>
    <w:rsid w:val="07800277"/>
    <w:rsid w:val="0AC872B6"/>
    <w:rsid w:val="19BB266E"/>
    <w:rsid w:val="1DF934E2"/>
    <w:rsid w:val="228F6E5C"/>
    <w:rsid w:val="22B728F0"/>
    <w:rsid w:val="23F60F2C"/>
    <w:rsid w:val="28034E23"/>
    <w:rsid w:val="2E2D48D0"/>
    <w:rsid w:val="2F7C027D"/>
    <w:rsid w:val="304706C9"/>
    <w:rsid w:val="31AB4ACE"/>
    <w:rsid w:val="392E2110"/>
    <w:rsid w:val="3E10103E"/>
    <w:rsid w:val="4A634438"/>
    <w:rsid w:val="4A657F68"/>
    <w:rsid w:val="572A0D2E"/>
    <w:rsid w:val="59C6447B"/>
    <w:rsid w:val="5FEE4E93"/>
    <w:rsid w:val="66F73D06"/>
    <w:rsid w:val="6CBE7ED7"/>
    <w:rsid w:val="6EA45A27"/>
    <w:rsid w:val="70A65704"/>
    <w:rsid w:val="72A51148"/>
    <w:rsid w:val="7772748D"/>
    <w:rsid w:val="780D207B"/>
    <w:rsid w:val="79453A62"/>
    <w:rsid w:val="7D380D29"/>
    <w:rsid w:val="7EC4488A"/>
    <w:rsid w:val="7F8B2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6"/>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customStyle="1" w:styleId="4">
    <w:name w:val="p16"/>
    <w:basedOn w:val="1"/>
    <w:next w:val="5"/>
    <w:autoRedefine/>
    <w:qFormat/>
    <w:uiPriority w:val="0"/>
    <w:pPr>
      <w:widowControl/>
    </w:pPr>
    <w:rPr>
      <w:rFonts w:ascii="Calibri" w:hAnsi="Calibri" w:cs="宋体"/>
      <w:kern w:val="0"/>
      <w:szCs w:val="21"/>
    </w:rPr>
  </w:style>
  <w:style w:type="paragraph" w:styleId="5">
    <w:name w:val="toc 2"/>
    <w:basedOn w:val="1"/>
    <w:next w:val="1"/>
    <w:autoRedefine/>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autoRedefine/>
    <w:qFormat/>
    <w:uiPriority w:val="0"/>
    <w:pPr>
      <w:spacing w:after="120" w:line="480" w:lineRule="auto"/>
      <w:ind w:left="420" w:leftChars="200"/>
    </w:pPr>
  </w:style>
  <w:style w:type="paragraph" w:styleId="7">
    <w:name w:val="annotation text"/>
    <w:basedOn w:val="1"/>
    <w:next w:val="3"/>
    <w:autoRedefine/>
    <w:semiHidden/>
    <w:qFormat/>
    <w:uiPriority w:val="0"/>
    <w:pPr>
      <w:jc w:val="left"/>
    </w:pPr>
  </w:style>
  <w:style w:type="paragraph" w:styleId="8">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autoRedefine/>
    <w:qFormat/>
    <w:uiPriority w:val="99"/>
    <w:rPr>
      <w:color w:val="0000FF"/>
      <w:u w:val="single"/>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4448</Words>
  <Characters>5221</Characters>
  <Lines>0</Lines>
  <Paragraphs>0</Paragraphs>
  <TotalTime>7</TotalTime>
  <ScaleCrop>false</ScaleCrop>
  <LinksUpToDate>false</LinksUpToDate>
  <CharactersWithSpaces>5253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 当初.</cp:lastModifiedBy>
  <cp:lastPrinted>2024-03-29T04:45:00Z</cp:lastPrinted>
  <dcterms:modified xsi:type="dcterms:W3CDTF">2024-04-11T02:13:05Z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2A399940B01C447A9234173E4A580C40_11</vt:lpwstr>
  </property>
</Properties>
</file>