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2"/>
          <w:szCs w:val="32"/>
          <w:highlight w:val="none"/>
        </w:rPr>
      </w:pPr>
      <w:bookmarkStart w:id="0" w:name="_Toc495644242"/>
      <w:r>
        <w:rPr>
          <w:rFonts w:hint="eastAsia" w:ascii="宋体" w:hAnsi="宋体" w:eastAsia="宋体" w:cs="宋体"/>
          <w:b/>
          <w:bCs/>
          <w:sz w:val="32"/>
          <w:szCs w:val="32"/>
          <w:highlight w:val="none"/>
        </w:rPr>
        <w:t>锡林郭勒供电公司变电站无人机外委巡检服务</w:t>
      </w:r>
    </w:p>
    <w:p>
      <w:pPr>
        <w:spacing w:line="360" w:lineRule="auto"/>
        <w:jc w:val="center"/>
        <w:rPr>
          <w:rFonts w:ascii="宋体" w:hAnsi="宋体" w:eastAsia="宋体" w:cs="宋体"/>
          <w:b/>
          <w:bCs/>
          <w:sz w:val="32"/>
          <w:szCs w:val="32"/>
        </w:rPr>
      </w:pPr>
      <w:r>
        <w:rPr>
          <w:rFonts w:hint="eastAsia" w:ascii="宋体" w:hAnsi="宋体" w:eastAsia="宋体" w:cs="宋体"/>
          <w:b/>
          <w:bCs/>
          <w:sz w:val="32"/>
          <w:szCs w:val="32"/>
        </w:rPr>
        <w:t>询比采购公告</w:t>
      </w:r>
    </w:p>
    <w:bookmarkEnd w:id="0"/>
    <w:p>
      <w:pPr>
        <w:spacing w:line="360" w:lineRule="auto"/>
        <w:ind w:left="-14"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依据《国有企业采购操作规范》及《国有企业采购操作规范》释义等相关的规定，受内蒙古电力（集团）有限责任公司锡林郭勒供电分公司物资供应处的委托,法正项目管理集团有限公司对</w:t>
      </w:r>
      <w:r>
        <w:rPr>
          <w:rFonts w:hint="eastAsia" w:ascii="宋体" w:hAnsi="宋体" w:eastAsia="宋体" w:cs="宋体"/>
          <w:sz w:val="24"/>
          <w:szCs w:val="24"/>
          <w:lang w:eastAsia="zh-CN"/>
        </w:rPr>
        <w:t>锡林郭勒供电公司变电站无人机外委巡检服务</w:t>
      </w:r>
      <w:r>
        <w:rPr>
          <w:rFonts w:hint="eastAsia" w:ascii="宋体" w:hAnsi="宋体" w:eastAsia="宋体" w:cs="宋体"/>
          <w:sz w:val="24"/>
          <w:szCs w:val="24"/>
        </w:rPr>
        <w:t>进行询比采购,现发布采购公告如下:</w:t>
      </w:r>
      <w:bookmarkStart w:id="1" w:name="_Toc495644243"/>
      <w:r>
        <w:rPr>
          <w:rFonts w:hint="eastAsia" w:ascii="宋体" w:hAnsi="宋体" w:eastAsia="宋体" w:cs="宋体"/>
          <w:sz w:val="24"/>
          <w:szCs w:val="24"/>
        </w:rPr>
        <w:t xml:space="preserve"> </w:t>
      </w:r>
    </w:p>
    <w:p>
      <w:pPr>
        <w:spacing w:line="360" w:lineRule="auto"/>
        <w:ind w:right="-54"/>
        <w:rPr>
          <w:rFonts w:hint="eastAsia" w:ascii="宋体" w:hAnsi="宋体" w:eastAsia="宋体" w:cs="宋体"/>
          <w:b/>
          <w:sz w:val="24"/>
          <w:szCs w:val="24"/>
        </w:rPr>
      </w:pPr>
      <w:r>
        <w:rPr>
          <w:rFonts w:hint="eastAsia" w:ascii="宋体" w:hAnsi="宋体" w:eastAsia="宋体" w:cs="宋体"/>
          <w:b/>
          <w:sz w:val="24"/>
          <w:szCs w:val="24"/>
        </w:rPr>
        <w:t>1. 项目概况与采购范围</w:t>
      </w:r>
      <w:bookmarkEnd w:id="1"/>
      <w:r>
        <w:rPr>
          <w:rFonts w:hint="eastAsia" w:ascii="宋体" w:hAnsi="宋体" w:eastAsia="宋体" w:cs="宋体"/>
          <w:b/>
          <w:sz w:val="24"/>
          <w:szCs w:val="24"/>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4"/>
        </w:rPr>
      </w:pPr>
      <w:bookmarkStart w:id="2" w:name="_Toc495644244"/>
      <w:r>
        <w:rPr>
          <w:rFonts w:hint="eastAsia" w:ascii="宋体" w:hAnsi="宋体" w:eastAsia="宋体" w:cs="宋体"/>
          <w:sz w:val="24"/>
          <w:szCs w:val="22"/>
        </w:rPr>
        <w:t>1.1项目名称：</w:t>
      </w:r>
      <w:r>
        <w:rPr>
          <w:rFonts w:hint="eastAsia" w:ascii="宋体" w:hAnsi="宋体" w:eastAsia="宋体" w:cs="宋体"/>
          <w:sz w:val="24"/>
          <w:szCs w:val="24"/>
        </w:rPr>
        <w:t>锡林郭勒供电公司变电站无人机外委巡检服务</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4"/>
        </w:rPr>
        <w:t>1.2项目编号: FZ2024-XDWZ-XB-009</w:t>
      </w:r>
      <w:r>
        <w:rPr>
          <w:rFonts w:hint="eastAsia" w:ascii="宋体" w:hAnsi="宋体" w:eastAsia="宋体" w:cs="宋体"/>
          <w:sz w:val="24"/>
          <w:szCs w:val="2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4"/>
        </w:rPr>
      </w:pPr>
      <w:r>
        <w:rPr>
          <w:rFonts w:hint="eastAsia" w:ascii="宋体" w:hAnsi="宋体" w:eastAsia="宋体" w:cs="宋体"/>
          <w:sz w:val="24"/>
          <w:szCs w:val="22"/>
        </w:rPr>
        <w:t>1.3采购内容：</w:t>
      </w:r>
      <w:r>
        <w:rPr>
          <w:rFonts w:hint="eastAsia" w:ascii="宋体" w:hAnsi="宋体" w:eastAsia="宋体" w:cs="宋体"/>
          <w:sz w:val="24"/>
          <w:szCs w:val="24"/>
        </w:rPr>
        <w:t>本项目共计1包</w:t>
      </w:r>
    </w:p>
    <w:tbl>
      <w:tblPr>
        <w:tblStyle w:val="14"/>
        <w:tblW w:w="5000" w:type="pct"/>
        <w:tblInd w:w="0" w:type="dxa"/>
        <w:tblLayout w:type="autofit"/>
        <w:tblCellMar>
          <w:top w:w="0" w:type="dxa"/>
          <w:left w:w="108" w:type="dxa"/>
          <w:bottom w:w="0" w:type="dxa"/>
          <w:right w:w="108" w:type="dxa"/>
        </w:tblCellMar>
      </w:tblPr>
      <w:tblGrid>
        <w:gridCol w:w="672"/>
        <w:gridCol w:w="4157"/>
        <w:gridCol w:w="810"/>
        <w:gridCol w:w="675"/>
        <w:gridCol w:w="1081"/>
        <w:gridCol w:w="1127"/>
      </w:tblGrid>
      <w:tr>
        <w:tblPrEx>
          <w:tblCellMar>
            <w:top w:w="0" w:type="dxa"/>
            <w:left w:w="108" w:type="dxa"/>
            <w:bottom w:w="0" w:type="dxa"/>
            <w:right w:w="108" w:type="dxa"/>
          </w:tblCellMar>
        </w:tblPrEx>
        <w:trPr>
          <w:trHeight w:val="680" w:hRule="atLeast"/>
        </w:trPr>
        <w:tc>
          <w:tcPr>
            <w:tcW w:w="395"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微软雅黑"/>
                <w:color w:val="000000"/>
                <w:sz w:val="21"/>
                <w:szCs w:val="21"/>
              </w:rPr>
            </w:pPr>
            <w:r>
              <w:rPr>
                <w:rFonts w:hint="eastAsia" w:ascii="宋体" w:hAnsi="宋体" w:eastAsia="宋体" w:cs="微软雅黑"/>
                <w:color w:val="000000"/>
                <w:kern w:val="0"/>
                <w:sz w:val="21"/>
                <w:szCs w:val="21"/>
                <w:lang w:bidi="ar"/>
              </w:rPr>
              <w:t>序号</w:t>
            </w:r>
          </w:p>
        </w:tc>
        <w:tc>
          <w:tcPr>
            <w:tcW w:w="2439" w:type="pct"/>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服务内容描述</w:t>
            </w:r>
          </w:p>
        </w:tc>
        <w:tc>
          <w:tcPr>
            <w:tcW w:w="475"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单位</w:t>
            </w:r>
          </w:p>
        </w:tc>
        <w:tc>
          <w:tcPr>
            <w:tcW w:w="396"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采购数量</w:t>
            </w:r>
          </w:p>
        </w:tc>
        <w:tc>
          <w:tcPr>
            <w:tcW w:w="634"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招标控制单价</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招标控制总价</w:t>
            </w:r>
          </w:p>
        </w:tc>
      </w:tr>
      <w:tr>
        <w:tblPrEx>
          <w:tblCellMar>
            <w:top w:w="0" w:type="dxa"/>
            <w:left w:w="108" w:type="dxa"/>
            <w:bottom w:w="0" w:type="dxa"/>
            <w:right w:w="108" w:type="dxa"/>
          </w:tblCellMar>
        </w:tblPrEx>
        <w:trPr>
          <w:trHeight w:val="1765" w:hRule="atLeast"/>
        </w:trPr>
        <w:tc>
          <w:tcPr>
            <w:tcW w:w="395"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439"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为优化变电站运检管理模式，提高变电设备运检精细化和信息化程度，由专业无人机飞手利用多旋翼无人机搭载激光雷达镜头，在220kV博日特变建立变电站无人机巡检地图模型、人机飞行航线，设定巡检点位。由专业无人机飞手利用多旋翼无人机搭载可见光镜头并结合镜头多倍变焦技术，对220kV博日特变电站2米级以上中高层设备设施全貌进行多角度俯视或平视，拍取可见光照片、进行精准测温，完成精细化巡检1次，充分验证无人机巡检地图模型、人机飞行航线、巡检点位实用性。</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项</w:t>
            </w:r>
          </w:p>
        </w:tc>
        <w:tc>
          <w:tcPr>
            <w:tcW w:w="396"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34"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30</w:t>
            </w:r>
            <w:r>
              <w:rPr>
                <w:rFonts w:ascii="宋体" w:hAnsi="宋体" w:eastAsia="宋体" w:cs="宋体"/>
                <w:color w:val="000000"/>
                <w:sz w:val="21"/>
                <w:szCs w:val="21"/>
              </w:rPr>
              <w:t>0000</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30</w:t>
            </w:r>
            <w:r>
              <w:rPr>
                <w:rFonts w:ascii="宋体" w:hAnsi="宋体" w:eastAsia="宋体" w:cs="宋体"/>
                <w:color w:val="000000"/>
                <w:sz w:val="21"/>
                <w:szCs w:val="21"/>
              </w:rPr>
              <w:t>0000</w:t>
            </w:r>
          </w:p>
        </w:tc>
      </w:tr>
      <w:tr>
        <w:tblPrEx>
          <w:tblCellMar>
            <w:top w:w="0" w:type="dxa"/>
            <w:left w:w="108" w:type="dxa"/>
            <w:bottom w:w="0" w:type="dxa"/>
            <w:right w:w="108" w:type="dxa"/>
          </w:tblCellMar>
        </w:tblPrEx>
        <w:trPr>
          <w:trHeight w:val="724" w:hRule="atLeast"/>
        </w:trPr>
        <w:tc>
          <w:tcPr>
            <w:tcW w:w="395"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p>
        </w:tc>
        <w:tc>
          <w:tcPr>
            <w:tcW w:w="3944" w:type="pct"/>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合计</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30</w:t>
            </w:r>
            <w:r>
              <w:rPr>
                <w:rFonts w:ascii="宋体" w:hAnsi="宋体" w:eastAsia="宋体" w:cs="宋体"/>
                <w:color w:val="000000"/>
                <w:kern w:val="0"/>
                <w:sz w:val="21"/>
                <w:szCs w:val="21"/>
                <w:lang w:bidi="ar"/>
              </w:rPr>
              <w:t>0000</w:t>
            </w:r>
          </w:p>
        </w:tc>
      </w:tr>
    </w:tbl>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1.4资金来源：企业自筹</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highlight w:val="none"/>
        </w:rPr>
      </w:pPr>
      <w:r>
        <w:rPr>
          <w:rFonts w:hint="eastAsia" w:ascii="宋体" w:hAnsi="宋体" w:eastAsia="宋体" w:cs="宋体"/>
          <w:sz w:val="24"/>
          <w:szCs w:val="22"/>
          <w:highlight w:val="none"/>
        </w:rPr>
        <w:t>1.</w:t>
      </w:r>
      <w:bookmarkEnd w:id="2"/>
      <w:bookmarkStart w:id="3" w:name="_Toc37407095"/>
      <w:bookmarkStart w:id="4" w:name="_Toc37411142"/>
      <w:bookmarkStart w:id="5" w:name="_Toc37409907"/>
      <w:r>
        <w:rPr>
          <w:rFonts w:hint="eastAsia" w:ascii="宋体" w:hAnsi="宋体" w:eastAsia="宋体" w:cs="宋体"/>
          <w:sz w:val="24"/>
          <w:szCs w:val="22"/>
          <w:highlight w:val="none"/>
        </w:rPr>
        <w:t>5服务期限：自合同签订之日起至2024年7月30日。</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highlight w:val="none"/>
        </w:rPr>
      </w:pPr>
      <w:r>
        <w:rPr>
          <w:rFonts w:hint="eastAsia" w:ascii="宋体" w:hAnsi="宋体" w:eastAsia="宋体" w:cs="宋体"/>
          <w:sz w:val="24"/>
          <w:szCs w:val="22"/>
          <w:highlight w:val="none"/>
        </w:rPr>
        <w:t>1.6服务地点：</w:t>
      </w:r>
      <w:r>
        <w:rPr>
          <w:rFonts w:hint="eastAsia" w:ascii="宋体" w:hAnsi="宋体" w:eastAsia="宋体" w:cs="仿宋_GB2312"/>
          <w:sz w:val="24"/>
          <w:szCs w:val="24"/>
          <w:highlight w:val="none"/>
        </w:rPr>
        <w:t>锡林郭勒盟</w:t>
      </w:r>
    </w:p>
    <w:bookmarkEnd w:id="3"/>
    <w:bookmarkEnd w:id="4"/>
    <w:bookmarkEnd w:id="5"/>
    <w:p>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b/>
          <w:sz w:val="24"/>
          <w:szCs w:val="24"/>
        </w:rPr>
        <w:t>2.供应商资格要求：</w:t>
      </w:r>
    </w:p>
    <w:p>
      <w:pPr>
        <w:spacing w:line="360" w:lineRule="auto"/>
        <w:ind w:right="-65" w:rightChars="-19"/>
        <w:rPr>
          <w:rFonts w:hint="eastAsia" w:ascii="宋体" w:hAnsi="宋体" w:eastAsia="宋体" w:cs="宋体"/>
          <w:b/>
          <w:sz w:val="24"/>
          <w:szCs w:val="24"/>
        </w:rPr>
      </w:pPr>
      <w:r>
        <w:rPr>
          <w:rFonts w:hint="eastAsia" w:ascii="宋体" w:hAnsi="宋体" w:eastAsia="宋体" w:cs="宋体"/>
          <w:b/>
          <w:sz w:val="24"/>
          <w:szCs w:val="24"/>
        </w:rPr>
        <w:t>2.1通用资格要求</w:t>
      </w:r>
    </w:p>
    <w:p>
      <w:pPr>
        <w:widowControl/>
        <w:shd w:val="clear" w:color="auto" w:fill="FFFFFF"/>
        <w:spacing w:line="360" w:lineRule="auto"/>
        <w:ind w:firstLine="480" w:firstLineChars="200"/>
        <w:jc w:val="left"/>
        <w:rPr>
          <w:rFonts w:ascii="宋体" w:hAnsi="宋体" w:eastAsia="宋体" w:cs="宋体"/>
          <w:sz w:val="24"/>
        </w:rPr>
      </w:pPr>
      <w:r>
        <w:rPr>
          <w:rFonts w:hint="eastAsia" w:ascii="宋体" w:hAnsi="宋体" w:eastAsia="宋体" w:cs="宋体"/>
          <w:sz w:val="24"/>
        </w:rPr>
        <w:t>（1）本次采购要求供应商具有中华人民共和国企业法人资格或其他组织，且具有独立订立合同的权利；</w:t>
      </w:r>
    </w:p>
    <w:p>
      <w:pPr>
        <w:widowControl/>
        <w:shd w:val="clear" w:color="auto" w:fill="FFFFFF"/>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sz w:val="24"/>
        </w:rPr>
        <w:t>（2）</w:t>
      </w:r>
      <w:r>
        <w:rPr>
          <w:rFonts w:hint="eastAsia" w:ascii="宋体" w:hAnsi="宋体" w:eastAsia="宋体" w:cs="宋体"/>
          <w:color w:val="000000"/>
          <w:sz w:val="24"/>
        </w:rPr>
        <w:t>单位负责人为同一人或者存在控股、管理关系的不同单位，不得参加同一标段投标或者未划分标段的同一采购项目投标。母子公司不能互用资质、业绩；</w:t>
      </w:r>
    </w:p>
    <w:p>
      <w:pPr>
        <w:snapToGrid w:val="0"/>
        <w:spacing w:line="360" w:lineRule="auto"/>
        <w:ind w:right="-65" w:rightChars="-19" w:firstLine="480" w:firstLineChars="200"/>
        <w:rPr>
          <w:rFonts w:hint="eastAsia" w:ascii="宋体" w:hAnsi="宋体" w:eastAsia="宋体" w:cs="宋体"/>
          <w:sz w:val="24"/>
          <w:szCs w:val="24"/>
        </w:rPr>
      </w:pPr>
      <w:r>
        <w:rPr>
          <w:rFonts w:hint="eastAsia" w:ascii="宋体" w:hAnsi="宋体" w:eastAsia="宋体" w:cs="宋体"/>
          <w:sz w:val="24"/>
        </w:rPr>
        <w:t>（3）</w:t>
      </w:r>
      <w:r>
        <w:rPr>
          <w:rFonts w:hint="eastAsia" w:ascii="宋体" w:hAnsi="宋体" w:eastAsia="宋体" w:cs="宋体"/>
          <w:sz w:val="24"/>
          <w:szCs w:val="24"/>
        </w:rPr>
        <w:t>具有国家相关部门颁发且有效的营业执照，企业如有信息变更，需有市场监督管理部门出具的变更说明；</w:t>
      </w:r>
    </w:p>
    <w:p>
      <w:pPr>
        <w:spacing w:line="360" w:lineRule="auto"/>
        <w:ind w:firstLine="480" w:firstLineChars="200"/>
        <w:jc w:val="left"/>
        <w:rPr>
          <w:rFonts w:ascii="宋体" w:hAnsi="宋体" w:eastAsia="宋体" w:cs="宋体"/>
          <w:bCs/>
          <w:sz w:val="24"/>
        </w:rPr>
      </w:pPr>
      <w:r>
        <w:rPr>
          <w:rFonts w:hint="eastAsia" w:ascii="宋体" w:hAnsi="宋体" w:eastAsia="宋体" w:cs="宋体"/>
          <w:sz w:val="24"/>
        </w:rPr>
        <w:t>（4）</w:t>
      </w:r>
      <w:r>
        <w:rPr>
          <w:rFonts w:hint="eastAsia" w:ascii="宋体" w:hAnsi="宋体" w:eastAsia="宋体" w:cs="宋体"/>
          <w:bCs/>
          <w:sz w:val="24"/>
        </w:rPr>
        <w:t>供应商具有开具增值税专用发票的能力；</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（5）</w:t>
      </w:r>
      <w:r>
        <w:rPr>
          <w:rFonts w:hint="eastAsia" w:ascii="宋体" w:hAnsi="宋体" w:eastAsia="宋体" w:cs="宋体"/>
          <w:bCs/>
          <w:color w:val="000000"/>
          <w:sz w:val="24"/>
        </w:rPr>
        <w:t>在近三年内（自招标文件发售之日起前三年）投标单位和其法定代表人未有行贿犯罪行为的。</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近三年内（自中招标文件发售之日起前三年）投标单位在中国裁判文书网（http://wenshu.court.gov.cn/）无行贿犯罪档案的查询结果截图和其法定代表人在中国裁判文书网无行贿犯罪档案的查询结果截图，查询结果截图中须包含：“当事人”为投标单位名称或投标单位法定代表人，“全文”为“行贿罪”，“裁判日期”不得少于近三年（自招标文件发售之日起前三年）。</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（6）投标单位未被工商行政管理机关在国家企业信用信息公示系统中列入“严重违法失信企业名单”。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投标单位在国家企业信用信息公示系统（www.gsxt.gov.cn）针对“严重违法失信企业名单”的查询结果截图，查询结果截图中须包含：投标单位名称、统一社会信用代码、列入严重违法失信名单（黑名单）信息。</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（7）</w:t>
      </w:r>
      <w:r>
        <w:rPr>
          <w:rFonts w:hint="eastAsia" w:ascii="宋体" w:hAnsi="宋体" w:eastAsia="宋体" w:cs="宋体"/>
          <w:bCs/>
          <w:color w:val="000000"/>
          <w:sz w:val="24"/>
        </w:rPr>
        <w:t>未被最高人民法院在“信用中国”网站（www.creditchina.gov.cn）或各级信用信息共享平台中列入失信被执行人名单。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在“信用中国”网站（www.creditchina.gov.cn）或各级信用信息共享平台中列入失信被执行人名单信息的查询结果截图，在“信用中国”的查询结果截图须能体现投标单位在“中国执行信息公开网”的查询结果。</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信用中国”查询方式：“信用中国”→“信用服务”→“失信被执行人”，在弹出窗口进入链接网站（“中国执行信息公开网”），在查询窗口输入查询企业名称，在查询省份范围中选择“全国”，将查询结果截图。</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（8）</w:t>
      </w:r>
      <w:r>
        <w:rPr>
          <w:rFonts w:hint="eastAsia" w:ascii="宋体" w:hAnsi="宋体" w:eastAsia="宋体" w:cs="宋体"/>
          <w:bCs/>
          <w:color w:val="000000"/>
          <w:sz w:val="24"/>
        </w:rPr>
        <w:t>供应商未因发生过骗取中标和严重违约、质量事故及重大合同纠纷被上级部门（内蒙古电力（集团）有限责任公司）通报/披露取消投标资格，并且目前不处于处罚期内；按照内蒙古电力（集团）有限责任公司《关于对供应商不良行为处理的通知》的规定，未列入最新发布的不良供应商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（9）</w:t>
      </w:r>
      <w:r>
        <w:rPr>
          <w:rFonts w:hint="eastAsia" w:ascii="宋体" w:hAnsi="宋体" w:eastAsia="宋体" w:cs="宋体"/>
          <w:bCs/>
          <w:color w:val="000000"/>
          <w:sz w:val="24"/>
        </w:rPr>
        <w:t>供应商未被列入中电联发布的涉电力领域失信联合惩戒对象名单及涉电力领域重点关注对象名单（截止到最新所有名单）；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（10）</w:t>
      </w:r>
      <w:r>
        <w:rPr>
          <w:rFonts w:hint="eastAsia" w:ascii="宋体" w:hAnsi="宋体" w:eastAsia="宋体" w:cs="宋体"/>
          <w:bCs/>
          <w:color w:val="000000"/>
          <w:sz w:val="24"/>
        </w:rPr>
        <w:t>本项目不接受联合体竞标。</w:t>
      </w:r>
    </w:p>
    <w:p>
      <w:pPr>
        <w:pStyle w:val="12"/>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专用资格要求：</w:t>
      </w:r>
    </w:p>
    <w:p>
      <w:pPr>
        <w:widowControl/>
        <w:numPr>
          <w:ilvl w:val="0"/>
          <w:numId w:val="2"/>
        </w:numPr>
        <w:spacing w:line="360" w:lineRule="auto"/>
        <w:ind w:firstLine="480" w:firstLineChars="200"/>
        <w:jc w:val="left"/>
        <w:rPr>
          <w:rFonts w:ascii="宋体" w:hAnsi="宋体" w:eastAsia="宋体" w:cs="宋体"/>
          <w:sz w:val="24"/>
        </w:rPr>
      </w:pPr>
      <w:r>
        <w:rPr>
          <w:rFonts w:hint="eastAsia" w:ascii="宋体" w:hAnsi="宋体" w:eastAsia="宋体" w:cs="宋体"/>
          <w:sz w:val="24"/>
        </w:rPr>
        <w:t>供应商具有中国民用航空管理局颁布的《通用航空企业经营许可证》或《民用无人驾驶航空器运营合格证》。</w:t>
      </w:r>
    </w:p>
    <w:p>
      <w:pPr>
        <w:widowControl/>
        <w:numPr>
          <w:ilvl w:val="0"/>
          <w:numId w:val="2"/>
        </w:numPr>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提供所投服务履约承诺书。(格式详见附件）。</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供应商</w:t>
      </w:r>
      <w:r>
        <w:rPr>
          <w:rFonts w:hint="eastAsia" w:ascii="宋体" w:hAnsi="宋体" w:eastAsia="宋体" w:cs="宋体"/>
          <w:sz w:val="24"/>
          <w:szCs w:val="24"/>
        </w:rPr>
        <w:t>提供在近三年（2021年03月至今）变电站无人机巡检服务同类业绩1份。业绩证明材料①合同；②对应的中标通知书</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对应发票，①②或①</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需同时提供为准。</w:t>
      </w:r>
    </w:p>
    <w:p>
      <w:pPr>
        <w:spacing w:line="360" w:lineRule="auto"/>
        <w:ind w:right="-65" w:rightChars="-19"/>
        <w:rPr>
          <w:rFonts w:hint="eastAsia" w:ascii="宋体" w:hAnsi="宋体" w:eastAsia="宋体" w:cs="宋体"/>
          <w:b/>
          <w:sz w:val="24"/>
        </w:rPr>
      </w:pPr>
      <w:r>
        <w:rPr>
          <w:rFonts w:hint="eastAsia" w:ascii="宋体" w:hAnsi="宋体" w:eastAsia="宋体" w:cs="宋体"/>
          <w:b/>
          <w:sz w:val="24"/>
        </w:rPr>
        <w:t>3.报名及采购文件的获取：</w:t>
      </w:r>
    </w:p>
    <w:p>
      <w:pPr>
        <w:spacing w:line="360" w:lineRule="auto"/>
        <w:ind w:firstLine="480" w:firstLineChars="200"/>
        <w:rPr>
          <w:rFonts w:hint="eastAsia" w:ascii="宋体" w:hAnsi="宋体" w:eastAsia="宋体" w:cs="宋体"/>
          <w:sz w:val="24"/>
          <w:szCs w:val="24"/>
        </w:rPr>
      </w:pPr>
      <w:bookmarkStart w:id="6" w:name="_Toc495645075"/>
      <w:bookmarkStart w:id="7" w:name="_Toc37407101"/>
      <w:bookmarkStart w:id="8" w:name="_Toc37409913"/>
      <w:bookmarkStart w:id="9" w:name="_Toc37411148"/>
      <w:r>
        <w:rPr>
          <w:rFonts w:hint="eastAsia" w:ascii="宋体" w:hAnsi="宋体" w:eastAsia="宋体" w:cs="宋体"/>
          <w:bCs/>
          <w:sz w:val="24"/>
        </w:rPr>
        <w:t>3.1</w:t>
      </w:r>
      <w:r>
        <w:rPr>
          <w:rFonts w:hint="eastAsia" w:ascii="宋体" w:hAnsi="宋体" w:eastAsia="宋体" w:cs="宋体"/>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互连扫码签章，前述工作完成后方可开始报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本项目实行在线报名和发布采购文件。凡有意参加投标者，请于</w:t>
      </w:r>
      <w:r>
        <w:rPr>
          <w:rFonts w:hint="eastAsia" w:ascii="宋体" w:hAnsi="宋体" w:eastAsia="宋体" w:cs="宋体"/>
          <w:sz w:val="24"/>
          <w:szCs w:val="24"/>
          <w:lang w:eastAsia="zh-CN"/>
        </w:rPr>
        <w:t>2024年04月02日</w:t>
      </w:r>
      <w:r>
        <w:rPr>
          <w:rFonts w:hint="eastAsia" w:ascii="宋体" w:hAnsi="宋体" w:eastAsia="宋体" w:cs="宋体"/>
          <w:sz w:val="24"/>
          <w:szCs w:val="24"/>
        </w:rPr>
        <w:t>至</w:t>
      </w:r>
      <w:r>
        <w:rPr>
          <w:rFonts w:hint="eastAsia" w:ascii="宋体" w:hAnsi="宋体" w:eastAsia="宋体" w:cs="宋体"/>
          <w:sz w:val="24"/>
          <w:szCs w:val="24"/>
          <w:lang w:eastAsia="zh-CN"/>
        </w:rPr>
        <w:t>2024年04月09日</w:t>
      </w:r>
      <w:r>
        <w:rPr>
          <w:rFonts w:hint="eastAsia" w:ascii="宋体" w:hAnsi="宋体" w:eastAsia="宋体" w:cs="宋体"/>
          <w:sz w:val="24"/>
          <w:szCs w:val="24"/>
        </w:rPr>
        <w:t>下午17:00，进入内蒙古电力集团电子采购系统（http://guocai-impc.cppchina.cn）→投标人登录→“报名管理”在线报名，逾期不予受理。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（1）具体流程为：登录平台（未注册用户请先免费注册）→在报名管理界面查看最新采购项目→投标人报名提交报名资料→等待审核→审核通过后→投标人下载招标文件。平台联系电话：400-9913-966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注：扫码登录，扫码签章，扫码加密，扫码解密， 登录 APP 的手机号必须保持一致。</w:t>
      </w:r>
    </w:p>
    <w:p>
      <w:pPr>
        <w:pStyle w:val="13"/>
        <w:shd w:val="clear" w:color="auto" w:fill="FFFFFF"/>
        <w:spacing w:before="0" w:beforeAutospacing="0" w:after="0" w:afterAutospacing="0" w:line="360" w:lineRule="auto"/>
        <w:rPr>
          <w:rFonts w:hint="eastAsia" w:eastAsia="宋体" w:cs="宋体"/>
          <w:b/>
        </w:rPr>
      </w:pPr>
      <w:r>
        <w:rPr>
          <w:rFonts w:hint="eastAsia" w:eastAsia="宋体" w:cs="宋体"/>
          <w:b/>
          <w:bCs/>
        </w:rPr>
        <w:t>3.2报名资料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（1）法定代表人身份证明或法定代表人授权委托书（详见采购公告附件）；</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p>
    <w:p>
      <w:pPr>
        <w:spacing w:line="360" w:lineRule="auto"/>
        <w:ind w:firstLine="120" w:firstLineChars="50"/>
        <w:rPr>
          <w:rFonts w:hint="eastAsia" w:ascii="宋体" w:hAnsi="宋体" w:eastAsia="宋体" w:cs="宋体"/>
          <w:kern w:val="24"/>
          <w:sz w:val="24"/>
          <w:szCs w:val="24"/>
          <w:highlight w:val="yellow"/>
        </w:rPr>
      </w:pPr>
      <w:r>
        <w:rPr>
          <w:rFonts w:hint="eastAsia" w:ascii="宋体" w:hAnsi="宋体" w:eastAsia="宋体" w:cs="宋体"/>
          <w:kern w:val="24"/>
          <w:sz w:val="24"/>
          <w:szCs w:val="24"/>
        </w:rPr>
        <w:t>（4）</w:t>
      </w:r>
      <w:r>
        <w:rPr>
          <w:rFonts w:hint="eastAsia" w:ascii="宋体" w:hAnsi="宋体" w:eastAsia="宋体" w:cs="宋体"/>
          <w:sz w:val="24"/>
        </w:rPr>
        <w:t>提供开具增值税专用发票的相关证明资料；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（5）供应商通用资格要求中的证明材料；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 xml:space="preserve">（6）供应商专用资格要求中的证明材料；（提供专用资格要求的证明材料，必要时需提供网页查询真伪截图及网址链接）   </w:t>
      </w:r>
      <w:r>
        <w:rPr>
          <w:rFonts w:hint="eastAsia" w:ascii="宋体" w:hAnsi="宋体" w:eastAsia="宋体" w:cs="宋体"/>
          <w:b/>
          <w:szCs w:val="24"/>
        </w:rPr>
        <w:t xml:space="preserve">                                                                                                                                                                                                                                                                                                                                                                      </w:t>
      </w:r>
    </w:p>
    <w:p>
      <w:pPr>
        <w:pStyle w:val="13"/>
        <w:shd w:val="clear" w:color="auto" w:fill="FFFFFF"/>
        <w:spacing w:before="0" w:beforeAutospacing="0" w:after="0" w:afterAutospacing="0" w:line="360" w:lineRule="auto"/>
        <w:ind w:firstLine="482" w:firstLineChars="200"/>
        <w:rPr>
          <w:rFonts w:hint="eastAsia" w:eastAsia="宋体" w:cs="宋体"/>
        </w:rPr>
      </w:pPr>
      <w:bookmarkStart w:id="10" w:name="_Toc495645074"/>
      <w:r>
        <w:rPr>
          <w:rFonts w:hint="eastAsia" w:eastAsia="宋体" w:cs="宋体"/>
          <w:b/>
        </w:rPr>
        <w:t>注：</w:t>
      </w:r>
      <w:bookmarkStart w:id="11" w:name="_Toc37411143"/>
      <w:bookmarkStart w:id="12" w:name="_Toc37407096"/>
      <w:bookmarkStart w:id="13" w:name="_Toc37409908"/>
      <w:r>
        <w:rPr>
          <w:rFonts w:hint="eastAsia" w:eastAsia="宋体" w:cs="宋体"/>
        </w:rPr>
        <w:t>A、上述要求是对供应商的基本要求，如按照行业及相关部门另有规定的遵循其规定，供应商应提供相应的证明或资信材料；</w:t>
      </w:r>
    </w:p>
    <w:p>
      <w:pPr>
        <w:widowControl/>
        <w:numPr>
          <w:ilvl w:val="0"/>
          <w:numId w:val="3"/>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pPr>
        <w:widowControl/>
        <w:numPr>
          <w:ilvl w:val="0"/>
          <w:numId w:val="3"/>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pPr>
        <w:widowControl/>
        <w:numPr>
          <w:ilvl w:val="0"/>
          <w:numId w:val="3"/>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p>
      <w:pPr>
        <w:widowControl/>
        <w:autoSpaceDE w:val="0"/>
        <w:autoSpaceDN w:val="0"/>
        <w:adjustRightInd w:val="0"/>
        <w:spacing w:line="360" w:lineRule="auto"/>
        <w:jc w:val="left"/>
        <w:rPr>
          <w:rFonts w:hint="eastAsia" w:ascii="宋体" w:hAnsi="宋体" w:eastAsia="宋体" w:cs="宋体"/>
          <w:b/>
          <w:sz w:val="24"/>
        </w:rPr>
      </w:pPr>
      <w:r>
        <w:rPr>
          <w:rFonts w:hint="eastAsia" w:ascii="宋体" w:hAnsi="宋体" w:eastAsia="宋体" w:cs="宋体"/>
          <w:b/>
          <w:sz w:val="24"/>
          <w:szCs w:val="24"/>
        </w:rPr>
        <w:t>4. 响应文件的递交</w:t>
      </w:r>
      <w:bookmarkEnd w:id="10"/>
      <w:bookmarkEnd w:id="11"/>
      <w:bookmarkEnd w:id="12"/>
      <w:bookmarkEnd w:id="13"/>
      <w:r>
        <w:rPr>
          <w:rFonts w:hint="eastAsia" w:ascii="宋体" w:hAnsi="宋体" w:eastAsia="宋体" w:cs="宋体"/>
          <w:b/>
          <w:sz w:val="24"/>
          <w:szCs w:val="24"/>
        </w:rPr>
        <w:t xml:space="preserve"> </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4.2供应商对网上递交的响应文件应加密。登录[中招互联]：APP对响应文件进行加密功能（如果供应商使用 A 手机号码对响应文件进行了扫码解密），必须需要使用A手机号码进行扫码解密，才能读取或导入响应文件。</w:t>
      </w:r>
      <w:bookmarkStart w:id="14" w:name="_Toc37409909"/>
      <w:bookmarkStart w:id="15" w:name="_Toc37411144"/>
      <w:bookmarkStart w:id="16" w:name="_Toc37407097"/>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5、资格审查：</w:t>
      </w:r>
      <w:bookmarkEnd w:id="14"/>
      <w:bookmarkEnd w:id="15"/>
      <w:bookmarkEnd w:id="16"/>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本次采购采取资格后审方式，开标后由询比评审小组统一进行资格审查，详见采购文件。资格审查时，供应商提供的资料不全或不合格的或模糊不清无法辨认，均不能通过资格审查，其响应文件将被否决。</w:t>
      </w:r>
      <w:bookmarkStart w:id="17" w:name="_Toc37409910"/>
      <w:bookmarkStart w:id="18" w:name="_Toc37407098"/>
      <w:bookmarkStart w:id="19" w:name="_Toc37411145"/>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6. 竞标截止时间及地点：</w:t>
      </w:r>
      <w:bookmarkEnd w:id="17"/>
      <w:bookmarkEnd w:id="18"/>
      <w:bookmarkEnd w:id="19"/>
    </w:p>
    <w:p>
      <w:pPr>
        <w:spacing w:line="360" w:lineRule="auto"/>
        <w:ind w:right="103" w:firstLine="480" w:firstLineChars="200"/>
        <w:rPr>
          <w:rFonts w:hint="eastAsia" w:ascii="宋体" w:hAnsi="宋体" w:eastAsia="宋体" w:cs="宋体"/>
          <w:sz w:val="24"/>
          <w:szCs w:val="24"/>
        </w:rPr>
      </w:pPr>
      <w:bookmarkStart w:id="20" w:name="_Toc37409911"/>
      <w:bookmarkStart w:id="21" w:name="_Toc37407099"/>
      <w:bookmarkStart w:id="22" w:name="_Toc37411146"/>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2024年04月02日</w:t>
      </w:r>
      <w:r>
        <w:rPr>
          <w:rFonts w:hint="eastAsia" w:ascii="宋体" w:hAnsi="宋体" w:eastAsia="宋体" w:cs="宋体"/>
          <w:sz w:val="24"/>
          <w:szCs w:val="24"/>
        </w:rPr>
        <w:t>～</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询比截止时间：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商务技术经济标开标时间：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商务技术经济标解密时间：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上午9:00～上午9:30</w:t>
      </w:r>
    </w:p>
    <w:p>
      <w:pPr>
        <w:spacing w:line="360" w:lineRule="auto"/>
        <w:ind w:left="1676" w:leftChars="140" w:hanging="1200" w:hangingChars="500"/>
        <w:rPr>
          <w:rFonts w:hint="eastAsia" w:ascii="宋体" w:hAnsi="宋体" w:eastAsia="宋体" w:cs="宋体"/>
          <w:sz w:val="24"/>
          <w:szCs w:val="24"/>
        </w:rPr>
      </w:pPr>
      <w:r>
        <w:rPr>
          <w:rFonts w:hint="eastAsia" w:ascii="宋体" w:hAnsi="宋体" w:eastAsia="宋体" w:cs="宋体"/>
          <w:sz w:val="24"/>
          <w:szCs w:val="24"/>
        </w:rPr>
        <w:t>询比地点：</w:t>
      </w:r>
      <w:bookmarkStart w:id="26" w:name="_GoBack"/>
      <w:bookmarkEnd w:id="26"/>
      <w:r>
        <w:rPr>
          <w:rFonts w:hint="eastAsia" w:ascii="宋体" w:hAnsi="宋体" w:eastAsia="宋体" w:cs="宋体"/>
          <w:sz w:val="24"/>
          <w:szCs w:val="24"/>
        </w:rPr>
        <w:t>内蒙古锡林浩特市赛汉路荣华苑7号楼商铺7-01室</w:t>
      </w:r>
    </w:p>
    <w:bookmarkEnd w:id="20"/>
    <w:bookmarkEnd w:id="21"/>
    <w:bookmarkEnd w:id="22"/>
    <w:p>
      <w:pPr>
        <w:spacing w:line="360" w:lineRule="auto"/>
        <w:ind w:left="-5"/>
        <w:rPr>
          <w:rFonts w:hint="eastAsia" w:ascii="宋体" w:hAnsi="宋体" w:eastAsia="宋体" w:cs="宋体"/>
          <w:b/>
          <w:sz w:val="24"/>
          <w:szCs w:val="24"/>
        </w:rPr>
      </w:pPr>
      <w:bookmarkStart w:id="23" w:name="_Toc37409912"/>
      <w:bookmarkStart w:id="24" w:name="_Toc37407100"/>
      <w:bookmarkStart w:id="25" w:name="_Toc37411147"/>
      <w:r>
        <w:rPr>
          <w:rFonts w:hint="eastAsia" w:ascii="宋体" w:hAnsi="宋体" w:eastAsia="宋体" w:cs="宋体"/>
          <w:b/>
          <w:bCs/>
          <w:sz w:val="24"/>
          <w:szCs w:val="24"/>
        </w:rPr>
        <w:t>7.解密方式及开标地点</w:t>
      </w:r>
      <w:r>
        <w:rPr>
          <w:rFonts w:hint="eastAsia" w:ascii="宋体" w:hAnsi="宋体" w:eastAsia="宋体" w:cs="宋体"/>
          <w:sz w:val="24"/>
          <w:szCs w:val="24"/>
        </w:rPr>
        <w:t>：</w:t>
      </w:r>
    </w:p>
    <w:p>
      <w:pPr>
        <w:pStyle w:val="16"/>
        <w:spacing w:line="360" w:lineRule="auto"/>
        <w:ind w:firstLine="480" w:firstLineChars="200"/>
        <w:rPr>
          <w:rFonts w:hint="eastAsia" w:hAnsi="宋体"/>
        </w:rPr>
      </w:pPr>
      <w:r>
        <w:rPr>
          <w:rFonts w:hint="eastAsia" w:hAnsi="宋体"/>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pPr>
        <w:pStyle w:val="16"/>
        <w:spacing w:line="360" w:lineRule="auto"/>
        <w:ind w:firstLine="480" w:firstLineChars="200"/>
        <w:rPr>
          <w:rFonts w:hint="eastAsia" w:hAnsi="宋体"/>
        </w:rPr>
      </w:pPr>
      <w:r>
        <w:rPr>
          <w:rFonts w:hint="eastAsia" w:hAnsi="宋体"/>
        </w:rPr>
        <w:t>请投标人按公告时间及时参与相关签到、解密及确认工作，签到、解密及确认过程中有任何问题请及时联系技术支持解决（电话：400-9913-966，周一至周日，8点30至20点30时），因投标人原因未在规定时间内解密投标文件，视为投标人撤销其投标文件。</w:t>
      </w:r>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8.竞标及采购费用：</w:t>
      </w:r>
      <w:bookmarkEnd w:id="23"/>
      <w:bookmarkEnd w:id="24"/>
      <w:bookmarkEnd w:id="25"/>
    </w:p>
    <w:p>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8.1 中标服务费：中标服务费由成交供应商支付。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平台使用费：本项目采用全流程电子采购，供应商需（在线下载采购文件后，上传响应文件前）在线向电子交易平台缴纳电子采购服务费，具体收费标准为：</w:t>
      </w:r>
    </w:p>
    <w:p>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（1）公开招标项目中电子投标服务费：400元/包/次；</w:t>
      </w:r>
    </w:p>
    <w:p>
      <w:pPr>
        <w:spacing w:line="360" w:lineRule="auto"/>
        <w:ind w:firstLine="600" w:firstLineChars="250"/>
        <w:rPr>
          <w:rFonts w:hint="eastAsia" w:ascii="宋体" w:hAnsi="宋体" w:eastAsia="宋体" w:cs="宋体"/>
        </w:rPr>
      </w:pPr>
      <w:r>
        <w:rPr>
          <w:rFonts w:hint="eastAsia" w:ascii="宋体" w:hAnsi="宋体" w:eastAsia="宋体" w:cs="宋体"/>
          <w:sz w:val="24"/>
          <w:szCs w:val="24"/>
        </w:rPr>
        <w:t>（2）非招标采购项目中电子采购服务费：300元/包/次；</w:t>
      </w:r>
    </w:p>
    <w:p>
      <w:pPr>
        <w:spacing w:line="360" w:lineRule="auto"/>
        <w:rPr>
          <w:rFonts w:hint="eastAsia" w:ascii="宋体" w:hAnsi="宋体" w:eastAsia="宋体" w:cs="宋体"/>
          <w:b/>
          <w:sz w:val="24"/>
          <w:szCs w:val="24"/>
        </w:rPr>
      </w:pPr>
      <w:r>
        <w:rPr>
          <w:rFonts w:hint="eastAsia" w:ascii="宋体" w:hAnsi="宋体" w:eastAsia="宋体" w:cs="宋体"/>
          <w:b/>
          <w:sz w:val="24"/>
          <w:szCs w:val="24"/>
        </w:rPr>
        <w:t>9. 发布公告的媒介</w:t>
      </w:r>
      <w:bookmarkEnd w:id="6"/>
      <w:bookmarkEnd w:id="7"/>
      <w:bookmarkEnd w:id="8"/>
      <w:bookmarkEnd w:id="9"/>
      <w:r>
        <w:rPr>
          <w:rFonts w:hint="eastAsia" w:ascii="宋体" w:hAnsi="宋体" w:eastAsia="宋体" w:cs="宋体"/>
          <w:b/>
          <w:sz w:val="24"/>
          <w:szCs w:val="24"/>
        </w:rPr>
        <w:t xml:space="preserve"> </w:t>
      </w:r>
    </w:p>
    <w:p>
      <w:pPr>
        <w:wordWrap w:val="0"/>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本次公告在《内蒙古电力集团电子采购系统》（http://guocai-impc.cppchina.cn）、《中国招标投标公共服务平台》（www.cebpubservice.com）、《内蒙古招标投标公共服务平台》（http://zbgg.nmgztb.com.cn/）同时发布，其它媒介转发无效。</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10.联系方式</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采 购 人：内蒙古电力（集团）有限责任公司锡林郭勒供电分公司物资供应处</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联系电话：0479-8296337</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采购代理机构：法正项目管理集团有限公司 </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办公地址：内蒙古锡林浩特市赛汉路荣华苑7号楼商铺7-01室</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 系 人：赵磊、仲桂燕</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联系电话：0479-8289588</w:t>
      </w:r>
    </w:p>
    <w:p>
      <w:pPr>
        <w:ind w:firstLine="480" w:firstLineChars="200"/>
      </w:pPr>
      <w:r>
        <w:rPr>
          <w:rFonts w:hint="eastAsia" w:ascii="宋体" w:hAnsi="宋体" w:eastAsia="宋体" w:cs="宋体"/>
          <w:kern w:val="0"/>
          <w:sz w:val="24"/>
        </w:rPr>
        <w:t xml:space="preserve">Email: </w:t>
      </w:r>
      <w:r>
        <w:rPr>
          <w:rFonts w:hint="eastAsia" w:ascii="宋体" w:hAnsi="宋体" w:eastAsia="宋体" w:cs="宋体"/>
        </w:rPr>
        <w:fldChar w:fldCharType="begin"/>
      </w:r>
      <w:r>
        <w:rPr>
          <w:rFonts w:hint="eastAsia" w:ascii="宋体" w:hAnsi="宋体" w:eastAsia="宋体" w:cs="宋体"/>
        </w:rPr>
        <w:instrText xml:space="preserve"> HYPERLINK "mailto:laystars@126.com" </w:instrText>
      </w:r>
      <w:r>
        <w:rPr>
          <w:rFonts w:hint="eastAsia" w:ascii="宋体" w:hAnsi="宋体" w:eastAsia="宋体" w:cs="宋体"/>
        </w:rPr>
        <w:fldChar w:fldCharType="separate"/>
      </w:r>
      <w:r>
        <w:rPr>
          <w:rFonts w:hint="eastAsia" w:ascii="宋体" w:hAnsi="宋体" w:eastAsia="宋体" w:cs="宋体"/>
          <w:sz w:val="24"/>
        </w:rPr>
        <w:t>463378062@qq.com</w:t>
      </w:r>
      <w:r>
        <w:rPr>
          <w:rFonts w:hint="eastAsia" w:ascii="宋体" w:hAnsi="宋体" w:eastAsia="宋体" w:cs="宋体"/>
          <w:sz w:val="24"/>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abstractNum w:abstractNumId="1">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71CB6CB"/>
    <w:multiLevelType w:val="singleLevel"/>
    <w:tmpl w:val="771CB6CB"/>
    <w:lvl w:ilvl="0" w:tentative="0">
      <w:start w:val="1"/>
      <w:numFmt w:val="decimal"/>
      <w:suff w:val="nothing"/>
      <w:lvlText w:val="（%1）"/>
      <w:lvlJc w:val="left"/>
    </w:lvl>
  </w:abstractNum>
  <w:num w:numId="1">
    <w:abstractNumId w:val="1"/>
  </w:num>
  <w:num w:numId="2">
    <w:abstractNumId w:val="2"/>
  </w:num>
  <w:num w:numId="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F22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First Indent 2"/>
    <w:basedOn w:val="3"/>
    <w:next w:val="5"/>
    <w:semiHidden/>
    <w:uiPriority w:val="0"/>
    <w:pPr>
      <w:spacing w:after="120"/>
      <w:ind w:left="420" w:firstLine="420" w:firstLineChars="0"/>
    </w:pPr>
    <w:rPr>
      <w:rFonts w:ascii="Times New Roman" w:eastAsia="宋体"/>
      <w:b/>
      <w:bCs/>
      <w:kern w:val="44"/>
      <w:sz w:val="44"/>
      <w:szCs w:val="44"/>
    </w:rPr>
  </w:style>
  <w:style w:type="paragraph" w:styleId="3">
    <w:name w:val="Body Text Indent"/>
    <w:basedOn w:val="1"/>
    <w:next w:val="4"/>
    <w:uiPriority w:val="0"/>
    <w:pPr>
      <w:ind w:firstLine="830" w:firstLineChars="352"/>
    </w:pPr>
    <w:rPr>
      <w:kern w:val="0"/>
      <w:sz w:val="32"/>
    </w:rPr>
  </w:style>
  <w:style w:type="paragraph" w:styleId="4">
    <w:name w:val="footnote text"/>
    <w:basedOn w:val="1"/>
    <w:qFormat/>
    <w:uiPriority w:val="0"/>
    <w:pPr>
      <w:numPr>
        <w:ilvl w:val="0"/>
        <w:numId w:val="1"/>
      </w:numPr>
      <w:snapToGrid w:val="0"/>
      <w:jc w:val="left"/>
    </w:pPr>
    <w:rPr>
      <w:sz w:val="18"/>
      <w:szCs w:val="18"/>
    </w:rPr>
  </w:style>
  <w:style w:type="paragraph" w:styleId="5">
    <w:name w:val="Body Text First Indent"/>
    <w:basedOn w:val="6"/>
    <w:next w:val="9"/>
    <w:semiHidden/>
    <w:qFormat/>
    <w:uiPriority w:val="0"/>
    <w:pPr>
      <w:ind w:firstLine="420"/>
    </w:pPr>
    <w:rPr>
      <w:kern w:val="2"/>
      <w:sz w:val="28"/>
    </w:rPr>
  </w:style>
  <w:style w:type="paragraph" w:styleId="6">
    <w:name w:val="Body Text"/>
    <w:basedOn w:val="1"/>
    <w:next w:val="7"/>
    <w:uiPriority w:val="0"/>
    <w:pPr>
      <w:spacing w:after="120"/>
    </w:pPr>
    <w:rPr>
      <w:rFonts w:ascii="Times New Roman" w:eastAsia="宋体"/>
      <w:kern w:val="0"/>
      <w:sz w:val="21"/>
      <w:szCs w:val="24"/>
    </w:rPr>
  </w:style>
  <w:style w:type="paragraph" w:customStyle="1" w:styleId="7">
    <w:name w:val="p15"/>
    <w:basedOn w:val="1"/>
    <w:next w:val="8"/>
    <w:uiPriority w:val="0"/>
    <w:pPr>
      <w:widowControl/>
      <w:spacing w:before="100" w:after="100"/>
      <w:jc w:val="left"/>
    </w:pPr>
    <w:rPr>
      <w:rFonts w:ascii="宋体" w:hAnsi="宋体" w:cs="宋体"/>
      <w:kern w:val="0"/>
      <w:sz w:val="24"/>
    </w:rPr>
  </w:style>
  <w:style w:type="paragraph" w:customStyle="1" w:styleId="8">
    <w:name w:val="Char Char Char Char Char Char"/>
    <w:basedOn w:val="1"/>
    <w:next w:val="5"/>
    <w:semiHidden/>
    <w:qFormat/>
    <w:uiPriority w:val="0"/>
    <w:rPr>
      <w:szCs w:val="20"/>
    </w:rPr>
  </w:style>
  <w:style w:type="paragraph" w:customStyle="1" w:styleId="9">
    <w:name w:val="Char Char Char"/>
    <w:basedOn w:val="1"/>
    <w:next w:val="10"/>
    <w:semiHidden/>
    <w:uiPriority w:val="0"/>
  </w:style>
  <w:style w:type="paragraph" w:styleId="10">
    <w:name w:val="Balloon Text"/>
    <w:basedOn w:val="1"/>
    <w:next w:val="11"/>
    <w:semiHidden/>
    <w:uiPriority w:val="0"/>
    <w:rPr>
      <w:rFonts w:ascii="Times New Roman" w:eastAsia="宋体"/>
      <w:sz w:val="18"/>
      <w:szCs w:val="18"/>
    </w:rPr>
  </w:style>
  <w:style w:type="paragraph" w:styleId="11">
    <w:name w:val="Date"/>
    <w:basedOn w:val="1"/>
    <w:next w:val="1"/>
    <w:uiPriority w:val="0"/>
    <w:pPr>
      <w:ind w:left="100" w:leftChars="2500"/>
    </w:pPr>
    <w:rPr>
      <w:rFonts w:ascii="宋体" w:hAnsi="Courier New" w:eastAsia="宋体"/>
      <w:kern w:val="0"/>
      <w:sz w:val="21"/>
      <w:szCs w:val="21"/>
    </w:rPr>
  </w:style>
  <w:style w:type="paragraph" w:styleId="12">
    <w:name w:val="Normal Indent"/>
    <w:basedOn w:val="1"/>
    <w:next w:val="1"/>
    <w:qFormat/>
    <w:uiPriority w:val="0"/>
    <w:pPr>
      <w:ind w:firstLine="420"/>
    </w:pPr>
  </w:style>
  <w:style w:type="paragraph" w:styleId="13">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3542</Words>
  <Characters>3982</Characters>
  <Lines>0</Lines>
  <Paragraphs>0</Paragraphs>
  <TotalTime>1</TotalTime>
  <ScaleCrop>false</ScaleCrop>
  <LinksUpToDate>false</LinksUpToDate>
  <CharactersWithSpaces>4368</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pcc</cp:lastModifiedBy>
  <dcterms:modified xsi:type="dcterms:W3CDTF">2024-04-02T03:39:44Z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4C1489BFA5C44E6FBF08296CEC835877</vt:lpwstr>
  </property>
</Properties>
</file>