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8"/>
        <w:tblW w:w="15644" w:type="dxa"/>
        <w:tblInd w:w="-31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36"/>
        <w:gridCol w:w="653"/>
        <w:gridCol w:w="793"/>
        <w:gridCol w:w="1007"/>
        <w:gridCol w:w="1779"/>
        <w:gridCol w:w="671"/>
        <w:gridCol w:w="711"/>
        <w:gridCol w:w="1179"/>
        <w:gridCol w:w="1125"/>
        <w:gridCol w:w="1210"/>
        <w:gridCol w:w="879"/>
        <w:gridCol w:w="954"/>
        <w:gridCol w:w="1484"/>
        <w:gridCol w:w="266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0" w:hRule="atLeast"/>
        </w:trPr>
        <w:tc>
          <w:tcPr>
            <w:tcW w:w="15644" w:type="dxa"/>
            <w:gridSpan w:val="14"/>
            <w:tcBorders>
              <w:top w:val="nil"/>
              <w:left w:val="nil"/>
              <w:bottom w:val="nil"/>
              <w:right w:val="nil"/>
            </w:tcBorders>
            <w:shd w:val="clear" w:color="auto" w:fill="auto"/>
            <w:vAlign w:val="center"/>
          </w:tcPr>
          <w:p>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1"/>
                <w:szCs w:val="21"/>
                <w:u w:val="none"/>
              </w:rPr>
            </w:pPr>
            <w:r>
              <w:rPr>
                <w:rFonts w:hint="eastAsia" w:ascii="宋体" w:hAnsi="宋体" w:eastAsia="宋体" w:cs="宋体"/>
                <w:b/>
                <w:bCs/>
                <w:i w:val="0"/>
                <w:iCs w:val="0"/>
                <w:color w:val="000000"/>
                <w:kern w:val="0"/>
                <w:sz w:val="24"/>
                <w:szCs w:val="24"/>
                <w:u w:val="none"/>
                <w:lang w:val="en-US" w:eastAsia="zh-CN" w:bidi="ar"/>
              </w:rPr>
              <w:t>附件一：                锡林郭勒超高压供电分公司2024年第一批生产中小修服务单源直接采购项目重新招标--需求明细表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0" w:hRule="atLeast"/>
        </w:trPr>
        <w:tc>
          <w:tcPr>
            <w:tcW w:w="53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序号</w:t>
            </w:r>
          </w:p>
        </w:tc>
        <w:tc>
          <w:tcPr>
            <w:tcW w:w="653"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标段号</w:t>
            </w:r>
          </w:p>
        </w:tc>
        <w:tc>
          <w:tcPr>
            <w:tcW w:w="793"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标段名称</w:t>
            </w:r>
          </w:p>
        </w:tc>
        <w:tc>
          <w:tcPr>
            <w:tcW w:w="100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子项目名称</w:t>
            </w:r>
          </w:p>
        </w:tc>
        <w:tc>
          <w:tcPr>
            <w:tcW w:w="177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服务描述</w:t>
            </w:r>
          </w:p>
        </w:tc>
        <w:tc>
          <w:tcPr>
            <w:tcW w:w="67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单位</w:t>
            </w:r>
          </w:p>
        </w:tc>
        <w:tc>
          <w:tcPr>
            <w:tcW w:w="71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采购数量</w:t>
            </w:r>
          </w:p>
        </w:tc>
        <w:tc>
          <w:tcPr>
            <w:tcW w:w="11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单价最高限价（元）</w:t>
            </w:r>
          </w:p>
        </w:tc>
        <w:tc>
          <w:tcPr>
            <w:tcW w:w="11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最高限价（元）</w:t>
            </w:r>
          </w:p>
        </w:tc>
        <w:tc>
          <w:tcPr>
            <w:tcW w:w="12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标段最高限价（元）</w:t>
            </w:r>
          </w:p>
        </w:tc>
        <w:tc>
          <w:tcPr>
            <w:tcW w:w="87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服务时间</w:t>
            </w:r>
          </w:p>
        </w:tc>
        <w:tc>
          <w:tcPr>
            <w:tcW w:w="95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服务地点</w:t>
            </w:r>
          </w:p>
        </w:tc>
        <w:tc>
          <w:tcPr>
            <w:tcW w:w="14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拟定供应商名称</w:t>
            </w:r>
          </w:p>
        </w:tc>
        <w:tc>
          <w:tcPr>
            <w:tcW w:w="2663"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单源直接采购条件的技术分析及理由</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53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653"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793"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10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17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67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71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11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11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8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95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14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c>
          <w:tcPr>
            <w:tcW w:w="2663"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20" w:hRule="atLeast"/>
        </w:trPr>
        <w:tc>
          <w:tcPr>
            <w:tcW w:w="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65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7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500kV汗白腾塔安全稳定控制系统联调</w:t>
            </w:r>
          </w:p>
        </w:tc>
        <w:tc>
          <w:tcPr>
            <w:tcW w:w="10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500kV汗白腾塔安全稳定控制系统联调</w:t>
            </w:r>
          </w:p>
        </w:tc>
        <w:tc>
          <w:tcPr>
            <w:tcW w:w="1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对500kV灰腾梁变电站、500kV白音高勒变电站、500kV德义变电站进行安稳联调工作并出具工作报告。</w:t>
            </w:r>
          </w:p>
        </w:tc>
        <w:tc>
          <w:tcPr>
            <w:tcW w:w="6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项</w:t>
            </w:r>
          </w:p>
        </w:tc>
        <w:tc>
          <w:tcPr>
            <w:tcW w:w="7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bookmarkStart w:id="13" w:name="_GoBack"/>
            <w:bookmarkEnd w:id="13"/>
            <w:r>
              <w:rPr>
                <w:rFonts w:hint="eastAsia" w:ascii="宋体" w:hAnsi="宋体" w:eastAsia="宋体" w:cs="宋体"/>
                <w:i w:val="0"/>
                <w:iCs w:val="0"/>
                <w:color w:val="000000"/>
                <w:kern w:val="0"/>
                <w:sz w:val="21"/>
                <w:szCs w:val="21"/>
                <w:u w:val="none"/>
                <w:lang w:val="en-US" w:eastAsia="zh-CN" w:bidi="ar"/>
              </w:rPr>
              <w:t>1</w:t>
            </w:r>
          </w:p>
        </w:tc>
        <w:tc>
          <w:tcPr>
            <w:tcW w:w="11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60000.00 </w:t>
            </w:r>
          </w:p>
        </w:tc>
        <w:tc>
          <w:tcPr>
            <w:tcW w:w="11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 xml:space="preserve">60000.00 </w:t>
            </w:r>
          </w:p>
        </w:tc>
        <w:tc>
          <w:tcPr>
            <w:tcW w:w="12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 xml:space="preserve">60000.00 </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自合同签订之日起至2024年11月30日前</w:t>
            </w:r>
          </w:p>
        </w:tc>
        <w:tc>
          <w:tcPr>
            <w:tcW w:w="9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500kV灰腾梁变电站、500kV白音高勒变电站、500kV德义变电站</w:t>
            </w:r>
          </w:p>
        </w:tc>
        <w:tc>
          <w:tcPr>
            <w:tcW w:w="14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南京南瑞继保工程技术有限公司</w:t>
            </w:r>
          </w:p>
        </w:tc>
        <w:tc>
          <w:tcPr>
            <w:tcW w:w="2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2024-锡超供生[2024]4号-变修-8：500kV汗白腾塔安全稳定控制系统联调中小修服务涉及设备原生产厂家为南京南瑞继保工程技术有限公司，该服务工作只能由原生产厂家开展。非原厂家不具备对该厂家设备开展调试、维护的能力，只有原厂家才具有唯一匹配性，故500kV汗白腾塔安全稳定控制系统联调中小修服务应由南京南瑞继保工程技术有限公司开展。</w:t>
            </w:r>
          </w:p>
        </w:tc>
      </w:tr>
    </w:tbl>
    <w:p>
      <w:pPr>
        <w:rPr>
          <w:rFonts w:hint="eastAsia" w:ascii="宋体" w:hAnsi="宋体" w:eastAsia="宋体" w:cs="宋体"/>
          <w:b/>
          <w:bCs/>
          <w:sz w:val="24"/>
          <w:szCs w:val="24"/>
        </w:rPr>
        <w:sectPr>
          <w:pgSz w:w="16838" w:h="11905" w:orient="landscape"/>
          <w:pgMar w:top="1134" w:right="1134" w:bottom="1134" w:left="1134" w:header="850" w:footer="992" w:gutter="0"/>
          <w:pgNumType w:fmt="decimal"/>
          <w:cols w:space="0" w:num="1"/>
          <w:rtlGutter w:val="0"/>
          <w:docGrid w:type="lines" w:linePitch="385" w:charSpace="0"/>
        </w:sectPr>
      </w:pPr>
      <w:r>
        <w:rPr>
          <w:rFonts w:hint="eastAsia" w:ascii="宋体" w:hAnsi="宋体" w:eastAsia="宋体" w:cs="宋体"/>
          <w:b/>
          <w:bCs/>
          <w:sz w:val="24"/>
          <w:szCs w:val="24"/>
        </w:rPr>
        <w:br w:type="page"/>
      </w:r>
    </w:p>
    <w:p>
      <w:pPr>
        <w:pStyle w:val="7"/>
        <w:rPr>
          <w:rFonts w:hint="eastAsia"/>
        </w:rPr>
      </w:pPr>
    </w:p>
    <w:p>
      <w:pPr>
        <w:tabs>
          <w:tab w:val="left" w:pos="2160"/>
          <w:tab w:val="center" w:pos="4411"/>
        </w:tabs>
        <w:topLinePunct/>
        <w:spacing w:line="360" w:lineRule="auto"/>
        <w:rPr>
          <w:rFonts w:hint="eastAsia" w:ascii="宋体" w:hAnsi="宋体" w:eastAsia="宋体" w:cs="宋体"/>
          <w:b/>
          <w:sz w:val="24"/>
          <w:szCs w:val="24"/>
        </w:rPr>
      </w:pPr>
      <w:r>
        <w:rPr>
          <w:rFonts w:hint="eastAsia" w:ascii="宋体" w:hAnsi="宋体" w:eastAsia="宋体" w:cs="宋体"/>
          <w:b/>
          <w:bCs/>
          <w:sz w:val="24"/>
          <w:szCs w:val="24"/>
        </w:rPr>
        <w:t xml:space="preserve">附件二： </w:t>
      </w:r>
      <w:r>
        <w:rPr>
          <w:rFonts w:hint="eastAsia" w:ascii="宋体" w:hAnsi="宋体" w:eastAsia="宋体" w:cs="宋体"/>
          <w:b/>
          <w:sz w:val="32"/>
          <w:szCs w:val="32"/>
        </w:rPr>
        <w:t xml:space="preserve">           </w:t>
      </w:r>
    </w:p>
    <w:p>
      <w:pPr>
        <w:pStyle w:val="6"/>
        <w:spacing w:line="360" w:lineRule="auto"/>
        <w:ind w:firstLine="482"/>
        <w:rPr>
          <w:rFonts w:hint="eastAsia" w:ascii="宋体" w:hAnsi="宋体" w:eastAsia="宋体" w:cs="宋体"/>
          <w:b/>
          <w:i w:val="0"/>
          <w:iCs/>
          <w:sz w:val="28"/>
          <w:szCs w:val="28"/>
        </w:rPr>
      </w:pPr>
      <w:bookmarkStart w:id="0" w:name="_Toc43897770"/>
      <w:r>
        <w:rPr>
          <w:rFonts w:hint="eastAsia" w:ascii="宋体" w:hAnsi="宋体" w:eastAsia="宋体" w:cs="宋体"/>
          <w:b/>
          <w:i w:val="0"/>
          <w:iCs/>
          <w:sz w:val="28"/>
          <w:szCs w:val="28"/>
        </w:rPr>
        <w:t>法定代表人身份证明</w:t>
      </w:r>
      <w:bookmarkEnd w:id="0"/>
    </w:p>
    <w:p>
      <w:pPr>
        <w:pStyle w:val="10"/>
        <w:wordWrap w:val="0"/>
        <w:spacing w:line="360" w:lineRule="auto"/>
        <w:ind w:firstLine="360"/>
        <w:rPr>
          <w:rFonts w:hint="eastAsia" w:ascii="宋体" w:hAnsi="宋体" w:eastAsia="宋体" w:cs="宋体"/>
          <w:sz w:val="24"/>
          <w:szCs w:val="24"/>
        </w:rPr>
      </w:pP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供应商名称：</w:t>
      </w:r>
      <w:r>
        <w:rPr>
          <w:rFonts w:hint="eastAsia" w:ascii="宋体" w:hAnsi="宋体" w:eastAsia="宋体" w:cs="宋体"/>
          <w:sz w:val="24"/>
          <w:szCs w:val="24"/>
          <w:u w:val="single"/>
        </w:rPr>
        <w:t xml:space="preserve">                             </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地址：</w:t>
      </w:r>
      <w:r>
        <w:rPr>
          <w:rFonts w:hint="eastAsia" w:ascii="宋体" w:hAnsi="宋体" w:eastAsia="宋体" w:cs="宋体"/>
          <w:sz w:val="24"/>
          <w:szCs w:val="24"/>
          <w:u w:val="single"/>
        </w:rPr>
        <w:t xml:space="preserve">                                   </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职务：</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（供应商名称）的法定代表人。</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特此证明。</w:t>
      </w: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附：法定代表人身份证正反面</w:t>
      </w:r>
    </w:p>
    <w:p>
      <w:pPr>
        <w:pStyle w:val="10"/>
        <w:wordWrap w:val="0"/>
        <w:spacing w:line="360" w:lineRule="auto"/>
        <w:ind w:firstLine="360"/>
        <w:rPr>
          <w:rFonts w:hint="eastAsia" w:ascii="宋体" w:hAnsi="宋体" w:eastAsia="宋体" w:cs="宋体"/>
          <w:sz w:val="24"/>
          <w:szCs w:val="24"/>
        </w:rPr>
      </w:pP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 xml:space="preserve"> </w:t>
      </w:r>
    </w:p>
    <w:p>
      <w:pPr>
        <w:pStyle w:val="10"/>
        <w:tabs>
          <w:tab w:val="left" w:pos="1115"/>
        </w:tabs>
        <w:wordWrap w:val="0"/>
        <w:spacing w:line="360" w:lineRule="auto"/>
        <w:ind w:left="0" w:leftChars="0" w:firstLine="3720" w:firstLineChars="0"/>
        <w:rPr>
          <w:rFonts w:hint="eastAsia" w:ascii="宋体" w:hAnsi="宋体" w:eastAsia="宋体" w:cs="宋体"/>
          <w:sz w:val="24"/>
          <w:szCs w:val="24"/>
        </w:rPr>
      </w:pPr>
      <w:r>
        <w:rPr>
          <w:rFonts w:hint="eastAsia" w:ascii="宋体" w:hAnsi="宋体" w:eastAsia="宋体" w:cs="宋体"/>
          <w:sz w:val="24"/>
          <w:szCs w:val="24"/>
        </w:rPr>
        <w:t>供应商：</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pStyle w:val="10"/>
        <w:wordWrap w:val="0"/>
        <w:spacing w:line="360" w:lineRule="auto"/>
        <w:ind w:left="0" w:leftChars="0" w:firstLine="3720" w:firstLineChars="0"/>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日 </w:t>
      </w:r>
    </w:p>
    <w:p>
      <w:pPr>
        <w:pStyle w:val="10"/>
        <w:wordWrap w:val="0"/>
        <w:spacing w:line="360" w:lineRule="auto"/>
        <w:ind w:firstLine="360"/>
        <w:rPr>
          <w:rFonts w:hint="eastAsia" w:ascii="宋体" w:hAnsi="宋体" w:eastAsia="宋体" w:cs="宋体"/>
          <w:sz w:val="24"/>
          <w:szCs w:val="24"/>
        </w:rPr>
      </w:pPr>
    </w:p>
    <w:p>
      <w:pPr>
        <w:pStyle w:val="10"/>
        <w:wordWrap w:val="0"/>
        <w:spacing w:line="360" w:lineRule="auto"/>
        <w:rPr>
          <w:rFonts w:hint="eastAsia" w:ascii="宋体" w:hAnsi="宋体" w:eastAsia="宋体" w:cs="宋体"/>
          <w:sz w:val="24"/>
          <w:szCs w:val="24"/>
        </w:rPr>
      </w:pPr>
    </w:p>
    <w:p>
      <w:pPr>
        <w:pStyle w:val="10"/>
        <w:wordWrap w:val="0"/>
        <w:spacing w:line="360" w:lineRule="auto"/>
        <w:ind w:firstLine="360"/>
        <w:rPr>
          <w:rFonts w:hint="eastAsia" w:ascii="宋体" w:hAnsi="宋体" w:eastAsia="宋体" w:cs="宋体"/>
          <w:sz w:val="24"/>
          <w:szCs w:val="24"/>
        </w:rPr>
      </w:pPr>
      <w:r>
        <w:rPr>
          <w:rFonts w:hint="eastAsia" w:ascii="宋体" w:hAnsi="宋体" w:eastAsia="宋体" w:cs="宋体"/>
          <w:b/>
          <w:bCs/>
          <w:sz w:val="24"/>
          <w:szCs w:val="24"/>
        </w:rPr>
        <w:t>注：如供应商是由法定代表人参加投标，则不需提供法定代表人授权委托书</w:t>
      </w:r>
    </w:p>
    <w:p>
      <w:pPr>
        <w:spacing w:line="360" w:lineRule="auto"/>
        <w:jc w:val="center"/>
        <w:rPr>
          <w:rFonts w:hint="eastAsia" w:ascii="宋体" w:hAnsi="宋体" w:eastAsia="宋体" w:cs="宋体"/>
          <w:b/>
          <w:bCs/>
          <w:sz w:val="28"/>
          <w:szCs w:val="28"/>
        </w:rPr>
      </w:pPr>
      <w:r>
        <w:rPr>
          <w:rFonts w:hint="eastAsia" w:ascii="宋体" w:hAnsi="宋体" w:eastAsia="宋体" w:cs="宋体"/>
          <w:sz w:val="24"/>
          <w:szCs w:val="24"/>
        </w:rPr>
        <w:br w:type="page"/>
      </w:r>
      <w:bookmarkStart w:id="1" w:name="_Toc22717"/>
      <w:bookmarkStart w:id="2" w:name="_Toc448174023"/>
      <w:bookmarkStart w:id="3" w:name="_Toc19392"/>
      <w:bookmarkStart w:id="4" w:name="_Toc8704"/>
      <w:r>
        <w:rPr>
          <w:rFonts w:hint="eastAsia" w:ascii="宋体" w:hAnsi="宋体" w:eastAsia="宋体" w:cs="宋体"/>
          <w:b/>
          <w:bCs/>
          <w:sz w:val="28"/>
          <w:szCs w:val="28"/>
        </w:rPr>
        <w:t>法定代表人授权委托书</w:t>
      </w:r>
      <w:bookmarkEnd w:id="1"/>
      <w:bookmarkEnd w:id="2"/>
      <w:bookmarkEnd w:id="3"/>
      <w:bookmarkEnd w:id="4"/>
    </w:p>
    <w:p>
      <w:pPr>
        <w:spacing w:line="360" w:lineRule="auto"/>
        <w:ind w:firstLine="600" w:firstLineChars="250"/>
        <w:rPr>
          <w:rFonts w:hint="eastAsia" w:ascii="宋体" w:hAnsi="宋体" w:eastAsia="宋体" w:cs="宋体"/>
          <w:sz w:val="24"/>
        </w:rPr>
      </w:pPr>
    </w:p>
    <w:p>
      <w:pPr>
        <w:topLinePunct/>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w:t>
      </w:r>
      <w:r>
        <w:rPr>
          <w:rFonts w:hint="eastAsia" w:ascii="宋体" w:hAnsi="宋体" w:eastAsia="宋体" w:cs="宋体"/>
          <w:sz w:val="24"/>
          <w:szCs w:val="24"/>
          <w:lang w:eastAsia="zh-CN"/>
        </w:rPr>
        <w:t>供应商</w:t>
      </w:r>
      <w:r>
        <w:rPr>
          <w:rFonts w:hint="eastAsia" w:ascii="宋体" w:hAnsi="宋体" w:eastAsia="宋体" w:cs="宋体"/>
          <w:sz w:val="24"/>
          <w:szCs w:val="24"/>
        </w:rPr>
        <w:t>名称）的法定代表人，现委托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（姓名）为我方委托代理人。委托代理人根据授权，以我方名义签署、澄清、说明、补正、递交、撤回、修改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标段</w:t>
      </w:r>
      <w:r>
        <w:rPr>
          <w:rFonts w:hint="eastAsia" w:ascii="宋体" w:hAnsi="宋体" w:eastAsia="宋体" w:cs="宋体"/>
          <w:sz w:val="24"/>
          <w:szCs w:val="24"/>
          <w:lang w:eastAsia="zh-CN"/>
        </w:rPr>
        <w:t>响应文件</w:t>
      </w:r>
      <w:r>
        <w:rPr>
          <w:rFonts w:hint="eastAsia" w:ascii="宋体" w:hAnsi="宋体" w:eastAsia="宋体" w:cs="宋体"/>
          <w:sz w:val="24"/>
          <w:szCs w:val="24"/>
        </w:rPr>
        <w:t>、签订合同和处理有关事宜，其法律后果由我方承担。</w:t>
      </w:r>
    </w:p>
    <w:p>
      <w:pPr>
        <w:spacing w:line="440" w:lineRule="exact"/>
        <w:rPr>
          <w:rFonts w:hint="eastAsia" w:ascii="宋体" w:hAnsi="宋体" w:eastAsia="宋体" w:cs="宋体"/>
          <w:sz w:val="24"/>
          <w:szCs w:val="24"/>
        </w:rPr>
      </w:pPr>
      <w:r>
        <w:rPr>
          <w:rFonts w:hint="eastAsia" w:ascii="宋体" w:hAnsi="宋体" w:eastAsia="宋体" w:cs="宋体"/>
          <w:sz w:val="24"/>
          <w:szCs w:val="24"/>
        </w:rPr>
        <w:t xml:space="preserve">    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委托代理人无转委托权。</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附：法定代表人及委托代理人身份证正反面</w:t>
      </w:r>
    </w:p>
    <w:p>
      <w:pPr>
        <w:spacing w:line="440" w:lineRule="exact"/>
        <w:rPr>
          <w:rFonts w:hint="eastAsia" w:ascii="宋体" w:hAnsi="宋体" w:eastAsia="宋体" w:cs="宋体"/>
          <w:sz w:val="24"/>
          <w:szCs w:val="24"/>
        </w:rPr>
      </w:pPr>
    </w:p>
    <w:p>
      <w:pPr>
        <w:pStyle w:val="11"/>
        <w:rPr>
          <w:rFonts w:hint="eastAsia" w:ascii="宋体" w:hAnsi="宋体" w:eastAsia="宋体" w:cs="宋体"/>
          <w:sz w:val="24"/>
          <w:szCs w:val="24"/>
        </w:rPr>
      </w:pPr>
    </w:p>
    <w:p>
      <w:pPr>
        <w:pStyle w:val="11"/>
        <w:rPr>
          <w:rFonts w:hint="eastAsia" w:ascii="宋体" w:hAnsi="宋体" w:eastAsia="宋体" w:cs="宋体"/>
          <w:sz w:val="24"/>
          <w:szCs w:val="24"/>
        </w:rPr>
      </w:pPr>
    </w:p>
    <w:p>
      <w:pPr>
        <w:spacing w:line="48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48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法定代表人：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spacing w:line="48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spacing w:line="48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（签字） </w:t>
      </w:r>
    </w:p>
    <w:p>
      <w:pPr>
        <w:spacing w:line="480" w:lineRule="auto"/>
        <w:ind w:firstLine="480" w:firstLineChars="200"/>
        <w:rPr>
          <w:rFonts w:hint="eastAsia" w:ascii="宋体" w:hAnsi="宋体" w:eastAsia="宋体" w:cs="宋体"/>
          <w:sz w:val="24"/>
          <w:szCs w:val="24"/>
          <w:u w:val="single"/>
          <w:lang w:val="en-US" w:eastAsia="zh-CN"/>
        </w:rPr>
      </w:pPr>
      <w:r>
        <w:rPr>
          <w:rFonts w:hint="eastAsia" w:ascii="宋体" w:hAnsi="宋体" w:eastAsia="宋体" w:cs="宋体"/>
          <w:sz w:val="24"/>
          <w:szCs w:val="24"/>
        </w:rPr>
        <w:t>身份证号码：</w:t>
      </w:r>
      <w:r>
        <w:rPr>
          <w:rFonts w:hint="eastAsia" w:ascii="宋体" w:hAnsi="宋体" w:eastAsia="宋体" w:cs="宋体"/>
          <w:sz w:val="24"/>
          <w:szCs w:val="24"/>
          <w:u w:val="single"/>
          <w:lang w:val="en-US" w:eastAsia="zh-CN"/>
        </w:rPr>
        <w:t xml:space="preserve">                       </w:t>
      </w:r>
    </w:p>
    <w:p>
      <w:pPr>
        <w:pStyle w:val="11"/>
        <w:rPr>
          <w:rFonts w:hint="eastAsia" w:ascii="宋体" w:hAnsi="宋体" w:eastAsia="宋体" w:cs="宋体"/>
          <w:sz w:val="24"/>
          <w:szCs w:val="24"/>
        </w:rPr>
      </w:pPr>
    </w:p>
    <w:p>
      <w:pPr>
        <w:pStyle w:val="11"/>
        <w:rPr>
          <w:rFonts w:hint="eastAsia" w:ascii="宋体" w:hAnsi="宋体" w:eastAsia="宋体" w:cs="宋体"/>
          <w:sz w:val="24"/>
          <w:szCs w:val="24"/>
        </w:rPr>
      </w:pPr>
    </w:p>
    <w:p>
      <w:pPr>
        <w:spacing w:line="440" w:lineRule="exact"/>
        <w:jc w:val="right"/>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rPr>
        <w:t>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w:t>
      </w:r>
    </w:p>
    <w:p>
      <w:pPr>
        <w:pStyle w:val="11"/>
        <w:rPr>
          <w:rFonts w:hint="eastAsia" w:ascii="宋体" w:hAnsi="宋体" w:eastAsia="宋体" w:cs="宋体"/>
          <w:sz w:val="24"/>
          <w:szCs w:val="24"/>
        </w:rPr>
      </w:pPr>
    </w:p>
    <w:p>
      <w:pPr>
        <w:pStyle w:val="11"/>
        <w:rPr>
          <w:rFonts w:hint="eastAsia" w:ascii="宋体" w:hAnsi="宋体" w:eastAsia="宋体" w:cs="宋体"/>
          <w:sz w:val="24"/>
          <w:szCs w:val="24"/>
        </w:rPr>
      </w:pPr>
    </w:p>
    <w:p>
      <w:pPr>
        <w:pStyle w:val="11"/>
        <w:rPr>
          <w:rFonts w:hint="eastAsia" w:ascii="宋体" w:hAnsi="宋体" w:eastAsia="宋体" w:cs="宋体"/>
          <w:sz w:val="24"/>
          <w:szCs w:val="24"/>
        </w:rPr>
      </w:pPr>
    </w:p>
    <w:p>
      <w:pPr>
        <w:pStyle w:val="11"/>
        <w:rPr>
          <w:rFonts w:hint="eastAsia" w:ascii="宋体" w:hAnsi="宋体" w:eastAsia="宋体" w:cs="宋体"/>
          <w:sz w:val="24"/>
          <w:szCs w:val="24"/>
        </w:rPr>
      </w:pPr>
    </w:p>
    <w:p>
      <w:pPr>
        <w:pStyle w:val="11"/>
        <w:ind w:firstLine="482" w:firstLineChars="200"/>
        <w:rPr>
          <w:rFonts w:hint="eastAsia" w:ascii="宋体" w:hAnsi="宋体" w:eastAsia="宋体" w:cs="宋体"/>
          <w:b/>
          <w:bCs/>
        </w:rPr>
      </w:pPr>
      <w:r>
        <w:rPr>
          <w:rFonts w:hint="eastAsia" w:ascii="宋体" w:hAnsi="宋体" w:eastAsia="宋体" w:cs="宋体"/>
          <w:b/>
          <w:bCs/>
          <w:sz w:val="24"/>
          <w:szCs w:val="24"/>
        </w:rPr>
        <w:t>注：如</w:t>
      </w:r>
      <w:r>
        <w:rPr>
          <w:rFonts w:hint="eastAsia" w:ascii="宋体" w:hAnsi="宋体" w:eastAsia="宋体" w:cs="宋体"/>
          <w:b/>
          <w:bCs/>
          <w:sz w:val="24"/>
          <w:szCs w:val="24"/>
          <w:lang w:eastAsia="zh-CN"/>
        </w:rPr>
        <w:t>供应商</w:t>
      </w:r>
      <w:r>
        <w:rPr>
          <w:rFonts w:hint="eastAsia" w:ascii="宋体" w:hAnsi="宋体" w:eastAsia="宋体" w:cs="宋体"/>
          <w:b/>
          <w:bCs/>
          <w:sz w:val="24"/>
          <w:szCs w:val="24"/>
        </w:rPr>
        <w:t>是由法定代表人参加投标，则不需提供授权委托书。</w:t>
      </w:r>
    </w:p>
    <w:p>
      <w:pPr>
        <w:pStyle w:val="10"/>
        <w:pageBreakBefore w:val="0"/>
        <w:kinsoku/>
        <w:wordWrap w:val="0"/>
        <w:overflowPunct/>
        <w:topLinePunct w:val="0"/>
        <w:bidi w:val="0"/>
        <w:spacing w:line="360" w:lineRule="auto"/>
        <w:ind w:right="315" w:firstLine="360"/>
        <w:jc w:val="right"/>
        <w:rPr>
          <w:rFonts w:hint="eastAsia" w:ascii="宋体" w:hAnsi="宋体" w:eastAsia="宋体" w:cs="宋体"/>
          <w:sz w:val="24"/>
          <w:szCs w:val="24"/>
        </w:rPr>
      </w:pPr>
    </w:p>
    <w:p>
      <w:pPr>
        <w:pStyle w:val="3"/>
        <w:ind w:firstLine="0" w:firstLineChars="0"/>
        <w:jc w:val="left"/>
        <w:rPr>
          <w:rFonts w:ascii="宋体" w:hAnsi="宋体" w:cs="宋体"/>
        </w:rPr>
      </w:pPr>
      <w:r>
        <w:rPr>
          <w:rFonts w:hint="eastAsia" w:ascii="宋体" w:hAnsi="宋体" w:eastAsia="宋体" w:cs="宋体"/>
        </w:rPr>
        <w:br w:type="page"/>
      </w:r>
      <w:r>
        <w:rPr>
          <w:rFonts w:hint="eastAsia" w:ascii="宋体" w:hAnsi="宋体" w:cs="宋体"/>
          <w:b/>
          <w:bCs/>
          <w:sz w:val="24"/>
        </w:rPr>
        <w:t>附件三：</w:t>
      </w:r>
    </w:p>
    <w:p>
      <w:pPr>
        <w:ind w:right="-1372" w:rightChars="-490"/>
        <w:jc w:val="left"/>
        <w:rPr>
          <w:rFonts w:ascii="宋体" w:hAnsi="宋体" w:cs="宋体"/>
          <w:sz w:val="24"/>
        </w:rPr>
      </w:pPr>
      <w:r>
        <w:rPr>
          <w:rFonts w:hint="eastAsia" w:ascii="宋体" w:hAnsi="宋体" w:cs="宋体"/>
          <w:b/>
          <w:kern w:val="0"/>
          <w:sz w:val="28"/>
          <w:szCs w:val="22"/>
        </w:rPr>
        <w:t>1：国家企业信用信息公示系统查询方式</w:t>
      </w:r>
    </w:p>
    <w:p>
      <w:pPr>
        <w:wordWrap w:val="0"/>
        <w:spacing w:line="520" w:lineRule="exact"/>
        <w:rPr>
          <w:rFonts w:ascii="宋体" w:hAnsi="宋体" w:cs="宋体"/>
          <w:sz w:val="24"/>
        </w:rPr>
      </w:pPr>
      <w:r>
        <w:rPr>
          <w:rFonts w:hint="eastAsia" w:ascii="宋体" w:hAnsi="宋体" w:cs="宋体"/>
          <w:sz w:val="24"/>
        </w:rPr>
        <w:t>1、登录“国家企业信用信息公示系统”网站地址：</w:t>
      </w:r>
      <w:r>
        <w:fldChar w:fldCharType="begin"/>
      </w:r>
      <w:r>
        <w:instrText xml:space="preserve"> HYPERLINK "http://www.gsxt.gov.cn/index.html" </w:instrText>
      </w:r>
      <w:r>
        <w:fldChar w:fldCharType="separate"/>
      </w:r>
      <w:r>
        <w:rPr>
          <w:rFonts w:hint="eastAsia" w:ascii="宋体" w:hAnsi="宋体" w:cs="宋体"/>
          <w:color w:val="333333"/>
          <w:sz w:val="24"/>
        </w:rPr>
        <w:t>http://www.gsxt.gov.cn/index.html</w:t>
      </w:r>
      <w:r>
        <w:rPr>
          <w:rFonts w:hint="eastAsia" w:ascii="宋体" w:hAnsi="宋体" w:cs="宋体"/>
          <w:color w:val="333333"/>
          <w:sz w:val="24"/>
        </w:rPr>
        <w:fldChar w:fldCharType="end"/>
      </w:r>
      <w:r>
        <w:rPr>
          <w:rFonts w:hint="eastAsia" w:ascii="宋体" w:hAnsi="宋体" w:cs="宋体"/>
          <w:sz w:val="24"/>
        </w:rPr>
        <w:t>，在查询窗口输入企业名称，点击查询。</w:t>
      </w:r>
    </w:p>
    <w:p>
      <w:pPr>
        <w:ind w:firstLine="425"/>
        <w:jc w:val="left"/>
        <w:rPr>
          <w:rFonts w:ascii="宋体" w:hAnsi="宋体" w:cs="宋体"/>
          <w:kern w:val="0"/>
          <w:szCs w:val="21"/>
        </w:rPr>
      </w:pPr>
      <w:r>
        <w:rPr>
          <w:rFonts w:hint="eastAsia" w:ascii="宋体" w:hAnsi="宋体" w:cs="宋体"/>
          <w:szCs w:val="22"/>
        </w:rPr>
        <w:drawing>
          <wp:anchor distT="0" distB="0" distL="114300" distR="114300" simplePos="0" relativeHeight="251659264" behindDoc="0" locked="0" layoutInCell="1" allowOverlap="1">
            <wp:simplePos x="0" y="0"/>
            <wp:positionH relativeFrom="column">
              <wp:posOffset>-52070</wp:posOffset>
            </wp:positionH>
            <wp:positionV relativeFrom="paragraph">
              <wp:posOffset>194945</wp:posOffset>
            </wp:positionV>
            <wp:extent cx="5634355" cy="2705735"/>
            <wp:effectExtent l="0" t="0" r="4445" b="8890"/>
            <wp:wrapTopAndBottom/>
            <wp:docPr id="105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 name="图片 2"/>
                    <pic:cNvPicPr>
                      <a:picLocks noChangeAspect="1"/>
                    </pic:cNvPicPr>
                  </pic:nvPicPr>
                  <pic:blipFill>
                    <a:blip r:embed="rId4" cstate="print"/>
                    <a:stretch>
                      <a:fillRect/>
                    </a:stretch>
                  </pic:blipFill>
                  <pic:spPr>
                    <a:xfrm>
                      <a:off x="0" y="0"/>
                      <a:ext cx="5634355" cy="2705735"/>
                    </a:xfrm>
                    <a:prstGeom prst="rect">
                      <a:avLst/>
                    </a:prstGeom>
                    <a:noFill/>
                    <a:ln>
                      <a:noFill/>
                    </a:ln>
                  </pic:spPr>
                </pic:pic>
              </a:graphicData>
            </a:graphic>
          </wp:anchor>
        </w:drawing>
      </w:r>
    </w:p>
    <w:p>
      <w:pPr>
        <w:spacing w:line="520" w:lineRule="exact"/>
        <w:rPr>
          <w:rFonts w:ascii="宋体" w:hAnsi="宋体" w:cs="宋体"/>
          <w:sz w:val="24"/>
        </w:rPr>
      </w:pPr>
      <w:r>
        <w:rPr>
          <w:rFonts w:hint="eastAsia" w:ascii="宋体" w:hAnsi="宋体" w:cs="宋体"/>
          <w:sz w:val="24"/>
        </w:rPr>
        <w:t>2、点击进入企业界面。</w:t>
      </w:r>
    </w:p>
    <w:p>
      <w:pPr>
        <w:ind w:right="-1372" w:rightChars="-490"/>
        <w:jc w:val="left"/>
        <w:rPr>
          <w:rFonts w:ascii="宋体" w:hAnsi="宋体" w:cs="宋体"/>
          <w:kern w:val="0"/>
          <w:szCs w:val="21"/>
        </w:rPr>
      </w:pPr>
    </w:p>
    <w:p>
      <w:pPr>
        <w:ind w:right="-1372" w:rightChars="-490"/>
        <w:jc w:val="left"/>
        <w:rPr>
          <w:rFonts w:ascii="宋体" w:hAnsi="宋体" w:cs="宋体"/>
          <w:b/>
          <w:kern w:val="0"/>
          <w:sz w:val="32"/>
          <w:szCs w:val="22"/>
        </w:rPr>
      </w:pPr>
      <w:bookmarkStart w:id="5" w:name="_Toc5503"/>
      <w:bookmarkStart w:id="6" w:name="_Toc17064"/>
      <w:r>
        <w:rPr>
          <w:rFonts w:hint="eastAsia" w:ascii="宋体" w:hAnsi="宋体" w:cs="宋体"/>
          <w:szCs w:val="22"/>
        </w:rPr>
        <w:drawing>
          <wp:anchor distT="0" distB="0" distL="114300" distR="114300" simplePos="0" relativeHeight="251660288" behindDoc="0" locked="0" layoutInCell="1" allowOverlap="1">
            <wp:simplePos x="0" y="0"/>
            <wp:positionH relativeFrom="column">
              <wp:posOffset>-85725</wp:posOffset>
            </wp:positionH>
            <wp:positionV relativeFrom="paragraph">
              <wp:posOffset>149860</wp:posOffset>
            </wp:positionV>
            <wp:extent cx="5609590" cy="2711450"/>
            <wp:effectExtent l="0" t="0" r="635" b="3175"/>
            <wp:wrapTopAndBottom/>
            <wp:docPr id="105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 name="图片 3"/>
                    <pic:cNvPicPr>
                      <a:picLocks noChangeAspect="1"/>
                    </pic:cNvPicPr>
                  </pic:nvPicPr>
                  <pic:blipFill>
                    <a:blip r:embed="rId5" cstate="print"/>
                    <a:stretch>
                      <a:fillRect/>
                    </a:stretch>
                  </pic:blipFill>
                  <pic:spPr>
                    <a:xfrm>
                      <a:off x="0" y="0"/>
                      <a:ext cx="5609590" cy="2711450"/>
                    </a:xfrm>
                    <a:prstGeom prst="rect">
                      <a:avLst/>
                    </a:prstGeom>
                    <a:noFill/>
                    <a:ln>
                      <a:noFill/>
                    </a:ln>
                  </pic:spPr>
                </pic:pic>
              </a:graphicData>
            </a:graphic>
          </wp:anchor>
        </w:drawing>
      </w:r>
    </w:p>
    <w:p>
      <w:pPr>
        <w:rPr>
          <w:rFonts w:ascii="宋体" w:hAnsi="宋体" w:cs="宋体"/>
          <w:b/>
          <w:kern w:val="0"/>
          <w:sz w:val="32"/>
          <w:szCs w:val="22"/>
        </w:rPr>
      </w:pPr>
    </w:p>
    <w:p>
      <w:pPr>
        <w:jc w:val="left"/>
        <w:rPr>
          <w:rFonts w:ascii="宋体" w:hAnsi="宋体" w:cs="宋体"/>
          <w:sz w:val="24"/>
        </w:rPr>
      </w:pPr>
      <w:r>
        <w:rPr>
          <w:rFonts w:hint="eastAsia" w:ascii="宋体" w:hAnsi="宋体" w:cs="宋体"/>
          <w:szCs w:val="22"/>
        </w:rPr>
        <w:drawing>
          <wp:anchor distT="0" distB="0" distL="114300" distR="114300" simplePos="0" relativeHeight="251661312" behindDoc="0" locked="0" layoutInCell="1" allowOverlap="1">
            <wp:simplePos x="0" y="0"/>
            <wp:positionH relativeFrom="column">
              <wp:posOffset>-367665</wp:posOffset>
            </wp:positionH>
            <wp:positionV relativeFrom="page">
              <wp:posOffset>1365250</wp:posOffset>
            </wp:positionV>
            <wp:extent cx="6273800" cy="3014345"/>
            <wp:effectExtent l="0" t="0" r="3175" b="5080"/>
            <wp:wrapTopAndBottom/>
            <wp:docPr id="105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 name="图片 4"/>
                    <pic:cNvPicPr>
                      <a:picLocks noChangeAspect="1"/>
                    </pic:cNvPicPr>
                  </pic:nvPicPr>
                  <pic:blipFill>
                    <a:blip r:embed="rId6" cstate="print"/>
                    <a:stretch>
                      <a:fillRect/>
                    </a:stretch>
                  </pic:blipFill>
                  <pic:spPr>
                    <a:xfrm>
                      <a:off x="0" y="0"/>
                      <a:ext cx="6273800" cy="3014345"/>
                    </a:xfrm>
                    <a:prstGeom prst="rect">
                      <a:avLst/>
                    </a:prstGeom>
                    <a:noFill/>
                    <a:ln>
                      <a:noFill/>
                    </a:ln>
                  </pic:spPr>
                </pic:pic>
              </a:graphicData>
            </a:graphic>
          </wp:anchor>
        </w:drawing>
      </w:r>
      <w:r>
        <w:rPr>
          <w:rFonts w:hint="eastAsia" w:ascii="宋体" w:hAnsi="宋体" w:cs="宋体"/>
          <w:sz w:val="24"/>
        </w:rPr>
        <w:t>3、点击“列入严重违法失信企业名单（黑名单）信息”，查询后截图。</w:t>
      </w:r>
    </w:p>
    <w:p>
      <w:pPr>
        <w:numPr>
          <w:ilvl w:val="0"/>
          <w:numId w:val="1"/>
        </w:numPr>
        <w:jc w:val="left"/>
        <w:rPr>
          <w:rFonts w:ascii="宋体" w:hAnsi="宋体" w:cs="宋体"/>
          <w:b/>
          <w:kern w:val="0"/>
          <w:sz w:val="32"/>
        </w:rPr>
        <w:sectPr>
          <w:pgSz w:w="11905" w:h="16838"/>
          <w:pgMar w:top="1134" w:right="1134" w:bottom="1134" w:left="1134" w:header="850" w:footer="992" w:gutter="0"/>
          <w:pgNumType w:fmt="decimal"/>
          <w:cols w:space="0" w:num="1"/>
          <w:rtlGutter w:val="0"/>
          <w:docGrid w:type="lines" w:linePitch="385" w:charSpace="0"/>
        </w:sectPr>
      </w:pPr>
    </w:p>
    <w:bookmarkEnd w:id="5"/>
    <w:bookmarkEnd w:id="6"/>
    <w:p>
      <w:pPr>
        <w:jc w:val="left"/>
        <w:rPr>
          <w:rFonts w:ascii="宋体" w:hAnsi="宋体" w:cs="宋体"/>
          <w:b/>
          <w:kern w:val="0"/>
          <w:sz w:val="24"/>
          <w:szCs w:val="24"/>
        </w:rPr>
      </w:pPr>
      <w:r>
        <w:rPr>
          <w:rFonts w:hint="eastAsia" w:ascii="宋体" w:hAnsi="宋体" w:cs="宋体"/>
          <w:b/>
          <w:kern w:val="0"/>
          <w:sz w:val="24"/>
          <w:szCs w:val="24"/>
        </w:rPr>
        <w:t>2：信用中国查询方式</w:t>
      </w:r>
    </w:p>
    <w:p>
      <w:pPr>
        <w:rPr>
          <w:rFonts w:ascii="宋体" w:hAnsi="宋体" w:cs="宋体"/>
          <w:kern w:val="0"/>
          <w:sz w:val="24"/>
          <w:szCs w:val="24"/>
        </w:rPr>
      </w:pPr>
      <w:r>
        <w:rPr>
          <w:rFonts w:hint="eastAsia" w:ascii="宋体" w:hAnsi="宋体" w:cs="宋体"/>
          <w:kern w:val="0"/>
          <w:sz w:val="24"/>
          <w:szCs w:val="24"/>
        </w:rPr>
        <w:t>1、国家信息中心主办“信用中国”网站地址：http://www.creditchina.gov.cn打开网页后，点击“信用服务”。</w:t>
      </w:r>
    </w:p>
    <w:p>
      <w:pPr>
        <w:rPr>
          <w:rFonts w:ascii="宋体" w:hAnsi="宋体" w:cs="宋体"/>
          <w:szCs w:val="22"/>
        </w:rPr>
      </w:pPr>
      <w:r>
        <w:rPr>
          <w:rFonts w:hint="eastAsia" w:ascii="宋体" w:hAnsi="宋体" w:eastAsia="宋体" w:cs="宋体"/>
          <w:kern w:val="0"/>
          <w:sz w:val="21"/>
          <w:szCs w:val="21"/>
        </w:rPr>
        <w:drawing>
          <wp:inline distT="0" distB="0" distL="114300" distR="114300">
            <wp:extent cx="5676265" cy="3137535"/>
            <wp:effectExtent l="0" t="0" r="635"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7"/>
                    <a:stretch>
                      <a:fillRect/>
                    </a:stretch>
                  </pic:blipFill>
                  <pic:spPr>
                    <a:xfrm>
                      <a:off x="0" y="0"/>
                      <a:ext cx="5676265" cy="3137535"/>
                    </a:xfrm>
                    <a:prstGeom prst="rect">
                      <a:avLst/>
                    </a:prstGeom>
                    <a:noFill/>
                    <a:ln>
                      <a:noFill/>
                    </a:ln>
                  </pic:spPr>
                </pic:pic>
              </a:graphicData>
            </a:graphic>
          </wp:inline>
        </w:drawing>
      </w:r>
    </w:p>
    <w:p>
      <w:pPr>
        <w:rPr>
          <w:rFonts w:ascii="宋体" w:hAnsi="宋体" w:cs="宋体"/>
          <w:kern w:val="0"/>
          <w:sz w:val="24"/>
          <w:szCs w:val="24"/>
        </w:rPr>
      </w:pPr>
      <w:r>
        <w:rPr>
          <w:rFonts w:hint="eastAsia" w:ascii="宋体" w:hAnsi="宋体" w:cs="宋体"/>
          <w:sz w:val="24"/>
          <w:szCs w:val="24"/>
        </w:rPr>
        <w:t>2、</w:t>
      </w:r>
      <w:r>
        <w:rPr>
          <w:rFonts w:hint="eastAsia" w:ascii="宋体" w:hAnsi="宋体" w:cs="宋体"/>
          <w:kern w:val="0"/>
          <w:sz w:val="24"/>
          <w:szCs w:val="24"/>
        </w:rPr>
        <w:t>在以下页面中点击“失信被执行人”</w:t>
      </w:r>
    </w:p>
    <w:p>
      <w:pPr>
        <w:ind w:firstLine="482"/>
        <w:rPr>
          <w:rFonts w:ascii="宋体" w:hAnsi="宋体" w:cs="宋体"/>
          <w:szCs w:val="22"/>
        </w:rPr>
      </w:pPr>
      <w:r>
        <w:rPr>
          <w:rFonts w:hint="eastAsia" w:ascii="宋体" w:hAnsi="宋体" w:cs="宋体"/>
          <w:szCs w:val="22"/>
        </w:rPr>
        <w:drawing>
          <wp:anchor distT="0" distB="0" distL="114300" distR="114300" simplePos="0" relativeHeight="251662336" behindDoc="0" locked="0" layoutInCell="1" allowOverlap="1">
            <wp:simplePos x="0" y="0"/>
            <wp:positionH relativeFrom="column">
              <wp:posOffset>-46355</wp:posOffset>
            </wp:positionH>
            <wp:positionV relativeFrom="paragraph">
              <wp:posOffset>22225</wp:posOffset>
            </wp:positionV>
            <wp:extent cx="5810885" cy="3295015"/>
            <wp:effectExtent l="0" t="0" r="8890" b="635"/>
            <wp:wrapTopAndBottom/>
            <wp:docPr id="1055" name="图片 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图片 5" descr="失信"/>
                    <pic:cNvPicPr>
                      <a:picLocks noChangeAspect="1"/>
                    </pic:cNvPicPr>
                  </pic:nvPicPr>
                  <pic:blipFill>
                    <a:blip r:embed="rId8" cstate="print"/>
                    <a:stretch>
                      <a:fillRect/>
                    </a:stretch>
                  </pic:blipFill>
                  <pic:spPr>
                    <a:xfrm>
                      <a:off x="0" y="0"/>
                      <a:ext cx="5810885" cy="3295015"/>
                    </a:xfrm>
                    <a:prstGeom prst="rect">
                      <a:avLst/>
                    </a:prstGeom>
                    <a:noFill/>
                    <a:ln>
                      <a:noFill/>
                    </a:ln>
                  </pic:spPr>
                </pic:pic>
              </a:graphicData>
            </a:graphic>
          </wp:anchor>
        </w:drawing>
      </w:r>
    </w:p>
    <w:p>
      <w:pPr>
        <w:ind w:firstLine="420"/>
        <w:rPr>
          <w:rFonts w:ascii="宋体" w:hAnsi="宋体" w:cs="宋体"/>
          <w:szCs w:val="22"/>
        </w:rPr>
      </w:pPr>
    </w:p>
    <w:p>
      <w:pPr>
        <w:widowControl/>
        <w:autoSpaceDE w:val="0"/>
        <w:autoSpaceDN w:val="0"/>
        <w:snapToGrid w:val="0"/>
        <w:spacing w:line="360" w:lineRule="auto"/>
        <w:ind w:firstLine="680" w:firstLineChars="200"/>
        <w:rPr>
          <w:rFonts w:ascii="宋体" w:hAnsi="宋体" w:cs="宋体"/>
          <w:kern w:val="0"/>
          <w:sz w:val="34"/>
          <w:szCs w:val="21"/>
        </w:rPr>
        <w:sectPr>
          <w:pgSz w:w="11905" w:h="16838"/>
          <w:pgMar w:top="1134" w:right="1134" w:bottom="1134" w:left="1134" w:header="850" w:footer="992" w:gutter="0"/>
          <w:pgNumType w:fmt="decimal"/>
          <w:cols w:space="0" w:num="1"/>
          <w:rtlGutter w:val="0"/>
          <w:docGrid w:type="lines" w:linePitch="385" w:charSpace="0"/>
        </w:sectPr>
      </w:pPr>
    </w:p>
    <w:p>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drawing>
          <wp:anchor distT="0" distB="0" distL="114300" distR="114300" simplePos="0" relativeHeight="251663360" behindDoc="0" locked="0" layoutInCell="1" allowOverlap="1">
            <wp:simplePos x="0" y="0"/>
            <wp:positionH relativeFrom="column">
              <wp:posOffset>-142875</wp:posOffset>
            </wp:positionH>
            <wp:positionV relativeFrom="page">
              <wp:posOffset>1675765</wp:posOffset>
            </wp:positionV>
            <wp:extent cx="5253355" cy="3434080"/>
            <wp:effectExtent l="0" t="0" r="4445" b="4445"/>
            <wp:wrapTopAndBottom/>
            <wp:docPr id="10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图片 6"/>
                    <pic:cNvPicPr>
                      <a:picLocks noChangeAspect="1"/>
                    </pic:cNvPicPr>
                  </pic:nvPicPr>
                  <pic:blipFill>
                    <a:blip r:embed="rId9" cstate="print"/>
                    <a:stretch>
                      <a:fillRect/>
                    </a:stretch>
                  </pic:blipFill>
                  <pic:spPr>
                    <a:xfrm>
                      <a:off x="0" y="0"/>
                      <a:ext cx="5253355" cy="3434080"/>
                    </a:xfrm>
                    <a:prstGeom prst="rect">
                      <a:avLst/>
                    </a:prstGeom>
                    <a:noFill/>
                    <a:ln>
                      <a:noFill/>
                    </a:ln>
                  </pic:spPr>
                </pic:pic>
              </a:graphicData>
            </a:graphic>
          </wp:anchor>
        </w:drawing>
      </w:r>
      <w:r>
        <w:rPr>
          <w:rFonts w:hint="eastAsia" w:ascii="宋体" w:hAnsi="宋体" w:cs="宋体"/>
          <w:kern w:val="0"/>
          <w:sz w:val="24"/>
          <w:szCs w:val="24"/>
        </w:rPr>
        <w:t>3、在弹出窗口进入链接网站，在查询窗口输入查询企业名称，将查询结果截图。</w:t>
      </w:r>
    </w:p>
    <w:p>
      <w:pPr>
        <w:keepNext w:val="0"/>
        <w:keepLines w:val="0"/>
        <w:pageBreakBefore w:val="0"/>
        <w:widowControl w:val="0"/>
        <w:kinsoku/>
        <w:wordWrap/>
        <w:overflowPunct/>
        <w:topLinePunct w:val="0"/>
        <w:autoSpaceDE/>
        <w:autoSpaceDN/>
        <w:bidi w:val="0"/>
        <w:adjustRightInd/>
        <w:snapToGrid/>
        <w:ind w:left="112" w:leftChars="-99" w:hanging="389" w:hangingChars="139"/>
        <w:textAlignment w:val="auto"/>
      </w:pPr>
      <w:r>
        <w:drawing>
          <wp:inline distT="0" distB="0" distL="114300" distR="114300">
            <wp:extent cx="5411470" cy="4130675"/>
            <wp:effectExtent l="0" t="0" r="8255" b="3175"/>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10"/>
                    <a:stretch>
                      <a:fillRect/>
                    </a:stretch>
                  </pic:blipFill>
                  <pic:spPr>
                    <a:xfrm>
                      <a:off x="0" y="0"/>
                      <a:ext cx="5411470" cy="4130675"/>
                    </a:xfrm>
                    <a:prstGeom prst="rect">
                      <a:avLst/>
                    </a:prstGeom>
                    <a:noFill/>
                    <a:ln>
                      <a:noFill/>
                    </a:ln>
                  </pic:spPr>
                </pic:pic>
              </a:graphicData>
            </a:graphic>
          </wp:inline>
        </w:drawing>
      </w:r>
      <w:bookmarkStart w:id="7" w:name="_Toc9085"/>
      <w:bookmarkStart w:id="8" w:name="_Toc32312"/>
      <w:bookmarkStart w:id="9" w:name="_Toc9800"/>
      <w:bookmarkStart w:id="10" w:name="_Toc15378"/>
      <w:bookmarkStart w:id="11" w:name="_Toc13476"/>
      <w:bookmarkStart w:id="12" w:name="_Toc4949"/>
    </w:p>
    <w:p>
      <w:pPr>
        <w:keepNext w:val="0"/>
        <w:keepLines w:val="0"/>
        <w:pageBreakBefore w:val="0"/>
        <w:widowControl w:val="0"/>
        <w:kinsoku/>
        <w:wordWrap/>
        <w:overflowPunct/>
        <w:topLinePunct w:val="0"/>
        <w:autoSpaceDE/>
        <w:autoSpaceDN/>
        <w:bidi w:val="0"/>
        <w:adjustRightInd/>
        <w:snapToGrid/>
        <w:ind w:left="170" w:leftChars="-99" w:hanging="447" w:hangingChars="139"/>
        <w:textAlignment w:val="auto"/>
        <w:rPr>
          <w:rFonts w:hint="eastAsia" w:ascii="宋体" w:hAnsi="宋体" w:cs="宋体"/>
          <w:b/>
          <w:kern w:val="0"/>
          <w:sz w:val="32"/>
          <w:szCs w:val="22"/>
        </w:rPr>
      </w:pPr>
      <w:r>
        <w:rPr>
          <w:rFonts w:hint="eastAsia" w:ascii="宋体" w:hAnsi="宋体" w:cs="宋体"/>
          <w:b/>
          <w:kern w:val="0"/>
          <w:sz w:val="32"/>
          <w:szCs w:val="22"/>
        </w:rPr>
        <w:br w:type="page"/>
      </w:r>
    </w:p>
    <w:bookmarkEnd w:id="7"/>
    <w:bookmarkEnd w:id="8"/>
    <w:bookmarkEnd w:id="9"/>
    <w:bookmarkEnd w:id="10"/>
    <w:bookmarkEnd w:id="11"/>
    <w:bookmarkEnd w:id="12"/>
    <w:p>
      <w:pPr>
        <w:jc w:val="left"/>
        <w:rPr>
          <w:rFonts w:hint="eastAsia" w:ascii="宋体" w:hAnsi="宋体" w:eastAsia="宋体" w:cs="宋体"/>
          <w:b/>
          <w:kern w:val="0"/>
          <w:sz w:val="24"/>
          <w:szCs w:val="24"/>
        </w:rPr>
      </w:pPr>
      <w:r>
        <w:rPr>
          <w:rFonts w:hint="eastAsia" w:ascii="宋体" w:hAnsi="宋体" w:eastAsia="宋体" w:cs="宋体"/>
          <w:b/>
          <w:kern w:val="0"/>
          <w:sz w:val="24"/>
          <w:szCs w:val="24"/>
        </w:rPr>
        <w:t>“</w:t>
      </w:r>
      <w:r>
        <w:rPr>
          <w:rFonts w:hint="eastAsia" w:ascii="宋体" w:hAnsi="宋体" w:eastAsia="宋体" w:cs="宋体"/>
          <w:b/>
          <w:kern w:val="0"/>
          <w:sz w:val="24"/>
          <w:szCs w:val="24"/>
          <w:lang w:val="en-US" w:eastAsia="zh-CN"/>
        </w:rPr>
        <w:t>中国</w:t>
      </w:r>
      <w:r>
        <w:rPr>
          <w:rFonts w:hint="eastAsia" w:ascii="宋体" w:hAnsi="宋体" w:eastAsia="宋体" w:cs="宋体"/>
          <w:b/>
          <w:kern w:val="0"/>
          <w:sz w:val="24"/>
          <w:szCs w:val="24"/>
        </w:rPr>
        <w:t>裁判文书网”（wenshu.court.gov.cn）站查询截图；</w:t>
      </w:r>
    </w:p>
    <w:p>
      <w:pPr>
        <w:pStyle w:val="12"/>
        <w:spacing w:line="480" w:lineRule="auto"/>
        <w:ind w:firstLine="0" w:firstLineChars="0"/>
        <w:rPr>
          <w:b/>
          <w:sz w:val="24"/>
          <w:szCs w:val="24"/>
          <w:lang w:eastAsia="zh-CN"/>
        </w:rPr>
      </w:pPr>
      <w:r>
        <w:rPr>
          <w:rFonts w:hint="eastAsia"/>
          <w:b/>
          <w:sz w:val="24"/>
          <w:szCs w:val="24"/>
          <w:lang w:val="en-US" w:eastAsia="zh-CN"/>
        </w:rPr>
        <w:t>1</w:t>
      </w:r>
      <w:r>
        <w:rPr>
          <w:rFonts w:hint="eastAsia"/>
          <w:b/>
          <w:sz w:val="24"/>
          <w:szCs w:val="24"/>
          <w:lang w:eastAsia="zh-CN"/>
        </w:rPr>
        <w:t>、</w:t>
      </w:r>
      <w:r>
        <w:rPr>
          <w:rFonts w:hint="eastAsia"/>
          <w:b/>
          <w:sz w:val="24"/>
          <w:szCs w:val="24"/>
          <w:lang w:val="en-US" w:eastAsia="zh-CN"/>
        </w:rPr>
        <w:t>供应商</w:t>
      </w:r>
      <w:r>
        <w:rPr>
          <w:rFonts w:hint="eastAsia"/>
          <w:b/>
          <w:sz w:val="24"/>
          <w:szCs w:val="24"/>
          <w:lang w:eastAsia="zh-CN"/>
        </w:rPr>
        <w:t>查询</w:t>
      </w:r>
    </w:p>
    <w:p>
      <w:pPr>
        <w:ind w:firstLine="420"/>
        <w:rPr>
          <w:rFonts w:hint="eastAsia"/>
          <w:sz w:val="24"/>
          <w:szCs w:val="24"/>
        </w:rPr>
      </w:pPr>
      <w:r>
        <w:rPr>
          <w:rFonts w:hint="eastAsia"/>
          <w:sz w:val="24"/>
          <w:szCs w:val="24"/>
        </w:rPr>
        <w:t>（1）打开“中国裁判文书网”网站（http://wenshu.court.gov.cn/），点击高级检索</w:t>
      </w:r>
    </w:p>
    <w:p>
      <w:pPr>
        <w:ind w:firstLine="420"/>
        <w:rPr>
          <w:rFonts w:hint="eastAsia"/>
          <w:sz w:val="24"/>
          <w:szCs w:val="24"/>
        </w:rPr>
      </w:pPr>
      <w:r>
        <w:rPr>
          <w:rFonts w:hint="eastAsia"/>
          <w:sz w:val="24"/>
          <w:szCs w:val="24"/>
        </w:rPr>
        <w:t>（2）在全文检索中输入</w:t>
      </w:r>
      <w:r>
        <w:rPr>
          <w:rFonts w:hint="eastAsia"/>
          <w:sz w:val="24"/>
          <w:szCs w:val="24"/>
          <w:lang w:val="en-US" w:eastAsia="zh-CN"/>
        </w:rPr>
        <w:t>供应商</w:t>
      </w:r>
      <w:r>
        <w:rPr>
          <w:rFonts w:hint="eastAsia"/>
          <w:sz w:val="24"/>
          <w:szCs w:val="24"/>
        </w:rPr>
        <w:t>全称，并选择“全文”</w:t>
      </w:r>
    </w:p>
    <w:p>
      <w:pPr>
        <w:ind w:firstLine="420"/>
        <w:rPr>
          <w:rFonts w:hint="eastAsia"/>
          <w:sz w:val="24"/>
          <w:szCs w:val="24"/>
        </w:rPr>
      </w:pPr>
      <w:r>
        <w:rPr>
          <w:rFonts w:hint="eastAsia"/>
          <w:sz w:val="24"/>
          <w:szCs w:val="24"/>
        </w:rPr>
        <w:t>（3）在案由中以此选择“刑事案由”——“贪污贿赂罪”——“行贿罪”</w:t>
      </w:r>
    </w:p>
    <w:p>
      <w:pPr>
        <w:ind w:firstLine="420"/>
        <w:rPr>
          <w:rFonts w:hint="eastAsia"/>
          <w:sz w:val="24"/>
          <w:szCs w:val="24"/>
        </w:rPr>
      </w:pPr>
      <w:r>
        <w:rPr>
          <w:rFonts w:hint="eastAsia"/>
          <w:sz w:val="24"/>
          <w:szCs w:val="24"/>
        </w:rPr>
        <w:t>（4）点击检索</w:t>
      </w:r>
    </w:p>
    <w:p>
      <w:pPr>
        <w:spacing w:line="480" w:lineRule="auto"/>
        <w:ind w:left="0" w:leftChars="-100" w:hanging="280" w:firstLineChars="0"/>
        <w:jc w:val="center"/>
        <w:rPr>
          <w:rFonts w:hint="eastAsia"/>
        </w:rPr>
      </w:pPr>
      <w:r>
        <w:drawing>
          <wp:inline distT="0" distB="0" distL="114300" distR="114300">
            <wp:extent cx="5684520" cy="2544445"/>
            <wp:effectExtent l="0" t="0" r="1905" b="8255"/>
            <wp:docPr id="248"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3" descr="45ab02aa1fef87a715d6455d421bb10"/>
                    <pic:cNvPicPr>
                      <a:picLocks noChangeAspect="1"/>
                    </pic:cNvPicPr>
                  </pic:nvPicPr>
                  <pic:blipFill>
                    <a:blip r:embed="rId11"/>
                    <a:stretch>
                      <a:fillRect/>
                    </a:stretch>
                  </pic:blipFill>
                  <pic:spPr>
                    <a:xfrm>
                      <a:off x="0" y="0"/>
                      <a:ext cx="5684520" cy="2544445"/>
                    </a:xfrm>
                    <a:prstGeom prst="rect">
                      <a:avLst/>
                    </a:prstGeom>
                    <a:noFill/>
                    <a:ln>
                      <a:noFill/>
                    </a:ln>
                  </pic:spPr>
                </pic:pic>
              </a:graphicData>
            </a:graphic>
          </wp:inline>
        </w:drawing>
      </w:r>
    </w:p>
    <w:p>
      <w:pPr>
        <w:spacing w:line="480" w:lineRule="auto"/>
        <w:ind w:left="0" w:leftChars="0" w:firstLine="0" w:firstLineChars="0"/>
        <w:rPr>
          <w:rFonts w:hint="eastAsia"/>
          <w:sz w:val="28"/>
          <w:szCs w:val="28"/>
        </w:rPr>
      </w:pPr>
      <w:r>
        <w:rPr>
          <w:sz w:val="28"/>
          <w:szCs w:val="28"/>
        </w:rPr>
        <w:drawing>
          <wp:anchor distT="0" distB="0" distL="114300" distR="114300" simplePos="0" relativeHeight="251665408" behindDoc="0" locked="0" layoutInCell="1" allowOverlap="1">
            <wp:simplePos x="0" y="0"/>
            <wp:positionH relativeFrom="column">
              <wp:posOffset>-162560</wp:posOffset>
            </wp:positionH>
            <wp:positionV relativeFrom="paragraph">
              <wp:posOffset>648970</wp:posOffset>
            </wp:positionV>
            <wp:extent cx="5726430" cy="2671445"/>
            <wp:effectExtent l="0" t="0" r="7620" b="5080"/>
            <wp:wrapTopAndBottom/>
            <wp:docPr id="2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1"/>
                    <pic:cNvPicPr>
                      <a:picLocks noChangeAspect="1"/>
                    </pic:cNvPicPr>
                  </pic:nvPicPr>
                  <pic:blipFill>
                    <a:blip r:embed="rId12"/>
                    <a:stretch>
                      <a:fillRect/>
                    </a:stretch>
                  </pic:blipFill>
                  <pic:spPr>
                    <a:xfrm>
                      <a:off x="0" y="0"/>
                      <a:ext cx="5726430" cy="2671445"/>
                    </a:xfrm>
                    <a:prstGeom prst="rect">
                      <a:avLst/>
                    </a:prstGeom>
                    <a:noFill/>
                    <a:ln>
                      <a:noFill/>
                    </a:ln>
                  </pic:spPr>
                </pic:pic>
              </a:graphicData>
            </a:graphic>
          </wp:anchor>
        </w:drawing>
      </w:r>
      <w:r>
        <w:rPr>
          <w:rFonts w:hint="eastAsia"/>
          <w:sz w:val="28"/>
          <w:szCs w:val="28"/>
          <w:lang w:val="en-US" w:eastAsia="zh-CN"/>
        </w:rPr>
        <w:t>2、</w:t>
      </w:r>
      <w:r>
        <w:rPr>
          <w:rFonts w:hint="eastAsia"/>
          <w:sz w:val="28"/>
          <w:szCs w:val="28"/>
        </w:rPr>
        <w:t>截取成功截图如下（须截取到左上角的时间）：</w:t>
      </w:r>
    </w:p>
    <w:p>
      <w:pPr>
        <w:rPr>
          <w:rFonts w:hint="eastAsia"/>
          <w:b/>
          <w:lang w:eastAsia="zh-CN"/>
        </w:rPr>
      </w:pPr>
      <w:r>
        <w:rPr>
          <w:rFonts w:hint="eastAsia"/>
          <w:b/>
          <w:lang w:eastAsia="zh-CN"/>
        </w:rPr>
        <w:br w:type="page"/>
      </w:r>
    </w:p>
    <w:p>
      <w:pPr>
        <w:pStyle w:val="12"/>
        <w:spacing w:line="480" w:lineRule="auto"/>
        <w:ind w:firstLine="0" w:firstLineChars="0"/>
        <w:rPr>
          <w:rFonts w:hint="eastAsia"/>
          <w:b/>
          <w:sz w:val="24"/>
          <w:szCs w:val="24"/>
          <w:lang w:eastAsia="zh-CN"/>
        </w:rPr>
      </w:pPr>
      <w:r>
        <w:rPr>
          <w:rFonts w:hint="eastAsia"/>
          <w:b/>
          <w:sz w:val="24"/>
          <w:szCs w:val="24"/>
          <w:lang w:eastAsia="zh-CN"/>
        </w:rPr>
        <w:t>二、企业法定代表人</w:t>
      </w:r>
      <w:r>
        <w:rPr>
          <w:rFonts w:hint="eastAsia"/>
          <w:b/>
          <w:sz w:val="24"/>
          <w:szCs w:val="24"/>
          <w:highlight w:val="none"/>
          <w:lang w:eastAsia="zh-CN"/>
        </w:rPr>
        <w:t>查询（如需）</w:t>
      </w:r>
    </w:p>
    <w:p>
      <w:pPr>
        <w:ind w:firstLine="420"/>
        <w:rPr>
          <w:rFonts w:hint="eastAsia"/>
          <w:sz w:val="24"/>
          <w:szCs w:val="24"/>
        </w:rPr>
      </w:pPr>
      <w:r>
        <w:rPr>
          <w:rFonts w:hint="eastAsia"/>
          <w:sz w:val="24"/>
          <w:szCs w:val="24"/>
        </w:rPr>
        <w:t>（1）打开“中国裁判文书网”网站（http://wenshu.court.gov.cn/），点击高级检索</w:t>
      </w:r>
    </w:p>
    <w:p>
      <w:pPr>
        <w:ind w:firstLine="420"/>
        <w:rPr>
          <w:rFonts w:hint="eastAsia"/>
          <w:sz w:val="24"/>
          <w:szCs w:val="24"/>
        </w:rPr>
      </w:pPr>
      <w:r>
        <w:rPr>
          <w:rFonts w:hint="eastAsia"/>
          <w:sz w:val="24"/>
          <w:szCs w:val="24"/>
        </w:rPr>
        <w:t>（2）在全文检索中输入</w:t>
      </w:r>
      <w:r>
        <w:rPr>
          <w:rFonts w:hint="eastAsia"/>
          <w:sz w:val="24"/>
          <w:szCs w:val="24"/>
          <w:lang w:val="en-US" w:eastAsia="zh-CN"/>
        </w:rPr>
        <w:t>供应商</w:t>
      </w:r>
      <w:r>
        <w:rPr>
          <w:rFonts w:hint="eastAsia"/>
          <w:sz w:val="24"/>
          <w:szCs w:val="24"/>
        </w:rPr>
        <w:t>全称，在“当事人”处输入企业法定代表人姓名，并选择“全文”。</w:t>
      </w:r>
    </w:p>
    <w:p>
      <w:pPr>
        <w:ind w:firstLine="420"/>
        <w:rPr>
          <w:rFonts w:hint="eastAsia"/>
          <w:sz w:val="24"/>
          <w:szCs w:val="24"/>
        </w:rPr>
      </w:pPr>
      <w:r>
        <w:rPr>
          <w:rFonts w:hint="eastAsia"/>
          <w:sz w:val="24"/>
          <w:szCs w:val="24"/>
        </w:rPr>
        <w:t>（3）在案由中以此选择“刑事案由”——“贪污贿赂罪”——“行贿罪”</w:t>
      </w:r>
    </w:p>
    <w:p>
      <w:pPr>
        <w:ind w:firstLine="420"/>
        <w:jc w:val="left"/>
        <w:rPr>
          <w:rFonts w:hint="eastAsia"/>
          <w:sz w:val="24"/>
          <w:szCs w:val="24"/>
        </w:rPr>
      </w:pPr>
      <w:r>
        <w:rPr>
          <w:rFonts w:hint="eastAsia"/>
          <w:sz w:val="24"/>
          <w:szCs w:val="24"/>
        </w:rPr>
        <w:t>（4）点击检索</w:t>
      </w:r>
    </w:p>
    <w:p>
      <w:pPr>
        <w:ind w:left="-80" w:leftChars="-200" w:hanging="480" w:hangingChars="200"/>
        <w:jc w:val="left"/>
      </w:pPr>
      <w:r>
        <w:rPr>
          <w:sz w:val="24"/>
          <w:szCs w:val="24"/>
        </w:rPr>
        <w:drawing>
          <wp:anchor distT="0" distB="0" distL="114300" distR="114300" simplePos="0" relativeHeight="251664384" behindDoc="0" locked="0" layoutInCell="1" allowOverlap="1">
            <wp:simplePos x="0" y="0"/>
            <wp:positionH relativeFrom="column">
              <wp:posOffset>-238125</wp:posOffset>
            </wp:positionH>
            <wp:positionV relativeFrom="paragraph">
              <wp:posOffset>19050</wp:posOffset>
            </wp:positionV>
            <wp:extent cx="6104255" cy="2738755"/>
            <wp:effectExtent l="0" t="0" r="1270" b="4445"/>
            <wp:wrapTopAndBottom/>
            <wp:docPr id="250"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5" descr="f5b14ce5b99dfb7ae8af5d4b4f2a68a"/>
                    <pic:cNvPicPr>
                      <a:picLocks noChangeAspect="1"/>
                    </pic:cNvPicPr>
                  </pic:nvPicPr>
                  <pic:blipFill>
                    <a:blip r:embed="rId13"/>
                    <a:stretch>
                      <a:fillRect/>
                    </a:stretch>
                  </pic:blipFill>
                  <pic:spPr>
                    <a:xfrm>
                      <a:off x="0" y="0"/>
                      <a:ext cx="6104255" cy="2738755"/>
                    </a:xfrm>
                    <a:prstGeom prst="rect">
                      <a:avLst/>
                    </a:prstGeom>
                    <a:noFill/>
                    <a:ln>
                      <a:noFill/>
                    </a:ln>
                  </pic:spPr>
                </pic:pic>
              </a:graphicData>
            </a:graphic>
          </wp:anchor>
        </w:drawing>
      </w:r>
      <w:r>
        <w:rPr>
          <w:rFonts w:hint="eastAsia"/>
          <w:sz w:val="24"/>
          <w:szCs w:val="24"/>
        </w:rPr>
        <w:t>（6）截取成功截图如下（须截取到左上角的时间）：</w:t>
      </w:r>
      <w:r>
        <w:drawing>
          <wp:inline distT="0" distB="0" distL="114300" distR="114300">
            <wp:extent cx="5737225" cy="1986280"/>
            <wp:effectExtent l="0" t="0" r="6350" b="4445"/>
            <wp:docPr id="25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
                    <pic:cNvPicPr>
                      <a:picLocks noChangeAspect="1"/>
                    </pic:cNvPicPr>
                  </pic:nvPicPr>
                  <pic:blipFill>
                    <a:blip r:embed="rId14"/>
                    <a:stretch>
                      <a:fillRect/>
                    </a:stretch>
                  </pic:blipFill>
                  <pic:spPr>
                    <a:xfrm>
                      <a:off x="0" y="0"/>
                      <a:ext cx="5737225" cy="1986280"/>
                    </a:xfrm>
                    <a:prstGeom prst="rect">
                      <a:avLst/>
                    </a:prstGeom>
                    <a:noFill/>
                    <a:ln>
                      <a:noFill/>
                    </a:ln>
                  </pic:spPr>
                </pic:pic>
              </a:graphicData>
            </a:graphic>
          </wp:inline>
        </w:drawing>
      </w:r>
    </w:p>
    <w:p>
      <w:pPr>
        <w:spacing w:line="360" w:lineRule="auto"/>
        <w:rPr>
          <w:rFonts w:hint="eastAsia" w:ascii="宋体" w:hAnsi="宋体" w:eastAsia="宋体" w:cs="宋体"/>
          <w:b/>
          <w:bCs/>
          <w:sz w:val="24"/>
          <w:szCs w:val="24"/>
        </w:rPr>
      </w:pPr>
    </w:p>
    <w:p>
      <w:pPr>
        <w:spacing w:line="360" w:lineRule="auto"/>
        <w:rPr>
          <w:rFonts w:hint="eastAsia" w:ascii="宋体" w:hAnsi="宋体" w:eastAsia="宋体" w:cs="宋体"/>
          <w:b/>
          <w:bCs/>
          <w:sz w:val="24"/>
          <w:szCs w:val="24"/>
        </w:rPr>
      </w:pPr>
    </w:p>
    <w:p>
      <w:pPr>
        <w:spacing w:line="360" w:lineRule="auto"/>
        <w:rPr>
          <w:rFonts w:hint="eastAsia" w:ascii="宋体" w:hAnsi="宋体" w:eastAsia="宋体" w:cs="宋体"/>
          <w:b/>
          <w:bCs/>
          <w:sz w:val="24"/>
          <w:szCs w:val="24"/>
        </w:rPr>
      </w:pPr>
    </w:p>
    <w:p>
      <w:pPr>
        <w:rPr>
          <w:rFonts w:hint="eastAsia" w:ascii="宋体" w:hAnsi="宋体" w:eastAsia="宋体" w:cs="宋体"/>
          <w:b/>
          <w:bCs/>
          <w:sz w:val="24"/>
          <w:szCs w:val="24"/>
        </w:rPr>
      </w:pPr>
      <w:r>
        <w:rPr>
          <w:rFonts w:hint="eastAsia" w:ascii="宋体" w:hAnsi="宋体" w:eastAsia="宋体" w:cs="宋体"/>
          <w:b/>
          <w:bCs/>
          <w:sz w:val="24"/>
          <w:szCs w:val="24"/>
        </w:rPr>
        <w:br w:type="page"/>
      </w:r>
    </w:p>
    <w:p>
      <w:pPr>
        <w:spacing w:line="360" w:lineRule="auto"/>
        <w:rPr>
          <w:rFonts w:hint="eastAsia" w:ascii="宋体" w:hAnsi="宋体" w:eastAsia="宋体" w:cs="宋体"/>
          <w:b/>
          <w:kern w:val="0"/>
          <w:sz w:val="24"/>
          <w:szCs w:val="24"/>
          <w:lang w:eastAsia="zh-CN"/>
        </w:rPr>
      </w:pPr>
      <w:r>
        <w:rPr>
          <w:rFonts w:hint="eastAsia" w:ascii="宋体" w:hAnsi="宋体" w:eastAsia="宋体" w:cs="宋体"/>
          <w:b/>
          <w:bCs/>
          <w:sz w:val="24"/>
          <w:szCs w:val="24"/>
        </w:rPr>
        <w:t>附件</w:t>
      </w:r>
      <w:r>
        <w:rPr>
          <w:rFonts w:hint="eastAsia" w:ascii="宋体" w:hAnsi="宋体" w:cs="宋体"/>
          <w:b/>
          <w:bCs/>
          <w:sz w:val="24"/>
          <w:szCs w:val="24"/>
          <w:lang w:val="en-US" w:eastAsia="zh-CN"/>
        </w:rPr>
        <w:t>四：</w:t>
      </w:r>
    </w:p>
    <w:p>
      <w:pPr>
        <w:pStyle w:val="11"/>
        <w:pageBreakBefore w:val="0"/>
        <w:kinsoku/>
        <w:wordWrap/>
        <w:overflowPunct/>
        <w:bidi w:val="0"/>
        <w:jc w:val="center"/>
        <w:rPr>
          <w:rFonts w:hint="eastAsia" w:ascii="宋体" w:hAnsi="宋体" w:eastAsia="宋体" w:cs="宋体"/>
          <w:b/>
          <w:bCs/>
          <w:sz w:val="28"/>
          <w:szCs w:val="28"/>
          <w:lang w:val="en-US" w:eastAsia="zh-CN"/>
        </w:rPr>
      </w:pPr>
      <w:r>
        <w:rPr>
          <w:rFonts w:hint="eastAsia" w:ascii="宋体" w:hAnsi="宋体" w:cs="宋体"/>
          <w:b/>
          <w:bCs/>
          <w:sz w:val="28"/>
          <w:szCs w:val="28"/>
          <w:lang w:val="en-US" w:eastAsia="zh-CN"/>
        </w:rPr>
        <w:t>响应</w:t>
      </w:r>
      <w:r>
        <w:rPr>
          <w:rFonts w:hint="eastAsia" w:ascii="宋体" w:hAnsi="宋体" w:eastAsia="宋体" w:cs="宋体"/>
          <w:b/>
          <w:bCs/>
          <w:sz w:val="28"/>
          <w:szCs w:val="28"/>
          <w:lang w:val="en-US" w:eastAsia="zh-CN"/>
        </w:rPr>
        <w:t>真实性承诺书</w: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rPr>
        <w:t xml:space="preserve">              </w:t>
      </w:r>
      <w:r>
        <w:rPr>
          <w:rFonts w:hint="eastAsia" w:ascii="宋体" w:hAnsi="宋体" w:eastAsia="宋体" w:cs="宋体"/>
          <w:sz w:val="24"/>
          <w:szCs w:val="24"/>
        </w:rPr>
        <w:t>（</w:t>
      </w:r>
      <w:r>
        <w:rPr>
          <w:rFonts w:hint="eastAsia" w:ascii="宋体" w:hAnsi="宋体" w:cs="宋体"/>
          <w:sz w:val="24"/>
          <w:szCs w:val="24"/>
          <w:lang w:val="en-US" w:eastAsia="zh-CN"/>
        </w:rPr>
        <w:t>采购人</w:t>
      </w:r>
      <w:r>
        <w:rPr>
          <w:rFonts w:hint="eastAsia" w:ascii="宋体" w:hAnsi="宋体" w:eastAsia="宋体" w:cs="宋体"/>
          <w:sz w:val="24"/>
          <w:szCs w:val="24"/>
        </w:rPr>
        <w:t>）</w:t>
      </w:r>
    </w:p>
    <w:p>
      <w:pPr>
        <w:spacing w:line="360" w:lineRule="auto"/>
        <w:ind w:firstLine="3570"/>
        <w:rPr>
          <w:rFonts w:hint="eastAsia" w:ascii="宋体" w:hAnsi="宋体" w:eastAsia="宋体" w:cs="宋体"/>
          <w:sz w:val="24"/>
          <w:szCs w:val="24"/>
        </w:rPr>
      </w:pP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我公司郑重承诺提交的报名审查资料及</w:t>
      </w:r>
      <w:r>
        <w:rPr>
          <w:rFonts w:hint="eastAsia" w:ascii="宋体" w:hAnsi="宋体" w:cs="宋体"/>
          <w:sz w:val="24"/>
          <w:szCs w:val="24"/>
          <w:lang w:eastAsia="zh-CN"/>
        </w:rPr>
        <w:t>响应文件</w:t>
      </w:r>
      <w:r>
        <w:rPr>
          <w:rFonts w:hint="eastAsia" w:ascii="宋体" w:hAnsi="宋体" w:eastAsia="宋体" w:cs="宋体"/>
          <w:sz w:val="24"/>
          <w:szCs w:val="24"/>
        </w:rPr>
        <w:t>中提供所有资料等内容均真实有效，并对所提交的所有资料内容的真实性负责，如有不实，我公司自愿承担由此引发的所有责任及接受相应的处罚。</w:t>
      </w: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r>
        <w:rPr>
          <w:rFonts w:hint="eastAsia" w:ascii="宋体" w:hAnsi="宋体" w:cs="宋体"/>
          <w:sz w:val="24"/>
          <w:szCs w:val="24"/>
          <w:lang w:val="en-US" w:eastAsia="zh-CN"/>
        </w:rPr>
        <w:t>供应商</w:t>
      </w:r>
      <w:r>
        <w:rPr>
          <w:rFonts w:hint="eastAsia" w:ascii="宋体" w:hAnsi="宋体" w:eastAsia="宋体" w:cs="宋体"/>
          <w:sz w:val="24"/>
          <w:szCs w:val="24"/>
        </w:rPr>
        <w:t>：</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（盖单位章）</w:t>
      </w:r>
    </w:p>
    <w:p>
      <w:pPr>
        <w:jc w:val="right"/>
      </w:pPr>
      <w:r>
        <w:rPr>
          <w:rFonts w:hint="eastAsia" w:ascii="宋体" w:hAnsi="宋体" w:eastAsia="宋体" w:cs="宋体"/>
          <w:sz w:val="24"/>
          <w:szCs w:val="24"/>
        </w:rPr>
        <w:t>______年_____月______日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D"/>
    <w:multiLevelType w:val="multilevel"/>
    <w:tmpl w:val="0000001D"/>
    <w:lvl w:ilvl="0" w:tentative="0">
      <w:start w:val="2"/>
      <w:numFmt w:val="upperLetter"/>
      <w:suff w:val="nothing"/>
      <w:lvlText w:val="%1、"/>
      <w:lvlJc w:val="left"/>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gyOGQyODI3NTAyMDJjYmRjZmFkZWE1NDI5Y2Q4NDIifQ=="/>
  </w:docVars>
  <w:rsids>
    <w:rsidRoot w:val="00000000"/>
    <w:rsid w:val="640F75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9">
    <w:name w:val="Default Paragraph Font"/>
    <w:semiHidden/>
    <w:uiPriority w:val="0"/>
  </w:style>
  <w:style w:type="table" w:default="1" w:styleId="8">
    <w:name w:val="Normal Table"/>
    <w:autoRedefine/>
    <w:semiHidden/>
    <w:qFormat/>
    <w:uiPriority w:val="0"/>
    <w:tblPr>
      <w:tblCellMar>
        <w:top w:w="0" w:type="dxa"/>
        <w:left w:w="108" w:type="dxa"/>
        <w:bottom w:w="0" w:type="dxa"/>
        <w:right w:w="108" w:type="dxa"/>
      </w:tblCellMar>
    </w:tblPr>
  </w:style>
  <w:style w:type="paragraph" w:customStyle="1" w:styleId="2">
    <w:name w:val="BodyText1I2"/>
    <w:basedOn w:val="1"/>
    <w:autoRedefine/>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styleId="3">
    <w:name w:val="Normal Indent"/>
    <w:basedOn w:val="1"/>
    <w:next w:val="1"/>
    <w:qFormat/>
    <w:uiPriority w:val="0"/>
    <w:pPr>
      <w:ind w:firstLine="420"/>
    </w:pPr>
  </w:style>
  <w:style w:type="paragraph" w:styleId="4">
    <w:name w:val="Body Text Indent"/>
    <w:basedOn w:val="1"/>
    <w:next w:val="5"/>
    <w:qFormat/>
    <w:uiPriority w:val="0"/>
    <w:pPr>
      <w:ind w:firstLine="444"/>
    </w:pPr>
    <w:rPr>
      <w:b/>
      <w:sz w:val="24"/>
    </w:rPr>
  </w:style>
  <w:style w:type="paragraph" w:styleId="5">
    <w:name w:val="footnote text"/>
    <w:basedOn w:val="1"/>
    <w:qFormat/>
    <w:uiPriority w:val="0"/>
    <w:pPr>
      <w:widowControl/>
      <w:snapToGrid w:val="0"/>
      <w:jc w:val="left"/>
    </w:pPr>
    <w:rPr>
      <w:kern w:val="0"/>
      <w:sz w:val="18"/>
    </w:rPr>
  </w:style>
  <w:style w:type="paragraph" w:styleId="6">
    <w:name w:val="Subtitle"/>
    <w:basedOn w:val="1"/>
    <w:next w:val="1"/>
    <w:qFormat/>
    <w:uiPriority w:val="0"/>
    <w:pPr>
      <w:adjustRightInd w:val="0"/>
      <w:spacing w:after="60" w:afterLines="0" w:line="312" w:lineRule="atLeast"/>
      <w:jc w:val="center"/>
      <w:textAlignment w:val="baseline"/>
    </w:pPr>
    <w:rPr>
      <w:rFonts w:ascii="Arial" w:hAnsi="Arial" w:eastAsia="黑体"/>
      <w:i/>
      <w:kern w:val="0"/>
      <w:sz w:val="24"/>
    </w:rPr>
  </w:style>
  <w:style w:type="paragraph" w:styleId="7">
    <w:name w:val="Body Text First Indent 2"/>
    <w:basedOn w:val="4"/>
    <w:next w:val="1"/>
    <w:qFormat/>
    <w:uiPriority w:val="0"/>
    <w:pPr>
      <w:spacing w:after="120"/>
      <w:ind w:left="420" w:firstLine="420"/>
    </w:pPr>
    <w:rPr>
      <w:b w:val="0"/>
      <w:sz w:val="21"/>
      <w:szCs w:val="24"/>
    </w:rPr>
  </w:style>
  <w:style w:type="paragraph" w:customStyle="1" w:styleId="10">
    <w:name w:val="p0"/>
    <w:basedOn w:val="1"/>
    <w:autoRedefine/>
    <w:qFormat/>
    <w:uiPriority w:val="0"/>
    <w:pPr>
      <w:widowControl/>
    </w:pPr>
    <w:rPr>
      <w:kern w:val="0"/>
      <w:szCs w:val="20"/>
    </w:rPr>
  </w:style>
  <w:style w:type="paragraph" w:customStyle="1" w:styleId="11">
    <w:name w:val="无间隔1"/>
    <w:next w:val="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2">
    <w:name w:val="_Style 6"/>
    <w:basedOn w:val="1"/>
    <w:next w:val="13"/>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13">
    <w:name w:val="List Paragraph"/>
    <w:basedOn w:val="1"/>
    <w:autoRedefine/>
    <w:qFormat/>
    <w:uiPriority w:val="0"/>
    <w:pPr>
      <w:topLinePunct w:val="0"/>
      <w:ind w:left="1134" w:firstLine="6"/>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0</Words>
  <Characters>0</Characters>
  <Lines>0</Lines>
  <Paragraphs>0</Paragraphs>
  <TotalTime>0</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2024-04-18T08:51:15Z</dcterms:created>
  <dc:creator>DELL</dc:creator>
  <cp:lastModifiedBy>WPS_1640698094</cp:lastModifiedBy>
  <dcterms:modified xsi:type="dcterms:W3CDTF">2024-04-18T08:51:25Z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18406EE9A842423680123E80A0DD825C_12</vt:lpwstr>
  </property>
</Properties>
</file>