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0"/>
        <w:spacing w:line="360" w:lineRule="auto"/>
        <w:ind w:left="0" w:leftChars="0" w:firstLine="0" w:firstLineChars="0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4"/>
          <w:szCs w:val="40"/>
          <w:highlight w:val="none"/>
          <w:lang w:val="en-US" w:eastAsia="zh-CN"/>
        </w:rPr>
        <w:t>公告附表——采购计划表：</w:t>
      </w:r>
    </w:p>
    <w:tbl>
      <w:tblPr>
        <w:tblStyle w:val="11"/>
        <w:tblW w:w="5434" w:type="pct"/>
        <w:tblInd w:w="-36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94"/>
        <w:gridCol w:w="2848"/>
        <w:gridCol w:w="2302"/>
        <w:gridCol w:w="422"/>
        <w:gridCol w:w="443"/>
        <w:gridCol w:w="1161"/>
        <w:gridCol w:w="1241"/>
        <w:gridCol w:w="944"/>
        <w:gridCol w:w="695"/>
        <w:gridCol w:w="1363"/>
        <w:gridCol w:w="995"/>
        <w:gridCol w:w="112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标段</w:t>
            </w:r>
          </w:p>
        </w:tc>
        <w:tc>
          <w:tcPr>
            <w:tcW w:w="9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名称</w:t>
            </w:r>
          </w:p>
        </w:tc>
        <w:tc>
          <w:tcPr>
            <w:tcW w:w="7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内容</w:t>
            </w:r>
          </w:p>
        </w:tc>
        <w:tc>
          <w:tcPr>
            <w:tcW w:w="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单位</w:t>
            </w:r>
          </w:p>
        </w:tc>
        <w:tc>
          <w:tcPr>
            <w:tcW w:w="1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数量</w:t>
            </w:r>
          </w:p>
        </w:tc>
        <w:tc>
          <w:tcPr>
            <w:tcW w:w="3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单价(预算.元)</w:t>
            </w:r>
          </w:p>
        </w:tc>
        <w:tc>
          <w:tcPr>
            <w:tcW w:w="4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总价(预算.元)</w:t>
            </w: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项目单位</w:t>
            </w:r>
          </w:p>
        </w:tc>
        <w:tc>
          <w:tcPr>
            <w:tcW w:w="2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采购方式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服务期\工期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资金来源</w:t>
            </w: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标段6天然气接入</w:t>
            </w:r>
          </w:p>
        </w:tc>
        <w:tc>
          <w:tcPr>
            <w:tcW w:w="9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输电管理二处搬迁至东胜原高压所办公楼，为满足需求，需接入天然气</w:t>
            </w:r>
          </w:p>
        </w:tc>
        <w:tc>
          <w:tcPr>
            <w:tcW w:w="7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详见工程量清单</w:t>
            </w:r>
          </w:p>
        </w:tc>
        <w:tc>
          <w:tcPr>
            <w:tcW w:w="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1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3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50035.00 </w:t>
            </w:r>
          </w:p>
        </w:tc>
        <w:tc>
          <w:tcPr>
            <w:tcW w:w="4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50035.00 </w:t>
            </w: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输电管理二处</w:t>
            </w:r>
          </w:p>
        </w:tc>
        <w:tc>
          <w:tcPr>
            <w:tcW w:w="2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合同签订后一个月内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福利费</w:t>
            </w: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2852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小计</w:t>
            </w:r>
          </w:p>
        </w:tc>
        <w:tc>
          <w:tcPr>
            <w:tcW w:w="4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50035.00 </w:t>
            </w: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标段7 融媒体演播室改造</w:t>
            </w:r>
          </w:p>
        </w:tc>
        <w:tc>
          <w:tcPr>
            <w:tcW w:w="9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融媒体演播室改造</w:t>
            </w:r>
          </w:p>
        </w:tc>
        <w:tc>
          <w:tcPr>
            <w:tcW w:w="7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详见服务说明</w:t>
            </w:r>
          </w:p>
        </w:tc>
        <w:tc>
          <w:tcPr>
            <w:tcW w:w="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1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3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166800</w:t>
            </w:r>
          </w:p>
        </w:tc>
        <w:tc>
          <w:tcPr>
            <w:tcW w:w="4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166800.00 </w:t>
            </w: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新闻文化中心</w:t>
            </w:r>
          </w:p>
        </w:tc>
        <w:tc>
          <w:tcPr>
            <w:tcW w:w="2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合同签订后至2024-07-18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中小修</w:t>
            </w: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2852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小计</w:t>
            </w:r>
          </w:p>
        </w:tc>
        <w:tc>
          <w:tcPr>
            <w:tcW w:w="4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166800.00 </w:t>
            </w: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43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标段8  配电设备带电检测服务（一）</w:t>
            </w:r>
          </w:p>
        </w:tc>
        <w:tc>
          <w:tcPr>
            <w:tcW w:w="9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棋盘井供电公司配电设备带电检测服务</w:t>
            </w:r>
          </w:p>
        </w:tc>
        <w:tc>
          <w:tcPr>
            <w:tcW w:w="7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计划检测变压器170台，环网柜间隔18个，电缆51段。</w:t>
            </w:r>
          </w:p>
        </w:tc>
        <w:tc>
          <w:tcPr>
            <w:tcW w:w="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1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3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172141.00 </w:t>
            </w:r>
          </w:p>
        </w:tc>
        <w:tc>
          <w:tcPr>
            <w:tcW w:w="4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172141.00 </w:t>
            </w: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生产技术部</w:t>
            </w:r>
          </w:p>
        </w:tc>
        <w:tc>
          <w:tcPr>
            <w:tcW w:w="2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合同签订后至2024年12.31日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中小修</w:t>
            </w:r>
          </w:p>
        </w:tc>
        <w:tc>
          <w:tcPr>
            <w:tcW w:w="38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标段8-11限中1个标段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43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9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鄂托克前旗供电公司配电设备带电检测服务</w:t>
            </w:r>
          </w:p>
        </w:tc>
        <w:tc>
          <w:tcPr>
            <w:tcW w:w="7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为检测配电设备缺陷、提升设备健康水平，鄂托克前旗供电公司2024年计划对辖区35段10kV电缆、107台配变、52台柱上设备、2台环网柜/分支箱开展带电检测工作。</w:t>
            </w:r>
          </w:p>
        </w:tc>
        <w:tc>
          <w:tcPr>
            <w:tcW w:w="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1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3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165900.00 </w:t>
            </w:r>
          </w:p>
        </w:tc>
        <w:tc>
          <w:tcPr>
            <w:tcW w:w="4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165900.00 </w:t>
            </w: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生产技术部</w:t>
            </w:r>
          </w:p>
        </w:tc>
        <w:tc>
          <w:tcPr>
            <w:tcW w:w="2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合同签订后至2024年12.31日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中小修</w:t>
            </w:r>
          </w:p>
        </w:tc>
        <w:tc>
          <w:tcPr>
            <w:tcW w:w="3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43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9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鄂托克供电公司配电设备带电检测服务</w:t>
            </w:r>
          </w:p>
        </w:tc>
        <w:tc>
          <w:tcPr>
            <w:tcW w:w="7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配电设备带电检测服务700台</w:t>
            </w:r>
          </w:p>
        </w:tc>
        <w:tc>
          <w:tcPr>
            <w:tcW w:w="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1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3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420000.00 </w:t>
            </w:r>
          </w:p>
        </w:tc>
        <w:tc>
          <w:tcPr>
            <w:tcW w:w="4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420000.00 </w:t>
            </w: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生产技术部</w:t>
            </w:r>
          </w:p>
        </w:tc>
        <w:tc>
          <w:tcPr>
            <w:tcW w:w="2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合同签订后至2024年12.31日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中小修</w:t>
            </w:r>
          </w:p>
        </w:tc>
        <w:tc>
          <w:tcPr>
            <w:tcW w:w="3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2852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小计</w:t>
            </w:r>
          </w:p>
        </w:tc>
        <w:tc>
          <w:tcPr>
            <w:tcW w:w="4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758041.00 </w:t>
            </w: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标段9  配电设备带电检测服务（二）</w:t>
            </w:r>
          </w:p>
        </w:tc>
        <w:tc>
          <w:tcPr>
            <w:tcW w:w="9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杭锦供电公司配电设备带电检测服务</w:t>
            </w:r>
          </w:p>
        </w:tc>
        <w:tc>
          <w:tcPr>
            <w:tcW w:w="7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配电专项业务费用配电带电检测，计划检测变压器600台。环网柜间隔150个，设备杆100基，电缆140段。</w:t>
            </w:r>
          </w:p>
        </w:tc>
        <w:tc>
          <w:tcPr>
            <w:tcW w:w="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1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3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737500.00 </w:t>
            </w:r>
          </w:p>
        </w:tc>
        <w:tc>
          <w:tcPr>
            <w:tcW w:w="4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737500.00 </w:t>
            </w: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生产技术部</w:t>
            </w:r>
          </w:p>
        </w:tc>
        <w:tc>
          <w:tcPr>
            <w:tcW w:w="2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合同签订后至2024年12.31日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中小修</w:t>
            </w: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标段8-11限中1个标段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2852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小计</w:t>
            </w:r>
          </w:p>
        </w:tc>
        <w:tc>
          <w:tcPr>
            <w:tcW w:w="4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737500.00 </w:t>
            </w: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43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标段10  配电设备带电检测服务（三）</w:t>
            </w:r>
          </w:p>
        </w:tc>
        <w:tc>
          <w:tcPr>
            <w:tcW w:w="9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康巴什供电公司配电设备带电检测服务</w:t>
            </w:r>
          </w:p>
        </w:tc>
        <w:tc>
          <w:tcPr>
            <w:tcW w:w="7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为保证设备安全稳定运行，需对康巴什城区部分年旧线路及用户移交环网柜进行带电检测，检测环网柜间隔500个。</w:t>
            </w:r>
          </w:p>
        </w:tc>
        <w:tc>
          <w:tcPr>
            <w:tcW w:w="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1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3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125000.00 </w:t>
            </w:r>
          </w:p>
        </w:tc>
        <w:tc>
          <w:tcPr>
            <w:tcW w:w="4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125000.00 </w:t>
            </w: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生产技术部</w:t>
            </w:r>
          </w:p>
        </w:tc>
        <w:tc>
          <w:tcPr>
            <w:tcW w:w="2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合同签订后至2024年12.31日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中小修</w:t>
            </w:r>
          </w:p>
        </w:tc>
        <w:tc>
          <w:tcPr>
            <w:tcW w:w="38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标段8-11限中1个标段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43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9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伊金霍洛供电公司配电设备带电检测服务</w:t>
            </w:r>
          </w:p>
        </w:tc>
        <w:tc>
          <w:tcPr>
            <w:tcW w:w="7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对50段电缆，60面环网柜间隔，60台老旧箱变进行4个轮次的带电检测</w:t>
            </w:r>
          </w:p>
        </w:tc>
        <w:tc>
          <w:tcPr>
            <w:tcW w:w="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1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3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160060.00 </w:t>
            </w:r>
          </w:p>
        </w:tc>
        <w:tc>
          <w:tcPr>
            <w:tcW w:w="4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160060.00 </w:t>
            </w: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生产技术部</w:t>
            </w:r>
          </w:p>
        </w:tc>
        <w:tc>
          <w:tcPr>
            <w:tcW w:w="2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合同签订后至2024年12.31日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中小修</w:t>
            </w:r>
          </w:p>
        </w:tc>
        <w:tc>
          <w:tcPr>
            <w:tcW w:w="3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43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9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乌审供电公司配电设备带电检测服务</w:t>
            </w:r>
          </w:p>
        </w:tc>
        <w:tc>
          <w:tcPr>
            <w:tcW w:w="7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需对20个环网柜间隔、600台变压器、120台设备杆，进行外委带电检测。</w:t>
            </w:r>
          </w:p>
        </w:tc>
        <w:tc>
          <w:tcPr>
            <w:tcW w:w="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1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3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437000.00 </w:t>
            </w:r>
          </w:p>
        </w:tc>
        <w:tc>
          <w:tcPr>
            <w:tcW w:w="4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437000.00 </w:t>
            </w: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生产技术部</w:t>
            </w:r>
          </w:p>
        </w:tc>
        <w:tc>
          <w:tcPr>
            <w:tcW w:w="2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合同签订后至2024年12.31日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中小修</w:t>
            </w:r>
          </w:p>
        </w:tc>
        <w:tc>
          <w:tcPr>
            <w:tcW w:w="3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2852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小计</w:t>
            </w:r>
          </w:p>
        </w:tc>
        <w:tc>
          <w:tcPr>
            <w:tcW w:w="4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722060.00 </w:t>
            </w: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标段11  配电设备带电检测服务（四）</w:t>
            </w:r>
          </w:p>
        </w:tc>
        <w:tc>
          <w:tcPr>
            <w:tcW w:w="9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东胜铁西供电公司配电设备带电检测服务</w:t>
            </w:r>
          </w:p>
        </w:tc>
        <w:tc>
          <w:tcPr>
            <w:tcW w:w="7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对辖区260根电缆、310个环网柜间隔、200基杆塔进行带电探测，检测结果登记造册，判断检测结果并提出意见</w:t>
            </w:r>
          </w:p>
        </w:tc>
        <w:tc>
          <w:tcPr>
            <w:tcW w:w="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1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3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717500.00 </w:t>
            </w:r>
          </w:p>
        </w:tc>
        <w:tc>
          <w:tcPr>
            <w:tcW w:w="4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717500.00 </w:t>
            </w: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生产技术部</w:t>
            </w:r>
          </w:p>
        </w:tc>
        <w:tc>
          <w:tcPr>
            <w:tcW w:w="2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合同签订后至2024年12.31日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中小修</w:t>
            </w: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标段8-11限中1个标段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2852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小计</w:t>
            </w:r>
          </w:p>
        </w:tc>
        <w:tc>
          <w:tcPr>
            <w:tcW w:w="4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717500.00 </w:t>
            </w: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43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标段12  无人机激光雷达巡检服务（一）</w:t>
            </w:r>
          </w:p>
        </w:tc>
        <w:tc>
          <w:tcPr>
            <w:tcW w:w="9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杭锦供电公司无人机激光雷达巡检服务（含红外测温）</w:t>
            </w:r>
          </w:p>
        </w:tc>
        <w:tc>
          <w:tcPr>
            <w:tcW w:w="7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无人机激光雷达巡检服务（含红外测温）304.347公里</w:t>
            </w:r>
          </w:p>
        </w:tc>
        <w:tc>
          <w:tcPr>
            <w:tcW w:w="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1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3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700000.00 </w:t>
            </w:r>
          </w:p>
        </w:tc>
        <w:tc>
          <w:tcPr>
            <w:tcW w:w="4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700000.00 </w:t>
            </w: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生产技术部</w:t>
            </w:r>
          </w:p>
        </w:tc>
        <w:tc>
          <w:tcPr>
            <w:tcW w:w="2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合同签订后至2024年12.31日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中小修</w:t>
            </w:r>
          </w:p>
        </w:tc>
        <w:tc>
          <w:tcPr>
            <w:tcW w:w="38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标段12-15限中1个标段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43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9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乌审供电公司无人机激光雷达巡检服务（含红外测温）</w:t>
            </w:r>
          </w:p>
        </w:tc>
        <w:tc>
          <w:tcPr>
            <w:tcW w:w="7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无人机激光雷达巡检服务（含红外测温）304.347公里</w:t>
            </w:r>
          </w:p>
        </w:tc>
        <w:tc>
          <w:tcPr>
            <w:tcW w:w="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1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3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700000.00 </w:t>
            </w:r>
          </w:p>
        </w:tc>
        <w:tc>
          <w:tcPr>
            <w:tcW w:w="4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700000.00 </w:t>
            </w: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生产技术部</w:t>
            </w:r>
          </w:p>
        </w:tc>
        <w:tc>
          <w:tcPr>
            <w:tcW w:w="2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合同签订后至2024年12.31日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中小修</w:t>
            </w:r>
          </w:p>
        </w:tc>
        <w:tc>
          <w:tcPr>
            <w:tcW w:w="3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2852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小计</w:t>
            </w:r>
          </w:p>
        </w:tc>
        <w:tc>
          <w:tcPr>
            <w:tcW w:w="4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1400000.00 </w:t>
            </w: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43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标段13  无人机激光雷达巡检服务（二）</w:t>
            </w:r>
          </w:p>
        </w:tc>
        <w:tc>
          <w:tcPr>
            <w:tcW w:w="9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东胜供电公司无人机激光雷达巡检服务（含红外测温）</w:t>
            </w:r>
          </w:p>
        </w:tc>
        <w:tc>
          <w:tcPr>
            <w:tcW w:w="7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激光雷达巡检服务（含红外测温）336.608公里</w:t>
            </w:r>
          </w:p>
        </w:tc>
        <w:tc>
          <w:tcPr>
            <w:tcW w:w="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1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3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774200.00 </w:t>
            </w:r>
          </w:p>
        </w:tc>
        <w:tc>
          <w:tcPr>
            <w:tcW w:w="4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774200.00 </w:t>
            </w: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生产技术部</w:t>
            </w:r>
          </w:p>
        </w:tc>
        <w:tc>
          <w:tcPr>
            <w:tcW w:w="2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合同签订后至2024年12.31日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中小修</w:t>
            </w:r>
          </w:p>
        </w:tc>
        <w:tc>
          <w:tcPr>
            <w:tcW w:w="38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标段12-15限中1个标段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43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9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伊金霍洛供电公司无人机激光雷达巡检服务（含红外测温）</w:t>
            </w:r>
          </w:p>
        </w:tc>
        <w:tc>
          <w:tcPr>
            <w:tcW w:w="7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无人机激光雷达巡检服务（含红外测温）243.478公里</w:t>
            </w:r>
          </w:p>
        </w:tc>
        <w:tc>
          <w:tcPr>
            <w:tcW w:w="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1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3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560000.00 </w:t>
            </w:r>
          </w:p>
        </w:tc>
        <w:tc>
          <w:tcPr>
            <w:tcW w:w="4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560000.00 </w:t>
            </w: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生产技术部</w:t>
            </w:r>
          </w:p>
        </w:tc>
        <w:tc>
          <w:tcPr>
            <w:tcW w:w="2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合同签订后至2024年12.31日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中小修</w:t>
            </w:r>
          </w:p>
        </w:tc>
        <w:tc>
          <w:tcPr>
            <w:tcW w:w="3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2852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小计</w:t>
            </w:r>
          </w:p>
        </w:tc>
        <w:tc>
          <w:tcPr>
            <w:tcW w:w="4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1334200.00 </w:t>
            </w: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43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标段14  无人机激光雷达巡检服务（三）</w:t>
            </w:r>
          </w:p>
        </w:tc>
        <w:tc>
          <w:tcPr>
            <w:tcW w:w="9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棋盘井供电公司无人机激光雷达巡检服务（含红外测温）</w:t>
            </w:r>
          </w:p>
        </w:tc>
        <w:tc>
          <w:tcPr>
            <w:tcW w:w="7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无人机激光雷达巡检服务（含红外测温）60.869公里</w:t>
            </w:r>
          </w:p>
        </w:tc>
        <w:tc>
          <w:tcPr>
            <w:tcW w:w="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1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3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140000.00 </w:t>
            </w:r>
          </w:p>
        </w:tc>
        <w:tc>
          <w:tcPr>
            <w:tcW w:w="4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140000.00 </w:t>
            </w: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生产技术部</w:t>
            </w:r>
          </w:p>
        </w:tc>
        <w:tc>
          <w:tcPr>
            <w:tcW w:w="2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合同签订后至2024年12.31日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中小修</w:t>
            </w:r>
          </w:p>
        </w:tc>
        <w:tc>
          <w:tcPr>
            <w:tcW w:w="38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标段12-15限中1个标段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43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9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鄂托克供电公司无人机激光雷达巡检服务（含红外测温）</w:t>
            </w:r>
          </w:p>
        </w:tc>
        <w:tc>
          <w:tcPr>
            <w:tcW w:w="7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激光雷达巡检服务（含红外测温）365.217公里</w:t>
            </w:r>
          </w:p>
        </w:tc>
        <w:tc>
          <w:tcPr>
            <w:tcW w:w="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1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3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840000.00 </w:t>
            </w:r>
          </w:p>
        </w:tc>
        <w:tc>
          <w:tcPr>
            <w:tcW w:w="4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840000.00 </w:t>
            </w: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生产技术部</w:t>
            </w:r>
          </w:p>
        </w:tc>
        <w:tc>
          <w:tcPr>
            <w:tcW w:w="2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合同签订后至2024年12.31日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中小修</w:t>
            </w:r>
          </w:p>
        </w:tc>
        <w:tc>
          <w:tcPr>
            <w:tcW w:w="3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2852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小计</w:t>
            </w:r>
          </w:p>
        </w:tc>
        <w:tc>
          <w:tcPr>
            <w:tcW w:w="4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980000.00 </w:t>
            </w: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标段15  无人机激光雷达巡检服务（四）</w:t>
            </w:r>
          </w:p>
        </w:tc>
        <w:tc>
          <w:tcPr>
            <w:tcW w:w="9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鄂托克前旗供电公司无人机激光雷达巡检服务（含红外测温）</w:t>
            </w:r>
          </w:p>
        </w:tc>
        <w:tc>
          <w:tcPr>
            <w:tcW w:w="7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激光雷达巡检服务（含红外测温）365.217公里</w:t>
            </w:r>
          </w:p>
        </w:tc>
        <w:tc>
          <w:tcPr>
            <w:tcW w:w="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1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3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840000.00 </w:t>
            </w:r>
          </w:p>
        </w:tc>
        <w:tc>
          <w:tcPr>
            <w:tcW w:w="4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840000.00 </w:t>
            </w: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生产技术部</w:t>
            </w:r>
          </w:p>
        </w:tc>
        <w:tc>
          <w:tcPr>
            <w:tcW w:w="2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合同签订后至2024年12.31日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中小修</w:t>
            </w: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标段12-15限中1个标段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2852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小计</w:t>
            </w:r>
          </w:p>
        </w:tc>
        <w:tc>
          <w:tcPr>
            <w:tcW w:w="4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840000.00 </w:t>
            </w: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标段16  在线监督模块升级改造</w:t>
            </w:r>
          </w:p>
        </w:tc>
        <w:tc>
          <w:tcPr>
            <w:tcW w:w="9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在线监督模块升级改造</w:t>
            </w:r>
          </w:p>
        </w:tc>
        <w:tc>
          <w:tcPr>
            <w:tcW w:w="7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一岗双责在线监督模块升级改造，优化流程，添加政治生态预警功能</w:t>
            </w:r>
          </w:p>
        </w:tc>
        <w:tc>
          <w:tcPr>
            <w:tcW w:w="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1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3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50000.00 </w:t>
            </w:r>
          </w:p>
        </w:tc>
        <w:tc>
          <w:tcPr>
            <w:tcW w:w="4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50000.00 </w:t>
            </w: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纪检监察部</w:t>
            </w:r>
          </w:p>
        </w:tc>
        <w:tc>
          <w:tcPr>
            <w:tcW w:w="2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合同签订后至2024-09-30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党建活动经费</w:t>
            </w: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2852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小计</w:t>
            </w:r>
          </w:p>
        </w:tc>
        <w:tc>
          <w:tcPr>
            <w:tcW w:w="4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50000.00 </w:t>
            </w: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</w:trPr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标段17  自营充电设施建设选址合理性论证及可行性分析</w:t>
            </w:r>
          </w:p>
        </w:tc>
        <w:tc>
          <w:tcPr>
            <w:tcW w:w="9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自营充电设施建设选址合理性论证及可行性分析</w:t>
            </w:r>
          </w:p>
        </w:tc>
        <w:tc>
          <w:tcPr>
            <w:tcW w:w="7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自营充电设施建设选址合理性论证及可行性分析</w:t>
            </w:r>
          </w:p>
        </w:tc>
        <w:tc>
          <w:tcPr>
            <w:tcW w:w="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1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3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500000.00 </w:t>
            </w:r>
          </w:p>
        </w:tc>
        <w:tc>
          <w:tcPr>
            <w:tcW w:w="4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500000.00 </w:t>
            </w: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营销服务部</w:t>
            </w:r>
          </w:p>
        </w:tc>
        <w:tc>
          <w:tcPr>
            <w:tcW w:w="2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合同签订后至2024-12-31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中介费</w:t>
            </w: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2852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小计</w:t>
            </w:r>
          </w:p>
        </w:tc>
        <w:tc>
          <w:tcPr>
            <w:tcW w:w="4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500000.00 </w:t>
            </w: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43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标段18  新闻公告技术支持及运维</w:t>
            </w:r>
          </w:p>
        </w:tc>
        <w:tc>
          <w:tcPr>
            <w:tcW w:w="95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鄂电之声新闻公告技术支持</w:t>
            </w:r>
          </w:p>
        </w:tc>
        <w:tc>
          <w:tcPr>
            <w:tcW w:w="7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技术支持及系统运维</w:t>
            </w:r>
          </w:p>
        </w:tc>
        <w:tc>
          <w:tcPr>
            <w:tcW w:w="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1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3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85000.00 </w:t>
            </w:r>
          </w:p>
        </w:tc>
        <w:tc>
          <w:tcPr>
            <w:tcW w:w="4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85000.00 </w:t>
            </w:r>
          </w:p>
        </w:tc>
        <w:tc>
          <w:tcPr>
            <w:tcW w:w="31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新闻文化中心</w:t>
            </w:r>
          </w:p>
        </w:tc>
        <w:tc>
          <w:tcPr>
            <w:tcW w:w="23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45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合同签订之日后一年</w:t>
            </w:r>
          </w:p>
        </w:tc>
        <w:tc>
          <w:tcPr>
            <w:tcW w:w="33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党建工作经费</w:t>
            </w:r>
          </w:p>
        </w:tc>
        <w:tc>
          <w:tcPr>
            <w:tcW w:w="38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43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95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7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内存及流量使用</w:t>
            </w:r>
          </w:p>
        </w:tc>
        <w:tc>
          <w:tcPr>
            <w:tcW w:w="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1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3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35000.00 </w:t>
            </w:r>
          </w:p>
        </w:tc>
        <w:tc>
          <w:tcPr>
            <w:tcW w:w="4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35000.00 </w:t>
            </w:r>
          </w:p>
        </w:tc>
        <w:tc>
          <w:tcPr>
            <w:tcW w:w="31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3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45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33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3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2852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小计</w:t>
            </w:r>
          </w:p>
        </w:tc>
        <w:tc>
          <w:tcPr>
            <w:tcW w:w="4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120000.00 </w:t>
            </w: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</w:trPr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标段19  基于多维度数据挖潜的配网可靠性综合评价体系研究</w:t>
            </w:r>
          </w:p>
        </w:tc>
        <w:tc>
          <w:tcPr>
            <w:tcW w:w="9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基于多维度数据挖潜的配网可靠性综合评价体系研究</w:t>
            </w:r>
          </w:p>
        </w:tc>
        <w:tc>
          <w:tcPr>
            <w:tcW w:w="7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详见服务说明</w:t>
            </w:r>
          </w:p>
        </w:tc>
        <w:tc>
          <w:tcPr>
            <w:tcW w:w="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1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3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500000.00 </w:t>
            </w:r>
          </w:p>
        </w:tc>
        <w:tc>
          <w:tcPr>
            <w:tcW w:w="4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500000.00 </w:t>
            </w: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生产技术部</w:t>
            </w:r>
          </w:p>
        </w:tc>
        <w:tc>
          <w:tcPr>
            <w:tcW w:w="2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合同签订后至2024-12-31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中介费</w:t>
            </w: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2852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小计</w:t>
            </w:r>
          </w:p>
        </w:tc>
        <w:tc>
          <w:tcPr>
            <w:tcW w:w="4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500000.00 </w:t>
            </w: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标段20  新媒体平台运维</w:t>
            </w:r>
          </w:p>
        </w:tc>
        <w:tc>
          <w:tcPr>
            <w:tcW w:w="9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鄂尔多斯供电公司新媒体平台运维项目</w:t>
            </w:r>
          </w:p>
        </w:tc>
        <w:tc>
          <w:tcPr>
            <w:tcW w:w="7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详见服务说明</w:t>
            </w:r>
          </w:p>
        </w:tc>
        <w:tc>
          <w:tcPr>
            <w:tcW w:w="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1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3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120000.00 </w:t>
            </w:r>
          </w:p>
        </w:tc>
        <w:tc>
          <w:tcPr>
            <w:tcW w:w="4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120000.00 </w:t>
            </w: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新闻文化中心</w:t>
            </w:r>
          </w:p>
        </w:tc>
        <w:tc>
          <w:tcPr>
            <w:tcW w:w="2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合同签订之日后一年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广告宣传费</w:t>
            </w: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2852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小计</w:t>
            </w:r>
          </w:p>
        </w:tc>
        <w:tc>
          <w:tcPr>
            <w:tcW w:w="4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120000.00 </w:t>
            </w: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</w:trPr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标段21  数字智管平台升级</w:t>
            </w:r>
          </w:p>
        </w:tc>
        <w:tc>
          <w:tcPr>
            <w:tcW w:w="9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数字智管平台升级</w:t>
            </w:r>
          </w:p>
        </w:tc>
        <w:tc>
          <w:tcPr>
            <w:tcW w:w="7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详见服务技术规范</w:t>
            </w:r>
          </w:p>
        </w:tc>
        <w:tc>
          <w:tcPr>
            <w:tcW w:w="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1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3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60000.00 </w:t>
            </w:r>
          </w:p>
        </w:tc>
        <w:tc>
          <w:tcPr>
            <w:tcW w:w="4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60000.00 </w:t>
            </w: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数字化部</w:t>
            </w:r>
          </w:p>
        </w:tc>
        <w:tc>
          <w:tcPr>
            <w:tcW w:w="2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2024-06-01至2024-09-30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管理信息系统维护费</w:t>
            </w: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2852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小计</w:t>
            </w:r>
          </w:p>
        </w:tc>
        <w:tc>
          <w:tcPr>
            <w:tcW w:w="4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60000.00 </w:t>
            </w: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标段22  信息网络安全技术服务</w:t>
            </w:r>
          </w:p>
        </w:tc>
        <w:tc>
          <w:tcPr>
            <w:tcW w:w="9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信息网络安全技术服务</w:t>
            </w:r>
          </w:p>
        </w:tc>
        <w:tc>
          <w:tcPr>
            <w:tcW w:w="7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详见明细</w:t>
            </w:r>
          </w:p>
        </w:tc>
        <w:tc>
          <w:tcPr>
            <w:tcW w:w="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1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3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800000.00 </w:t>
            </w:r>
          </w:p>
        </w:tc>
        <w:tc>
          <w:tcPr>
            <w:tcW w:w="4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800000.00 </w:t>
            </w: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数字化部</w:t>
            </w:r>
          </w:p>
        </w:tc>
        <w:tc>
          <w:tcPr>
            <w:tcW w:w="2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合同签订之日后一年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管理信息系统维护费</w:t>
            </w: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2852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小计</w:t>
            </w:r>
          </w:p>
        </w:tc>
        <w:tc>
          <w:tcPr>
            <w:tcW w:w="4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800000.00 </w:t>
            </w: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0" w:hRule="atLeast"/>
        </w:trPr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标段23  取水论证</w:t>
            </w:r>
          </w:p>
        </w:tc>
        <w:tc>
          <w:tcPr>
            <w:tcW w:w="9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按照相关要求，从国家和地方产业政策、项目的用水方式、用水工艺特点及节水措施等方面，分析论证万成功220kV变电站用水的合理性，提出该项目的节水措施方案，在此基础上核定本项目的合理取用水量。</w:t>
            </w:r>
          </w:p>
        </w:tc>
        <w:tc>
          <w:tcPr>
            <w:tcW w:w="7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按照相关要求，从国家和地方产业政策、项目的用水方式、用水工艺特点及节水措施等方面，分析论证万成功220kV变电站用水的合理性，提出该项目的节水措施方案，在此基础上核定本项目的合理取用水量。</w:t>
            </w:r>
          </w:p>
        </w:tc>
        <w:tc>
          <w:tcPr>
            <w:tcW w:w="1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1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3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40000.00 </w:t>
            </w:r>
          </w:p>
        </w:tc>
        <w:tc>
          <w:tcPr>
            <w:tcW w:w="4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40000.00 </w:t>
            </w: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变电管理二处</w:t>
            </w:r>
          </w:p>
        </w:tc>
        <w:tc>
          <w:tcPr>
            <w:tcW w:w="2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合同签订后30天内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中介费</w:t>
            </w: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2852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小计</w:t>
            </w:r>
          </w:p>
        </w:tc>
        <w:tc>
          <w:tcPr>
            <w:tcW w:w="4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40000.00 </w:t>
            </w: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</w:tbl>
    <w:p>
      <w:pPr>
        <w:spacing w:line="360" w:lineRule="auto"/>
        <w:jc w:val="left"/>
        <w:rPr>
          <w:rFonts w:hint="eastAsia" w:ascii="仿宋" w:hAnsi="仿宋" w:eastAsia="仿宋" w:cs="仿宋"/>
          <w:b/>
          <w:sz w:val="28"/>
          <w:szCs w:val="28"/>
          <w:highlight w:val="none"/>
        </w:rPr>
        <w:sectPr>
          <w:footerReference r:id="rId3" w:type="default"/>
          <w:pgSz w:w="16838" w:h="11905" w:orient="landscape"/>
          <w:pgMar w:top="1417" w:right="1701" w:bottom="1417" w:left="1701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titlePg/>
          <w:rtlGutter w:val="0"/>
          <w:docGrid w:type="lines" w:linePitch="328" w:charSpace="0"/>
        </w:sectPr>
      </w:pPr>
    </w:p>
    <w:p>
      <w:pPr>
        <w:pStyle w:val="14"/>
        <w:tabs>
          <w:tab w:val="center" w:pos="4201"/>
          <w:tab w:val="right" w:leader="dot" w:pos="9298"/>
          <w:tab w:val="clear" w:pos="1262"/>
          <w:tab w:val="clear" w:pos="1860"/>
        </w:tabs>
        <w:spacing w:line="360" w:lineRule="auto"/>
        <w:ind w:left="0" w:leftChars="0" w:firstLine="0" w:firstLineChars="0"/>
        <w:jc w:val="both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t>标段22  信息网络安全技术服务分项报价：</w:t>
      </w:r>
    </w:p>
    <w:tbl>
      <w:tblPr>
        <w:tblStyle w:val="11"/>
        <w:tblW w:w="8249" w:type="dxa"/>
        <w:tblInd w:w="9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9"/>
        <w:gridCol w:w="4510"/>
        <w:gridCol w:w="314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4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服务项</w:t>
            </w:r>
          </w:p>
        </w:tc>
        <w:tc>
          <w:tcPr>
            <w:tcW w:w="3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最高限价(单位:元)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人员驻场服务</w:t>
            </w:r>
          </w:p>
        </w:tc>
        <w:tc>
          <w:tcPr>
            <w:tcW w:w="3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lang w:bidi="ar"/>
              </w:rPr>
              <w:t>180000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4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日常安全运维服务</w:t>
            </w:r>
          </w:p>
        </w:tc>
        <w:tc>
          <w:tcPr>
            <w:tcW w:w="3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40000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4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自建业务系统防护服务</w:t>
            </w:r>
          </w:p>
        </w:tc>
        <w:tc>
          <w:tcPr>
            <w:tcW w:w="3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150000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4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安全策略有效性验证服务</w:t>
            </w:r>
          </w:p>
        </w:tc>
        <w:tc>
          <w:tcPr>
            <w:tcW w:w="3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40000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4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漏洞扫描及弱口令检测服务</w:t>
            </w:r>
          </w:p>
        </w:tc>
        <w:tc>
          <w:tcPr>
            <w:tcW w:w="3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120000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4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网络安全应急响应服务</w:t>
            </w:r>
          </w:p>
        </w:tc>
        <w:tc>
          <w:tcPr>
            <w:tcW w:w="3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4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协助安全加固服务</w:t>
            </w:r>
          </w:p>
        </w:tc>
        <w:tc>
          <w:tcPr>
            <w:tcW w:w="3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18000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4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重大活动保障支撑服务</w:t>
            </w:r>
          </w:p>
        </w:tc>
        <w:tc>
          <w:tcPr>
            <w:tcW w:w="3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100000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4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网络安全培训服务</w:t>
            </w:r>
          </w:p>
        </w:tc>
        <w:tc>
          <w:tcPr>
            <w:tcW w:w="3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40000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4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应急演练服务</w:t>
            </w:r>
          </w:p>
        </w:tc>
        <w:tc>
          <w:tcPr>
            <w:tcW w:w="3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4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无线安全审计服务</w:t>
            </w:r>
          </w:p>
        </w:tc>
        <w:tc>
          <w:tcPr>
            <w:tcW w:w="3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4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终端安全专项检测服务</w:t>
            </w:r>
          </w:p>
        </w:tc>
        <w:tc>
          <w:tcPr>
            <w:tcW w:w="3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80000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510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合计</w:t>
            </w:r>
          </w:p>
        </w:tc>
        <w:tc>
          <w:tcPr>
            <w:tcW w:w="3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800000</w:t>
            </w:r>
          </w:p>
        </w:tc>
      </w:tr>
    </w:tbl>
    <w:p>
      <w:pPr>
        <w:pStyle w:val="14"/>
        <w:tabs>
          <w:tab w:val="center" w:pos="4201"/>
          <w:tab w:val="right" w:leader="dot" w:pos="9298"/>
          <w:tab w:val="clear" w:pos="1262"/>
          <w:tab w:val="clear" w:pos="1860"/>
        </w:tabs>
        <w:spacing w:line="360" w:lineRule="auto"/>
        <w:ind w:left="0" w:leftChars="0" w:firstLine="0" w:firstLineChars="0"/>
        <w:jc w:val="both"/>
        <w:rPr>
          <w:rFonts w:hint="default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sectPr>
          <w:pgSz w:w="11906" w:h="16838"/>
          <w:pgMar w:top="1800" w:right="1440" w:bottom="1800" w:left="144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rPr>
          <w:rFonts w:hint="eastAsia"/>
        </w:rPr>
      </w:pPr>
      <w:r>
        <w:rPr>
          <w:rFonts w:hint="eastAsia"/>
        </w:rPr>
        <w:t>附件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：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  <w:t>《响应真实性承诺书》</w:t>
      </w:r>
    </w:p>
    <w:p>
      <w:pPr>
        <w:pStyle w:val="10"/>
        <w:spacing w:line="360" w:lineRule="auto"/>
        <w:rPr>
          <w:rFonts w:hint="eastAsia" w:ascii="仿宋" w:hAnsi="仿宋" w:eastAsia="仿宋" w:cs="仿宋"/>
          <w:highlight w:val="none"/>
        </w:rPr>
      </w:pPr>
    </w:p>
    <w:p>
      <w:pPr>
        <w:adjustRightInd w:val="0"/>
        <w:snapToGrid w:val="0"/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内蒙古电力（集团）有限责任公司鄂尔多斯供电分公司物资供应处：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我公司参与贵公司组织采购的</w:t>
      </w:r>
      <w:r>
        <w:rPr>
          <w:rFonts w:hint="eastAsia" w:ascii="仿宋" w:hAnsi="仿宋" w:eastAsia="仿宋" w:cs="仿宋"/>
          <w:sz w:val="24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sz w:val="24"/>
          <w:highlight w:val="none"/>
        </w:rPr>
        <w:t>（项目名称），我公司承诺所提交的材料、响应文件表述、响应文件内容是真实有效的。如有不实，则违反“诚实信用”原则，我公司承担由此引发的所有责任。</w:t>
      </w:r>
    </w:p>
    <w:p>
      <w:pPr>
        <w:adjustRightInd w:val="0"/>
        <w:snapToGrid w:val="0"/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</w:p>
    <w:p>
      <w:pPr>
        <w:adjustRightInd w:val="0"/>
        <w:snapToGrid w:val="0"/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</w:p>
    <w:tbl>
      <w:tblPr>
        <w:tblStyle w:val="12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>供 应 商：                      （盖单位章）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>法定代表人或其委托代理人：          （签字）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wordWrap w:val="0"/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 xml:space="preserve">地址：    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 xml:space="preserve">电话：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 xml:space="preserve">        年        月        日</w:t>
            </w:r>
          </w:p>
        </w:tc>
      </w:tr>
    </w:tbl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br w:type="page"/>
      </w:r>
    </w:p>
    <w:p>
      <w:pPr>
        <w:spacing w:line="360" w:lineRule="auto"/>
        <w:jc w:val="left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eastAsia="zh-CN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附件：</w:t>
      </w:r>
      <w:r>
        <w:rPr>
          <w:rFonts w:hint="eastAsia" w:ascii="仿宋" w:hAnsi="仿宋" w:eastAsia="仿宋" w:cs="仿宋"/>
          <w:b/>
          <w:sz w:val="28"/>
          <w:szCs w:val="28"/>
          <w:highlight w:val="none"/>
          <w:lang w:val="en-US" w:eastAsia="zh-CN"/>
        </w:rPr>
        <w:t>2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  <w:t>法定代表人资格证明</w:t>
      </w:r>
    </w:p>
    <w:p>
      <w:pPr>
        <w:autoSpaceDE w:val="0"/>
        <w:autoSpaceDN w:val="0"/>
        <w:spacing w:line="360" w:lineRule="auto"/>
        <w:jc w:val="center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highlight w:val="none"/>
        </w:rPr>
        <w:t>（适用于无代理人的情况）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spacing w:val="6"/>
          <w:sz w:val="24"/>
          <w:highlight w:val="none"/>
        </w:rPr>
        <w:t>企业（供应商）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名称：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单位性质：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spacing w:val="6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spacing w:val="6"/>
          <w:sz w:val="24"/>
          <w:highlight w:val="none"/>
        </w:rPr>
        <w:t>地    址：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成立时间：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 xml:space="preserve"> 年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月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日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经营期限：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姓名：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性别：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年龄：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职务：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系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的法定代表人。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附：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法定代表人居民身份证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正反面扫描件</w:t>
      </w:r>
    </w:p>
    <w:tbl>
      <w:tblPr>
        <w:tblStyle w:val="11"/>
        <w:tblpPr w:leftFromText="180" w:rightFromText="180" w:vertAnchor="text" w:horzAnchor="margin" w:tblpXSpec="center" w:tblpY="1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41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3960" w:type="dxa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  <w:tc>
          <w:tcPr>
            <w:tcW w:w="4140" w:type="dxa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</w:tr>
    </w:tbl>
    <w:p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</w:p>
    <w:p>
      <w:pPr>
        <w:autoSpaceDE w:val="0"/>
        <w:autoSpaceDN w:val="0"/>
        <w:adjustRightInd w:val="0"/>
        <w:snapToGrid w:val="0"/>
        <w:spacing w:line="360" w:lineRule="auto"/>
        <w:ind w:firstLine="360" w:firstLineChars="150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特此证明。</w:t>
      </w:r>
    </w:p>
    <w:p>
      <w:pPr>
        <w:autoSpaceDE w:val="0"/>
        <w:autoSpaceDN w:val="0"/>
        <w:adjustRightInd w:val="0"/>
        <w:snapToGrid w:val="0"/>
        <w:spacing w:line="360" w:lineRule="auto"/>
        <w:jc w:val="righ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法定代表人：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（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签字/签章）</w:t>
      </w:r>
    </w:p>
    <w:p>
      <w:pPr>
        <w:autoSpaceDE w:val="0"/>
        <w:autoSpaceDN w:val="0"/>
        <w:adjustRightInd w:val="0"/>
        <w:snapToGrid w:val="0"/>
        <w:spacing w:line="360" w:lineRule="auto"/>
        <w:jc w:val="righ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供应商：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 xml:space="preserve"> （加盖单位公章）</w:t>
      </w:r>
    </w:p>
    <w:p>
      <w:pPr>
        <w:autoSpaceDE w:val="0"/>
        <w:autoSpaceDN w:val="0"/>
        <w:adjustRightInd w:val="0"/>
        <w:snapToGrid w:val="0"/>
        <w:spacing w:line="360" w:lineRule="auto"/>
        <w:ind w:firstLine="5160" w:firstLineChars="2150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年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月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日</w:t>
      </w:r>
    </w:p>
    <w:p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br w:type="page"/>
      </w:r>
      <w:r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  <w:t>法人代表授权委托书</w:t>
      </w:r>
    </w:p>
    <w:p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t>（适用于有委托代理人的情况）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本人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（姓名）系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（供应商名称）的法定代表人（单位负责人），现委托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（姓名）为我方代理人。代理人根据授权，以我方名义签署、澄清、说明、补正、递交、撤回、修改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（项目名称）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(项目编号)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(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XXX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标段)响应文件、签订合同和处理有关事宜，其法律后果由我方承担。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120"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委托期限：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。（可参考：自本委托书签署之日起至响应文件有效期满）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240" w:after="240"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 xml:space="preserve">代理人无转委托权。                          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附：法定代表人（单位负责人）身份证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135380"/>
                <wp:effectExtent l="4445" t="4445" r="16510" b="18415"/>
                <wp:wrapNone/>
                <wp:docPr id="3" name="圆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353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ind w:left="0" w:leftChars="0" w:firstLine="0" w:firstLineChars="0"/>
                              <w:jc w:val="both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4" o:spid="_x0000_s1026" o:spt="2" style="position:absolute;left:0pt;margin-left:211.9pt;margin-top:8.55pt;height:89.4pt;width:186.75pt;z-index:251659264;mso-width-relative:page;mso-height-relative:page;" fillcolor="#FFFFFF" filled="t" stroked="t" coordsize="21600,21600" arcsize="0" o:gfxdata="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Nk9TlnaAAAACgEAAA8AAAAAAAAAAQAgAAAAIgAAAGRycy9kb3du&#10;cmV2LnhtbFBLAQIUABQAAAAIAIdO4kBd7FHcNgIAAHcEAAAOAAAAAAAAAAEAIAAAACkBAABkcnMv&#10;ZTJvRG9jLnhtbFBLBQYAAAAABgAGAFkBAADR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ind w:left="0" w:leftChars="0" w:firstLine="0" w:firstLineChars="0"/>
                        <w:jc w:val="both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144905"/>
                <wp:effectExtent l="4445" t="4445" r="16510" b="8890"/>
                <wp:wrapNone/>
                <wp:docPr id="5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4490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ind w:left="0" w:leftChars="0" w:firstLine="0" w:firstLineChars="0"/>
                              <w:jc w:val="both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90.15pt;width:186.75pt;z-index:251660288;mso-width-relative:page;mso-height-relative:page;" fillcolor="#FFFFFF" filled="t" stroked="t" coordsize="21600,21600" arcsize="0" o:gfxdata="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bMzMdgAAAAJAQAADwAAAAAAAAABACAAAAAiAAAAZHJzL2Rvd25y&#10;ZXYueG1sUEsBAhQAFAAAAAgAh07iQOG39bs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ind w:left="0" w:leftChars="0" w:firstLine="0" w:firstLineChars="0"/>
                        <w:jc w:val="both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附：委托代理人身份证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982980"/>
                <wp:effectExtent l="4445" t="4445" r="16510" b="18415"/>
                <wp:wrapNone/>
                <wp:docPr id="8" name="圆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829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6" o:spid="_x0000_s1026" o:spt="2" style="position:absolute;left:0pt;margin-left:214.2pt;margin-top:18.65pt;height:77.4pt;width:186.75pt;z-index:251661312;mso-width-relative:page;mso-height-relative:page;" fillcolor="#FFFFFF" filled="t" stroked="t" coordsize="21600,21600" arcsize="0" o:gfxdata="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k3MoF2gAAAAoBAAAPAAAAAAAAAAEAIAAAACIAAABkcnMvZG93bnJl&#10;di54bWxQSwECFAAUAAAACACHTuJACn5RdDQCAAB2BAAADgAAAAAAAAABACAAAAApAQAAZHJzL2Uy&#10;b0RvYy54bWxQSwUGAAAAAAYABgBZAQAAzw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jc w:val="center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016635"/>
                <wp:effectExtent l="4445" t="4445" r="16510" b="15240"/>
                <wp:wrapNone/>
                <wp:docPr id="9" name="圆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01663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7" o:spid="_x0000_s1026" o:spt="2" style="position:absolute;left:0pt;margin-left:18.45pt;margin-top:18.65pt;height:80.05pt;width:186.75pt;z-index:251662336;mso-width-relative:page;mso-height-relative:page;" fillcolor="#FFFFFF" filled="t" stroked="t" coordsize="21600,21600" arcsize="0" o:gfxdata="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WwEvNgAAAAJAQAADwAAAAAAAAABACAAAAAiAAAAZHJzL2Rvd25y&#10;ZXYueG1sUEsBAhQAFAAAAAgAh07iQEeuSCM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供应商：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（盖章）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法定代表人（单位负责人）：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（签字或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签章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身份证号码：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委托代理人：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签字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身份证号码：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联 系 方式：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 xml:space="preserve"> </w:t>
      </w:r>
    </w:p>
    <w:p>
      <w:pPr>
        <w:autoSpaceDE w:val="0"/>
        <w:autoSpaceDN w:val="0"/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年   月   日</w:t>
      </w:r>
    </w:p>
    <w:p>
      <w:pPr>
        <w:pStyle w:val="10"/>
        <w:spacing w:line="360" w:lineRule="auto"/>
        <w:ind w:left="0" w:leftChars="0" w:firstLine="0" w:firstLineChars="0"/>
        <w:rPr>
          <w:rFonts w:hint="eastAsia"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附件</w:t>
      </w:r>
      <w:r>
        <w:rPr>
          <w:rFonts w:hint="eastAsia" w:ascii="仿宋" w:hAnsi="仿宋" w:eastAsia="仿宋" w:cs="仿宋"/>
          <w:b/>
          <w:sz w:val="28"/>
          <w:szCs w:val="28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：</w:t>
      </w:r>
    </w:p>
    <w:p>
      <w:pPr>
        <w:spacing w:line="360" w:lineRule="auto"/>
        <w:rPr>
          <w:rFonts w:hint="eastAsia" w:ascii="仿宋" w:hAnsi="仿宋" w:eastAsia="仿宋" w:cs="仿宋"/>
          <w:b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highlight w:val="none"/>
        </w:rPr>
        <w:t>（一）信用中国查询方式或下载信用报告</w:t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1、国家信息中心主办“信用中国”网站地址：</w:t>
      </w:r>
      <w:r>
        <w:rPr>
          <w:rFonts w:hint="eastAsia" w:ascii="仿宋" w:hAnsi="仿宋" w:eastAsia="仿宋" w:cs="仿宋"/>
          <w:highlight w:val="none"/>
        </w:rPr>
        <w:fldChar w:fldCharType="begin"/>
      </w:r>
      <w:r>
        <w:rPr>
          <w:rFonts w:hint="eastAsia" w:ascii="仿宋" w:hAnsi="仿宋" w:eastAsia="仿宋" w:cs="仿宋"/>
          <w:highlight w:val="none"/>
        </w:rPr>
        <w:instrText xml:space="preserve"> HYPERLINK "http://www.creditchina.gov.cn打开网页后，点击" </w:instrText>
      </w:r>
      <w:r>
        <w:rPr>
          <w:rFonts w:hint="eastAsia" w:ascii="仿宋" w:hAnsi="仿宋" w:eastAsia="仿宋" w:cs="仿宋"/>
          <w:highlight w:val="none"/>
        </w:rPr>
        <w:fldChar w:fldCharType="separate"/>
      </w:r>
      <w:r>
        <w:rPr>
          <w:rFonts w:hint="eastAsia" w:ascii="仿宋" w:hAnsi="仿宋" w:eastAsia="仿宋" w:cs="仿宋"/>
          <w:sz w:val="24"/>
          <w:highlight w:val="none"/>
        </w:rPr>
        <w:t>http://www.creditchina.gov.cn打开网页后，点击“信用服务”。</w:t>
      </w:r>
      <w:r>
        <w:rPr>
          <w:rFonts w:hint="eastAsia" w:ascii="仿宋" w:hAnsi="仿宋" w:eastAsia="仿宋" w:cs="仿宋"/>
          <w:sz w:val="24"/>
          <w:highlight w:val="none"/>
        </w:rPr>
        <w:fldChar w:fldCharType="end"/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801995" cy="2755900"/>
            <wp:effectExtent l="0" t="0" r="444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0199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2、在以下页面中点击“失信被执行人”</w:t>
      </w:r>
    </w:p>
    <w:p>
      <w:pPr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</w:rPr>
        <w:sectPr>
          <w:pgSz w:w="11905" w:h="16838"/>
          <w:pgMar w:top="1701" w:right="1417" w:bottom="1701" w:left="1417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titlePg/>
          <w:rtlGutter w:val="0"/>
          <w:docGrid w:type="lines" w:linePitch="328" w:charSpace="0"/>
        </w:sect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855970" cy="3321050"/>
            <wp:effectExtent l="0" t="0" r="11430" b="1270"/>
            <wp:docPr id="4" name="图片 3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失信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597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3、在查询窗口输入查询企业名称，将查询结果截图</w:t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highlight w:val="none"/>
        </w:rPr>
      </w:pPr>
      <w:r>
        <w:drawing>
          <wp:inline distT="0" distB="0" distL="114300" distR="114300">
            <wp:extent cx="5754370" cy="3025775"/>
            <wp:effectExtent l="0" t="0" r="6350" b="698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bCs/>
          <w:sz w:val="24"/>
          <w:highlight w:val="none"/>
        </w:rPr>
        <w:t>（二）国家企业信用信息公示系统查询方式</w:t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1、登录“国家企业信用信息公示系统”网站地址：</w:t>
      </w:r>
      <w:r>
        <w:rPr>
          <w:rFonts w:hint="eastAsia" w:ascii="仿宋" w:hAnsi="仿宋" w:eastAsia="仿宋" w:cs="仿宋"/>
          <w:highlight w:val="none"/>
        </w:rPr>
        <w:fldChar w:fldCharType="begin"/>
      </w:r>
      <w:r>
        <w:rPr>
          <w:rFonts w:hint="eastAsia" w:ascii="仿宋" w:hAnsi="仿宋" w:eastAsia="仿宋" w:cs="仿宋"/>
          <w:highlight w:val="none"/>
        </w:rPr>
        <w:instrText xml:space="preserve"> HYPERLINK "http://www.gsxt.gov.cn/index.html" </w:instrText>
      </w:r>
      <w:r>
        <w:rPr>
          <w:rFonts w:hint="eastAsia" w:ascii="仿宋" w:hAnsi="仿宋" w:eastAsia="仿宋" w:cs="仿宋"/>
          <w:highlight w:val="none"/>
        </w:rPr>
        <w:fldChar w:fldCharType="separate"/>
      </w:r>
      <w:r>
        <w:rPr>
          <w:rFonts w:hint="eastAsia" w:ascii="仿宋" w:hAnsi="仿宋" w:eastAsia="仿宋" w:cs="仿宋"/>
          <w:sz w:val="24"/>
          <w:highlight w:val="none"/>
        </w:rPr>
        <w:t>http://www.gsxt.gov.cn/index.html</w:t>
      </w:r>
      <w:r>
        <w:rPr>
          <w:rFonts w:hint="eastAsia" w:ascii="仿宋" w:hAnsi="仿宋" w:eastAsia="仿宋" w:cs="仿宋"/>
          <w:sz w:val="24"/>
          <w:highlight w:val="none"/>
        </w:rPr>
        <w:fldChar w:fldCharType="end"/>
      </w:r>
      <w:r>
        <w:rPr>
          <w:rFonts w:hint="eastAsia" w:ascii="仿宋" w:hAnsi="仿宋" w:eastAsia="仿宋" w:cs="仿宋"/>
          <w:sz w:val="24"/>
          <w:highlight w:val="none"/>
        </w:rPr>
        <w:t>，在查询窗口输入企业名称，点击查询。</w:t>
      </w:r>
    </w:p>
    <w:p>
      <w:pPr>
        <w:spacing w:line="360" w:lineRule="auto"/>
        <w:jc w:val="center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570855" cy="3018155"/>
            <wp:effectExtent l="0" t="0" r="6985" b="14605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70855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0"/>
          <w:sz w:val="24"/>
          <w:highlight w:val="none"/>
        </w:rPr>
        <w:br w:type="page"/>
      </w:r>
    </w:p>
    <w:p>
      <w:pPr>
        <w:spacing w:line="360" w:lineRule="auto"/>
        <w:jc w:val="both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2、点击进入企业界面。</w:t>
      </w:r>
    </w:p>
    <w:p>
      <w:pPr>
        <w:spacing w:line="360" w:lineRule="auto"/>
        <w:ind w:right="-1029" w:rightChars="-490"/>
        <w:jc w:val="left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ind w:right="-1029" w:rightChars="-490"/>
        <w:rPr>
          <w:rFonts w:hint="eastAsia" w:ascii="仿宋" w:hAnsi="仿宋" w:eastAsia="仿宋" w:cs="仿宋"/>
          <w:bCs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713095" cy="2900680"/>
            <wp:effectExtent l="0" t="0" r="1905" b="1016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-1029" w:rightChars="-490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ind w:right="-1029" w:rightChars="-490"/>
        <w:jc w:val="left"/>
        <w:rPr>
          <w:rFonts w:hint="eastAsia" w:ascii="仿宋" w:hAnsi="仿宋" w:eastAsia="仿宋" w:cs="仿宋"/>
          <w:b/>
          <w:bCs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3、</w:t>
      </w:r>
      <w:r>
        <w:rPr>
          <w:rFonts w:hint="eastAsia" w:ascii="仿宋" w:hAnsi="仿宋" w:eastAsia="仿宋" w:cs="仿宋"/>
          <w:bCs/>
          <w:sz w:val="24"/>
          <w:highlight w:val="none"/>
        </w:rPr>
        <w:t>点击“列入严重违法失信企业名单（黑名单）信息”，查询后截图。</w:t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highlight w:val="none"/>
        </w:rPr>
        <w:sectPr>
          <w:footerReference r:id="rId6" w:type="first"/>
          <w:headerReference r:id="rId4" w:type="default"/>
          <w:footerReference r:id="rId5" w:type="default"/>
          <w:pgSz w:w="11905" w:h="16838"/>
          <w:pgMar w:top="1701" w:right="1417" w:bottom="1701" w:left="1417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titlePg/>
          <w:rtlGutter w:val="0"/>
          <w:docGrid w:type="lines" w:linePitch="328" w:charSpace="0"/>
        </w:sect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711825" cy="2983230"/>
            <wp:effectExtent l="0" t="0" r="3175" b="381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highlight w:val="none"/>
        </w:rPr>
        <w:t>（三）中国裁判文书网查询方式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、供应商查询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（2）在全文检索中输入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“行贿罪”</w:t>
      </w:r>
      <w:r>
        <w:rPr>
          <w:rFonts w:hint="eastAsia" w:ascii="仿宋" w:hAnsi="仿宋" w:eastAsia="仿宋" w:cs="仿宋"/>
          <w:bCs/>
          <w:sz w:val="24"/>
          <w:highlight w:val="none"/>
        </w:rPr>
        <w:t>，并选择“全文”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（3）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在“当事人”处输入供应商全称；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（4）在裁判日期选择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（5）截取成功截图如下（须截取到左上角的时间）。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drawing>
          <wp:inline distT="0" distB="0" distL="114300" distR="114300">
            <wp:extent cx="5488305" cy="3270885"/>
            <wp:effectExtent l="0" t="0" r="0" b="5715"/>
            <wp:docPr id="31" name="图片 3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 descr="截图"/>
                    <pic:cNvPicPr>
                      <a:picLocks noChangeAspect="1"/>
                    </pic:cNvPicPr>
                  </pic:nvPicPr>
                  <pic:blipFill>
                    <a:blip r:embed="rId16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br w:type="page"/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、企业法定代表人查询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（2）在全文检索中输入“行贿罪”，并选择“全文”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在“当事人”处输入企业法定代表人姓名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Cs/>
          <w:sz w:val="24"/>
          <w:highlight w:val="none"/>
        </w:rPr>
        <w:t>）在裁判日期选择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4</w:t>
      </w:r>
      <w:r>
        <w:rPr>
          <w:rFonts w:hint="eastAsia" w:ascii="仿宋" w:hAnsi="仿宋" w:eastAsia="仿宋" w:cs="仿宋"/>
          <w:bCs/>
          <w:sz w:val="24"/>
          <w:highlight w:val="none"/>
        </w:rPr>
        <w:t>）然后点击保存搜索条件；再次点击高级检索，在全文检索中输入供应商全称，并选择“全文”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5</w:t>
      </w:r>
      <w:r>
        <w:rPr>
          <w:rFonts w:hint="eastAsia" w:ascii="仿宋" w:hAnsi="仿宋" w:eastAsia="仿宋" w:cs="仿宋"/>
          <w:bCs/>
          <w:sz w:val="24"/>
          <w:highlight w:val="none"/>
        </w:rPr>
        <w:t>）截取成功截图如下（须截取到左上角的时间）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。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drawing>
          <wp:inline distT="0" distB="0" distL="114300" distR="114300">
            <wp:extent cx="5280660" cy="3390900"/>
            <wp:effectExtent l="0" t="0" r="7620" b="7620"/>
            <wp:docPr id="22" name="图片 4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 descr="图片1_副本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  <w:sz w:val="20"/>
        </w:rPr>
        <w:t>注：上述各类信誉查询截图样式仅供参考</w:t>
      </w:r>
      <w:r>
        <w:rPr>
          <w:rFonts w:hint="eastAsia"/>
          <w:sz w:val="20"/>
          <w:lang w:eastAsia="zh-CN"/>
        </w:rPr>
        <w:t>。</w:t>
      </w:r>
    </w:p>
    <w:sectPr>
      <w:headerReference r:id="rId7" w:type="default"/>
      <w:footerReference r:id="rId8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</w:pPr>
    <w:r>
      <w:rPr>
        <w:rFonts w:hint="eastAsia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0" w:lineRule="exact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  <w:jc w:val="center"/>
    </w:pPr>
    <w:r>
      <w:rPr>
        <w:rFonts w:hint="eastAsia"/>
      </w:rPr>
      <w:t xml:space="preserve">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480"/>
      <w:rPr>
        <w:rFonts w:ascii="宋体" w:hAnsi="宋体"/>
      </w:rPr>
    </w:pPr>
    <w:r>
      <w:rPr>
        <w:rFonts w:hint="eastAsia"/>
      </w:rPr>
      <w:t xml:space="preserve">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ZkYTdiNGI1Y2FiMjQ1N2E4MTgyOGFiN2EyYTcxYzEifQ=="/>
  </w:docVars>
  <w:rsids>
    <w:rsidRoot w:val="567F6EF6"/>
    <w:rsid w:val="43A7080B"/>
    <w:rsid w:val="567F6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keepNext/>
      <w:keepLines/>
      <w:spacing w:line="360" w:lineRule="auto"/>
      <w:outlineLvl w:val="0"/>
    </w:pPr>
    <w:rPr>
      <w:b/>
      <w:bCs/>
      <w:kern w:val="44"/>
      <w:sz w:val="32"/>
      <w:szCs w:val="44"/>
    </w:rPr>
  </w:style>
  <w:style w:type="character" w:default="1" w:styleId="13">
    <w:name w:val="Default Paragraph Font"/>
    <w:semiHidden/>
    <w:uiPriority w:val="0"/>
  </w:style>
  <w:style w:type="table" w:default="1" w:styleId="11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Text1I2"/>
    <w:basedOn w:val="3"/>
    <w:autoRedefine/>
    <w:qFormat/>
    <w:uiPriority w:val="0"/>
    <w:pPr>
      <w:spacing w:line="240" w:lineRule="auto"/>
      <w:ind w:firstLine="420"/>
    </w:pPr>
  </w:style>
  <w:style w:type="paragraph" w:customStyle="1" w:styleId="3">
    <w:name w:val="BodyTextIndent"/>
    <w:basedOn w:val="1"/>
    <w:autoRedefine/>
    <w:qFormat/>
    <w:uiPriority w:val="0"/>
    <w:pPr>
      <w:spacing w:after="120" w:line="360" w:lineRule="auto"/>
      <w:ind w:left="420" w:leftChars="200" w:firstLine="1041" w:firstLineChars="200"/>
      <w:textAlignment w:val="baseline"/>
    </w:pPr>
  </w:style>
  <w:style w:type="paragraph" w:styleId="5">
    <w:name w:val="Body Text"/>
    <w:basedOn w:val="1"/>
    <w:next w:val="6"/>
    <w:qFormat/>
    <w:uiPriority w:val="0"/>
    <w:pPr>
      <w:spacing w:after="120"/>
    </w:pPr>
  </w:style>
  <w:style w:type="paragraph" w:customStyle="1" w:styleId="6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Calibri" w:hAnsi="Calibri" w:eastAsia="宋体" w:cs="Times New Roman"/>
      <w:color w:val="000000"/>
      <w:sz w:val="24"/>
      <w:szCs w:val="24"/>
      <w:lang w:val="en-US" w:eastAsia="zh-CN" w:bidi="ar-SA"/>
    </w:rPr>
  </w:style>
  <w:style w:type="paragraph" w:styleId="7">
    <w:name w:val="Body Text Indent"/>
    <w:basedOn w:val="1"/>
    <w:qFormat/>
    <w:uiPriority w:val="0"/>
    <w:pPr>
      <w:spacing w:line="360" w:lineRule="auto"/>
      <w:ind w:left="42" w:leftChars="20"/>
    </w:pPr>
    <w:rPr>
      <w:sz w:val="24"/>
      <w:szCs w:val="18"/>
    </w:rPr>
  </w:style>
  <w:style w:type="paragraph" w:styleId="8">
    <w:name w:val="footer"/>
    <w:basedOn w:val="1"/>
    <w:next w:val="5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Body Text First Indent 2"/>
    <w:basedOn w:val="7"/>
    <w:qFormat/>
    <w:uiPriority w:val="0"/>
    <w:pPr>
      <w:spacing w:after="120" w:line="240" w:lineRule="auto"/>
      <w:ind w:left="420" w:leftChars="200" w:firstLine="420" w:firstLineChars="200"/>
    </w:pPr>
    <w:rPr>
      <w:rFonts w:ascii="Times New Roman" w:hAnsi="Times New Roman"/>
      <w:sz w:val="21"/>
      <w:szCs w:val="24"/>
    </w:rPr>
  </w:style>
  <w:style w:type="table" w:styleId="12">
    <w:name w:val="Table Grid"/>
    <w:basedOn w:val="11"/>
    <w:unhideWhenUsed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customStyle="1" w:styleId="14">
    <w:name w:val="段"/>
    <w:autoRedefine/>
    <w:qFormat/>
    <w:uiPriority w:val="0"/>
    <w:pPr>
      <w:tabs>
        <w:tab w:val="left" w:pos="1262"/>
        <w:tab w:val="left" w:pos="1860"/>
      </w:tabs>
      <w:ind w:left="1860" w:hanging="420"/>
      <w:jc w:val="both"/>
    </w:pPr>
    <w:rPr>
      <w:rFonts w:ascii="宋体" w:hAnsi="Calibri" w:eastAsia="宋体" w:cs="Times New Roman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4.xml"/><Relationship Id="rId7" Type="http://schemas.openxmlformats.org/officeDocument/2006/relationships/header" Target="header2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header" Target="header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2024-04-29T10:05:00Z</dcterms:created>
  <dc:creator>鄂尔多斯草原高宇 ✨15047795745</dc:creator>
  <cp:lastModifiedBy>鄂尔多斯草原高宇 ✨15047795745</cp:lastModifiedBy>
  <dcterms:modified xsi:type="dcterms:W3CDTF">2024-04-29T10:06:33Z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34258A6243A24A8DA1C229F8DBA7421B_11</vt:lpwstr>
  </property>
</Properties>
</file>