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widowControl w:val="0"/>
        <w:kinsoku/>
        <w:wordWrap/>
        <w:overflowPunct/>
        <w:topLinePunct w:val="0"/>
        <w:autoSpaceDE/>
        <w:autoSpaceDN/>
        <w:bidi w:val="0"/>
        <w:adjustRightInd/>
        <w:snapToGrid/>
        <w:spacing w:before="0" w:after="0"/>
        <w:ind w:firstLine="723" w:firstLineChars="300"/>
        <w:jc w:val="both"/>
        <w:textAlignment w:val="auto"/>
        <w:rPr>
          <w:rFonts w:hint="eastAsia" w:ascii="宋体" w:hAnsi="宋体" w:eastAsia="宋体" w:cs="宋体"/>
          <w:kern w:val="2"/>
          <w:sz w:val="24"/>
          <w:szCs w:val="24"/>
        </w:rPr>
      </w:pPr>
      <w:bookmarkStart w:id="0" w:name="_Toc16122"/>
      <w:r>
        <w:rPr>
          <w:rFonts w:hint="eastAsia" w:ascii="宋体" w:hAnsi="宋体" w:eastAsia="宋体" w:cs="宋体"/>
          <w:kern w:val="2"/>
          <w:sz w:val="24"/>
          <w:szCs w:val="24"/>
        </w:rPr>
        <w:t>附件</w:t>
      </w:r>
      <w:r>
        <w:rPr>
          <w:rFonts w:hint="eastAsia" w:ascii="宋体" w:hAnsi="宋体" w:eastAsia="宋体" w:cs="宋体"/>
          <w:kern w:val="2"/>
          <w:sz w:val="24"/>
          <w:szCs w:val="24"/>
          <w:lang w:val="en-US" w:eastAsia="zh-CN"/>
        </w:rPr>
        <w:t>1</w:t>
      </w:r>
      <w:r>
        <w:rPr>
          <w:rFonts w:hint="eastAsia" w:ascii="宋体" w:hAnsi="宋体" w:eastAsia="宋体" w:cs="宋体"/>
          <w:kern w:val="2"/>
          <w:sz w:val="24"/>
          <w:szCs w:val="24"/>
        </w:rPr>
        <w:t>：</w:t>
      </w:r>
      <w:r>
        <w:rPr>
          <w:rFonts w:hint="eastAsia" w:ascii="宋体" w:hAnsi="宋体" w:eastAsia="宋体" w:cs="宋体"/>
          <w:kern w:val="2"/>
          <w:sz w:val="24"/>
          <w:szCs w:val="24"/>
          <w:lang w:val="en-US" w:eastAsia="zh-CN"/>
        </w:rPr>
        <w:t>需求</w:t>
      </w:r>
      <w:r>
        <w:rPr>
          <w:rFonts w:hint="eastAsia" w:ascii="宋体" w:hAnsi="宋体" w:eastAsia="宋体" w:cs="宋体"/>
          <w:kern w:val="2"/>
          <w:sz w:val="24"/>
          <w:szCs w:val="24"/>
        </w:rPr>
        <w:t>明细表</w:t>
      </w:r>
      <w:bookmarkEnd w:id="0"/>
    </w:p>
    <w:p>
      <w:pPr>
        <w:rPr>
          <w:rFonts w:hint="eastAsia" w:ascii="仿宋" w:hAnsi="仿宋" w:eastAsia="仿宋" w:cs="仿宋_GB2312"/>
          <w:kern w:val="2"/>
          <w:sz w:val="24"/>
          <w:szCs w:val="24"/>
        </w:rPr>
      </w:pPr>
    </w:p>
    <w:tbl>
      <w:tblPr>
        <w:tblStyle w:val="10"/>
        <w:tblW w:w="1526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025"/>
        <w:gridCol w:w="1545"/>
        <w:gridCol w:w="1005"/>
        <w:gridCol w:w="1280"/>
        <w:gridCol w:w="1436"/>
        <w:gridCol w:w="7196"/>
        <w:gridCol w:w="11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6" w:hRule="atLeast"/>
          <w:jc w:val="center"/>
        </w:trPr>
        <w:tc>
          <w:tcPr>
            <w:tcW w:w="631"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标段号</w:t>
            </w:r>
          </w:p>
        </w:tc>
        <w:tc>
          <w:tcPr>
            <w:tcW w:w="102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标段名称</w:t>
            </w:r>
          </w:p>
        </w:tc>
        <w:tc>
          <w:tcPr>
            <w:tcW w:w="15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子项目名称</w:t>
            </w:r>
          </w:p>
        </w:tc>
        <w:tc>
          <w:tcPr>
            <w:tcW w:w="100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数量</w:t>
            </w:r>
          </w:p>
        </w:tc>
        <w:tc>
          <w:tcPr>
            <w:tcW w:w="1280"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kern w:val="0"/>
                <w:sz w:val="21"/>
                <w:szCs w:val="21"/>
                <w:u w:val="none"/>
                <w:lang w:val="en-US" w:eastAsia="zh-CN" w:bidi="ar"/>
              </w:rPr>
              <w:t>分项控制价(万元）</w:t>
            </w:r>
          </w:p>
        </w:tc>
        <w:tc>
          <w:tcPr>
            <w:tcW w:w="143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标段控制价(万元）</w:t>
            </w:r>
          </w:p>
        </w:tc>
        <w:tc>
          <w:tcPr>
            <w:tcW w:w="7196"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sz w:val="21"/>
                <w:szCs w:val="21"/>
                <w:u w:val="none"/>
                <w:lang w:val="en-US" w:eastAsia="zh-CN" w:bidi="ar-SA"/>
              </w:rPr>
            </w:pPr>
            <w:r>
              <w:rPr>
                <w:rFonts w:hint="eastAsia" w:ascii="宋体" w:hAnsi="宋体" w:eastAsia="宋体" w:cs="宋体"/>
                <w:b/>
                <w:bCs/>
                <w:i w:val="0"/>
                <w:iCs w:val="0"/>
                <w:color w:val="000000"/>
                <w:sz w:val="21"/>
                <w:szCs w:val="21"/>
                <w:u w:val="none"/>
                <w:lang w:val="en-US" w:eastAsia="zh-CN" w:bidi="ar-SA"/>
              </w:rPr>
              <w:t>专用资格要求</w:t>
            </w:r>
          </w:p>
        </w:tc>
        <w:tc>
          <w:tcPr>
            <w:tcW w:w="1144"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工  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4" w:hRule="atLeast"/>
          <w:jc w:val="center"/>
        </w:trPr>
        <w:tc>
          <w:tcPr>
            <w:tcW w:w="631"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025"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kern w:val="0"/>
                <w:sz w:val="21"/>
                <w:szCs w:val="21"/>
                <w:u w:val="none"/>
                <w:lang w:val="en-US" w:eastAsia="zh-CN" w:bidi="ar"/>
              </w:rPr>
            </w:pPr>
            <w:r>
              <w:rPr>
                <w:rFonts w:hint="default" w:ascii="宋体" w:hAnsi="宋体" w:eastAsia="宋体" w:cs="宋体"/>
                <w:i w:val="0"/>
                <w:iCs w:val="0"/>
                <w:color w:val="000000"/>
                <w:kern w:val="0"/>
                <w:sz w:val="21"/>
                <w:szCs w:val="21"/>
                <w:u w:val="none"/>
                <w:lang w:val="en-US" w:eastAsia="zh-CN" w:bidi="ar"/>
              </w:rPr>
              <w:t>2024年转供电治理和榆树湾变10千伏配出（二期）施工</w:t>
            </w:r>
          </w:p>
        </w:tc>
        <w:tc>
          <w:tcPr>
            <w:tcW w:w="15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鄂尔多斯市准格尔旗2024年转供电治理供电工程</w:t>
            </w:r>
          </w:p>
        </w:tc>
        <w:tc>
          <w:tcPr>
            <w:tcW w:w="100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sz w:val="21"/>
                <w:szCs w:val="21"/>
                <w:u w:val="none"/>
                <w:lang w:val="en-US" w:eastAsia="zh-CN" w:bidi="ar-SA"/>
              </w:rPr>
              <w:t>1项</w:t>
            </w:r>
          </w:p>
        </w:tc>
        <w:tc>
          <w:tcPr>
            <w:tcW w:w="1280"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122.6057 </w:t>
            </w:r>
          </w:p>
        </w:tc>
        <w:tc>
          <w:tcPr>
            <w:tcW w:w="1436" w:type="dxa"/>
            <w:vMerge w:val="restart"/>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i w:val="0"/>
                <w:iCs w:val="0"/>
                <w:color w:val="auto"/>
                <w:kern w:val="0"/>
                <w:sz w:val="21"/>
                <w:szCs w:val="21"/>
                <w:u w:val="none"/>
                <w:lang w:val="en-US" w:eastAsia="zh-CN" w:bidi="ar"/>
              </w:rPr>
              <w:t xml:space="preserve">232.9642 </w:t>
            </w:r>
          </w:p>
        </w:tc>
        <w:tc>
          <w:tcPr>
            <w:tcW w:w="7196" w:type="dxa"/>
            <w:vMerge w:val="restart"/>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1、供应商具有建设行政主管部门颁发的施工综合资质或电力工程施工总承包乙级及以上资质或输变电工程专业承包乙级及以上资质,证书在有效期内；（以上资质为住建部最新资质要求（2020 年11月30日建市〔2020〕94号《住房和城乡建设部关于印发建设工程企业资质管理制度改革方案的通知》）。如供应商还未申办以上资质，“供应商须具有建设行政主管部门颁发的施工总承包企业特级资质或电力工程施工总承包三级及以上资质或输变电工程专业承包三级及以上资质,证书在有效期内”；</w:t>
            </w:r>
          </w:p>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2、供应商具有建设行政主管部门颁发的有效期内的安全生产许可证；</w:t>
            </w:r>
          </w:p>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3、供应商具有国家能源局（国家电力监管委员会）颁发的承装（修、试）设施许可证承装、承修、承试类五级及以上资质证书，证书在有效期内；</w:t>
            </w:r>
          </w:p>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供应商拟派项目经理具有机电工程专业二级建造师及以上注册证书及有效的安全考核证（B证）且注册在本单位，且未担任其它在建项目建设工程的项目负责人(出具未在其他在建工程担任项目负责人的承诺函，格式自拟）；</w:t>
            </w:r>
          </w:p>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b/>
                <w:bCs/>
                <w:i w:val="0"/>
                <w:iCs w:val="0"/>
                <w:color w:val="auto"/>
                <w:sz w:val="21"/>
                <w:szCs w:val="21"/>
                <w:u w:val="none"/>
                <w:lang w:val="en-US" w:eastAsia="zh-CN" w:bidi="ar-SA"/>
              </w:rPr>
            </w:pPr>
          </w:p>
        </w:tc>
        <w:tc>
          <w:tcPr>
            <w:tcW w:w="1144" w:type="dxa"/>
            <w:noWrap w:val="0"/>
            <w:vAlign w:val="center"/>
          </w:tcPr>
          <w:p>
            <w:pPr>
              <w:keepNext w:val="0"/>
              <w:keepLines w:val="0"/>
              <w:widowControl/>
              <w:suppressLineNumbers w:val="0"/>
              <w:jc w:val="center"/>
              <w:textAlignment w:val="center"/>
              <w:rPr>
                <w:rFonts w:hint="eastAsia" w:ascii="宋体" w:hAnsi="宋体" w:eastAsia="宋体" w:cs="宋体"/>
                <w:b w:val="0"/>
                <w:bCs w:val="0"/>
                <w:color w:val="auto"/>
                <w:kern w:val="2"/>
                <w:sz w:val="21"/>
                <w:szCs w:val="21"/>
                <w:highlight w:val="none"/>
                <w:lang w:val="en-US" w:eastAsia="zh-CN" w:bidi="ar-SA"/>
              </w:rPr>
            </w:pPr>
            <w:r>
              <w:rPr>
                <w:rFonts w:hint="eastAsia" w:ascii="宋体" w:hAnsi="宋体" w:eastAsia="宋体" w:cs="宋体"/>
                <w:i w:val="0"/>
                <w:iCs w:val="0"/>
                <w:color w:val="000000"/>
                <w:kern w:val="0"/>
                <w:sz w:val="20"/>
                <w:szCs w:val="20"/>
                <w:u w:val="none"/>
                <w:lang w:val="en-US" w:eastAsia="zh-CN" w:bidi="ar"/>
              </w:rPr>
              <w:t>2024年11月30日前完工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8" w:hRule="atLeast"/>
          <w:jc w:val="center"/>
        </w:trPr>
        <w:tc>
          <w:tcPr>
            <w:tcW w:w="631"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default" w:ascii="宋体" w:hAnsi="宋体" w:eastAsia="宋体" w:cs="宋体"/>
                <w:i w:val="0"/>
                <w:iCs w:val="0"/>
                <w:color w:val="000000"/>
                <w:kern w:val="0"/>
                <w:sz w:val="21"/>
                <w:szCs w:val="21"/>
                <w:u w:val="none"/>
                <w:lang w:val="en-US" w:eastAsia="zh-CN" w:bidi="ar"/>
              </w:rPr>
            </w:pPr>
          </w:p>
        </w:tc>
        <w:tc>
          <w:tcPr>
            <w:tcW w:w="1025"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p>
        </w:tc>
        <w:tc>
          <w:tcPr>
            <w:tcW w:w="154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鄂尔多斯市准格尔旗榆树湾110千伏变电站配出1回10千伏线路工程（二期）</w:t>
            </w:r>
          </w:p>
        </w:tc>
        <w:tc>
          <w:tcPr>
            <w:tcW w:w="1005" w:type="dxa"/>
            <w:noWrap w:val="0"/>
            <w:vAlign w:val="center"/>
          </w:tcPr>
          <w:p>
            <w:pPr>
              <w:keepNext w:val="0"/>
              <w:keepLines w:val="0"/>
              <w:pageBreakBefore w:val="0"/>
              <w:widowControl w:val="0"/>
              <w:suppressLineNumbers w:val="0"/>
              <w:kinsoku/>
              <w:wordWrap/>
              <w:overflowPunct/>
              <w:topLinePunct w:val="0"/>
              <w:autoSpaceDE/>
              <w:autoSpaceDN/>
              <w:bidi w:val="0"/>
              <w:adjustRightInd/>
              <w:snapToGrid/>
              <w:jc w:val="center"/>
              <w:textAlignment w:val="center"/>
              <w:rPr>
                <w:rFonts w:hint="eastAsia" w:ascii="宋体" w:hAnsi="宋体" w:eastAsia="宋体" w:cs="宋体"/>
                <w:i w:val="0"/>
                <w:iCs w:val="0"/>
                <w:color w:val="000000"/>
                <w:sz w:val="21"/>
                <w:szCs w:val="21"/>
                <w:u w:val="none"/>
                <w:lang w:val="en-US" w:eastAsia="zh-CN" w:bidi="ar-SA"/>
              </w:rPr>
            </w:pPr>
            <w:r>
              <w:rPr>
                <w:rFonts w:hint="eastAsia" w:ascii="宋体" w:hAnsi="宋体" w:eastAsia="宋体" w:cs="宋体"/>
                <w:i w:val="0"/>
                <w:iCs w:val="0"/>
                <w:color w:val="000000"/>
                <w:sz w:val="21"/>
                <w:szCs w:val="21"/>
                <w:u w:val="none"/>
                <w:lang w:val="en-US" w:eastAsia="zh-CN" w:bidi="ar-SA"/>
              </w:rPr>
              <w:t>1项</w:t>
            </w:r>
          </w:p>
        </w:tc>
        <w:tc>
          <w:tcPr>
            <w:tcW w:w="1280" w:type="dxa"/>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2"/>
                <w:sz w:val="21"/>
                <w:szCs w:val="21"/>
                <w:u w:val="none"/>
                <w:lang w:val="en-US" w:eastAsia="zh-CN" w:bidi="ar-SA"/>
              </w:rPr>
            </w:pPr>
            <w:r>
              <w:rPr>
                <w:rFonts w:hint="eastAsia" w:ascii="宋体" w:hAnsi="宋体" w:eastAsia="宋体" w:cs="宋体"/>
                <w:i w:val="0"/>
                <w:iCs w:val="0"/>
                <w:color w:val="000000"/>
                <w:kern w:val="0"/>
                <w:sz w:val="20"/>
                <w:szCs w:val="20"/>
                <w:u w:val="none"/>
                <w:lang w:val="en-US" w:eastAsia="zh-CN" w:bidi="ar"/>
              </w:rPr>
              <w:t xml:space="preserve">110.3585 </w:t>
            </w:r>
          </w:p>
        </w:tc>
        <w:tc>
          <w:tcPr>
            <w:tcW w:w="1436" w:type="dxa"/>
            <w:vMerge w:val="continue"/>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7196" w:type="dxa"/>
            <w:vMerge w:val="continue"/>
            <w:noWrap w:val="0"/>
            <w:vAlign w:val="center"/>
          </w:tcPr>
          <w:p>
            <w:pPr>
              <w:keepNext w:val="0"/>
              <w:keepLines w:val="0"/>
              <w:pageBreakBefore w:val="0"/>
              <w:widowControl w:val="0"/>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u w:val="none"/>
                <w:lang w:val="en-US" w:eastAsia="zh-CN" w:bidi="ar"/>
              </w:rPr>
            </w:pPr>
          </w:p>
        </w:tc>
        <w:tc>
          <w:tcPr>
            <w:tcW w:w="1144" w:type="dxa"/>
            <w:noWrap w:val="0"/>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0"/>
                <w:szCs w:val="20"/>
                <w:u w:val="none"/>
                <w:lang w:val="en-US" w:eastAsia="zh-CN" w:bidi="ar"/>
              </w:rPr>
              <w:t>2024年11月30日前完工</w:t>
            </w:r>
          </w:p>
        </w:tc>
      </w:tr>
    </w:tbl>
    <w:p>
      <w:bookmarkStart w:id="1" w:name="_GoBack"/>
      <w:bookmarkEnd w:id="1"/>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6"/>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2D431D4"/>
    <w:rsid w:val="1B2D4565"/>
    <w:rsid w:val="29AC1CF7"/>
    <w:rsid w:val="29B22045"/>
    <w:rsid w:val="2BDC7994"/>
    <w:rsid w:val="3EC82FB3"/>
    <w:rsid w:val="57E01460"/>
    <w:rsid w:val="5AE10D16"/>
    <w:rsid w:val="70E402C9"/>
    <w:rsid w:val="7646608F"/>
    <w:rsid w:val="76C25F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11">
    <w:name w:val="Default Paragraph Font"/>
    <w:autoRedefine/>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customStyle="1" w:styleId="2">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Normal Indent"/>
    <w:basedOn w:val="1"/>
    <w:qFormat/>
    <w:uiPriority w:val="99"/>
    <w:pPr>
      <w:ind w:firstLine="420"/>
    </w:pPr>
    <w:rPr>
      <w:szCs w:val="20"/>
    </w:rPr>
  </w:style>
  <w:style w:type="paragraph" w:styleId="4">
    <w:name w:val="Body Text"/>
    <w:basedOn w:val="1"/>
    <w:qFormat/>
    <w:uiPriority w:val="0"/>
    <w:pPr>
      <w:spacing w:after="120"/>
    </w:pPr>
  </w:style>
  <w:style w:type="paragraph" w:styleId="5">
    <w:name w:val="Body Text Indent"/>
    <w:basedOn w:val="1"/>
    <w:next w:val="6"/>
    <w:qFormat/>
    <w:uiPriority w:val="0"/>
    <w:pPr>
      <w:ind w:firstLine="830" w:firstLineChars="352"/>
    </w:pPr>
    <w:rPr>
      <w:rFonts w:ascii="仿宋_GB2312" w:eastAsia="仿宋_GB2312"/>
      <w:sz w:val="32"/>
      <w:szCs w:val="20"/>
    </w:rPr>
  </w:style>
  <w:style w:type="paragraph" w:styleId="6">
    <w:name w:val="footnote text"/>
    <w:basedOn w:val="1"/>
    <w:autoRedefine/>
    <w:semiHidden/>
    <w:qFormat/>
    <w:uiPriority w:val="0"/>
    <w:pPr>
      <w:numPr>
        <w:ilvl w:val="0"/>
        <w:numId w:val="1"/>
      </w:numPr>
      <w:snapToGrid w:val="0"/>
      <w:ind w:left="400" w:leftChars="200" w:hanging="200" w:hangingChars="200"/>
      <w:jc w:val="left"/>
    </w:pPr>
    <w:rPr>
      <w:sz w:val="18"/>
      <w:szCs w:val="18"/>
    </w:rPr>
  </w:style>
  <w:style w:type="paragraph" w:styleId="7">
    <w:name w:val="footer"/>
    <w:basedOn w:val="1"/>
    <w:next w:val="4"/>
    <w:autoRedefine/>
    <w:qFormat/>
    <w:uiPriority w:val="99"/>
    <w:pPr>
      <w:tabs>
        <w:tab w:val="center" w:pos="4153"/>
        <w:tab w:val="right" w:pos="8306"/>
      </w:tabs>
      <w:snapToGrid w:val="0"/>
      <w:jc w:val="left"/>
    </w:pPr>
    <w:rPr>
      <w:sz w:val="18"/>
      <w:szCs w:val="18"/>
    </w:rPr>
  </w:style>
  <w:style w:type="paragraph" w:styleId="8">
    <w:name w:val="Title"/>
    <w:basedOn w:val="1"/>
    <w:next w:val="1"/>
    <w:autoRedefine/>
    <w:qFormat/>
    <w:uiPriority w:val="0"/>
    <w:pPr>
      <w:spacing w:before="240" w:after="60"/>
      <w:ind w:firstLine="0" w:firstLineChars="0"/>
      <w:jc w:val="center"/>
      <w:outlineLvl w:val="0"/>
    </w:pPr>
    <w:rPr>
      <w:rFonts w:ascii="Cambria" w:hAnsi="Cambria" w:eastAsia="方正小标宋简体" w:cs="Times New Roman"/>
      <w:b/>
      <w:bCs/>
      <w:sz w:val="44"/>
      <w:szCs w:val="32"/>
    </w:rPr>
  </w:style>
  <w:style w:type="paragraph" w:styleId="9">
    <w:name w:val="Body Text First Indent 2"/>
    <w:basedOn w:val="5"/>
    <w:autoRedefine/>
    <w:semiHidden/>
    <w:qFormat/>
    <w:uiPriority w:val="0"/>
    <w:pPr>
      <w:spacing w:after="120"/>
      <w:ind w:left="420" w:firstLine="420" w:firstLineChars="0"/>
    </w:pPr>
    <w:rPr>
      <w:rFonts w:ascii="Calibri" w:hAnsi="Calibri" w:eastAsia="宋体"/>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854</Words>
  <Characters>911</Characters>
  <Lines>0</Lines>
  <Paragraphs>0</Paragraphs>
  <TotalTime>0</TotalTime>
  <ScaleCrop>false</ScaleCrop>
  <LinksUpToDate>false</LinksUpToDate>
  <CharactersWithSpaces>916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高云波</cp:lastModifiedBy>
  <cp:lastPrinted>2023-09-28T05:40:00Z</cp:lastPrinted>
  <dcterms:modified xsi:type="dcterms:W3CDTF">2024-04-03T02:57:44Z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9A42EA38F23A41F5BFC967E16912AC6F_12</vt:lpwstr>
  </property>
</Properties>
</file>