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仿宋" w:hAnsi="仿宋" w:eastAsia="仿宋" w:cs="仿宋"/>
          <w:color w:val="auto"/>
          <w:highlight w:val="none"/>
        </w:rPr>
      </w:pPr>
    </w:p>
    <w:p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4544"/>
      <w:bookmarkStart w:id="1" w:name="_Toc11522"/>
      <w:bookmarkStart w:id="2" w:name="_Toc1805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1468"/>
      <w:bookmarkStart w:id="4" w:name="_Toc23367"/>
      <w:bookmarkStart w:id="5" w:name="_Toc25499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场所服务费：每标段中标人需向内蒙古产权交易中心有限责任公司缴纳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val="en-US" w:eastAsia="zh-CN"/>
        </w:rPr>
        <w:t>场所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服务费，收取办法为:成交金额大于500000元(50万元）按成交价的1‰收取，成交金额低于500000元(50万元）按500.00元收取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  <w:t>。</w:t>
      </w:r>
    </w:p>
    <w:p>
      <w:pPr>
        <w:widowControl w:val="0"/>
        <w:adjustRightInd w:val="0"/>
        <w:snapToGrid w:val="0"/>
        <w:spacing w:line="360" w:lineRule="auto"/>
        <w:ind w:firstLine="360" w:firstLineChars="200"/>
        <w:jc w:val="both"/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none"/>
          <w:lang w:val="en-US" w:eastAsia="zh-CN" w:bidi="ar-SA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户名：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  <w:t>内蒙古产权交易中心有限责任公司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账号：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  <w:t>5830 2000 0181 9100 0311 31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开户行：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  <w:t>华夏银行呼和浩特分行营业部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val="en-US" w:eastAsia="zh-CN"/>
        </w:rPr>
        <w:t>开户行行号：3041 9100 1951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联系电话：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eastAsia="zh-CN"/>
        </w:rPr>
        <w:t>0471-3473014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注:中标人须在中标公告发布后次日起，三个工作日内完成代理服务费、场地服务费的缴纳，如未按时缴纳费用将按照不良行为供应商管理办法进行处罚。</w:t>
      </w: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rPr>
          <w:rFonts w:hint="eastAsia" w:ascii="仿宋" w:hAnsi="仿宋" w:eastAsia="仿宋" w:cs="仿宋"/>
          <w:color w:val="auto"/>
          <w:highlight w:val="none"/>
        </w:rPr>
      </w:pPr>
    </w:p>
    <w:p>
      <w:pPr>
        <w:rPr>
          <w:rFonts w:hint="eastAsia" w:ascii="仿宋" w:hAnsi="仿宋" w:eastAsia="仿宋" w:cs="仿宋"/>
          <w:color w:val="auto"/>
          <w:highlight w:val="none"/>
        </w:rPr>
      </w:pPr>
    </w:p>
    <w:p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1B78319D"/>
    <w:rsid w:val="1B7D5422"/>
    <w:rsid w:val="2BC1041B"/>
    <w:rsid w:val="42BF701A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蔂覚‘布’愛ˇ</cp:lastModifiedBy>
  <dcterms:modified xsi:type="dcterms:W3CDTF">2024-03-25T07:49:01Z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0E996C5E3A5441EAB6764F0687642357_12</vt:lpwstr>
  </property>
</Properties>
</file>