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after="0" w:line="360" w:lineRule="auto"/>
        <w:ind w:left="-440" w:leftChars="-200" w:right="-493" w:rightChars="-224" w:firstLine="441" w:firstLineChars="183"/>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内蒙古电力集团蒙电信息通信产业有限责任公司及其子公司2024年餐厅服务单源直接采购公告</w:t>
      </w:r>
    </w:p>
    <w:p>
      <w:pPr>
        <w:pStyle w:val="6"/>
        <w:spacing w:after="0" w:line="360" w:lineRule="auto"/>
        <w:ind w:left="-440" w:leftChars="-200" w:right="-493" w:rightChars="-224" w:firstLine="441" w:firstLineChars="183"/>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MDXCDY-2023-19</w:t>
      </w:r>
      <w:r>
        <w:rPr>
          <w:rFonts w:hint="eastAsia" w:asciiTheme="minorEastAsia" w:hAnsiTheme="minorEastAsia" w:eastAsiaTheme="minorEastAsia"/>
          <w:b/>
          <w:sz w:val="24"/>
          <w:szCs w:val="30"/>
        </w:rPr>
        <w:t>）</w:t>
      </w:r>
    </w:p>
    <w:p>
      <w:pPr>
        <w:spacing w:after="0" w:line="360" w:lineRule="auto"/>
        <w:ind w:left="-440" w:leftChars="-200" w:right="-493" w:rightChars="-224"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内蒙古电力集团蒙电信息通信产业有限责任公司及其子公司2024年餐厅服务单源直接采购</w:t>
      </w:r>
      <w:r>
        <w:rPr>
          <w:rFonts w:hint="eastAsia" w:asciiTheme="minorEastAsia" w:hAnsiTheme="minorEastAsia" w:eastAsiaTheme="minorEastAsia"/>
          <w:sz w:val="21"/>
          <w:szCs w:val="21"/>
        </w:rPr>
        <w:t>已具备采购条件，现公开邀请供应商参加单源直接采购活动。</w:t>
      </w:r>
    </w:p>
    <w:p>
      <w:pPr>
        <w:spacing w:after="0" w:line="360" w:lineRule="auto"/>
        <w:ind w:left="-440" w:leftChars="-200" w:right="-493" w:rightChars="-224" w:firstLine="441" w:firstLineChars="183"/>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pPr>
        <w:spacing w:after="0" w:line="360" w:lineRule="auto"/>
        <w:ind w:left="-440" w:leftChars="-200" w:right="-493" w:rightChars="-2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内蒙古电力集团蒙电信息通信产业有限责任公司及其子公司2024年餐厅服务单源直接采购</w:t>
      </w:r>
    </w:p>
    <w:p>
      <w:pPr>
        <w:spacing w:after="0" w:line="360" w:lineRule="auto"/>
        <w:ind w:left="-440" w:leftChars="-200" w:right="-493" w:rightChars="-2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内蒙古电力集团蒙电信息通信产业有限责任公司</w:t>
      </w:r>
    </w:p>
    <w:p>
      <w:pPr>
        <w:spacing w:after="0" w:line="360" w:lineRule="auto"/>
        <w:ind w:left="-440" w:leftChars="-200" w:right="-493" w:rightChars="-224"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pPr>
        <w:spacing w:after="0" w:line="360" w:lineRule="auto"/>
        <w:ind w:left="-440" w:leftChars="-200" w:right="-493" w:rightChars="-224"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pPr>
        <w:spacing w:after="0" w:line="360" w:lineRule="auto"/>
        <w:ind w:left="-440" w:leftChars="-200" w:right="-493" w:rightChars="-224" w:firstLine="384" w:firstLineChars="183"/>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pPr>
        <w:spacing w:after="0" w:line="360" w:lineRule="auto"/>
        <w:ind w:left="-440" w:leftChars="-200" w:right="-493" w:rightChars="-224"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pPr>
        <w:spacing w:after="0" w:line="360" w:lineRule="auto"/>
        <w:ind w:left="-440" w:leftChars="-200" w:right="-493" w:rightChars="-224" w:firstLine="384" w:firstLineChars="183"/>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pPr>
        <w:spacing w:after="0" w:line="360" w:lineRule="auto"/>
        <w:ind w:left="-440" w:leftChars="-200" w:right="-493" w:rightChars="-224" w:firstLine="384" w:firstLineChars="183"/>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pPr>
        <w:spacing w:after="0" w:line="360" w:lineRule="auto"/>
        <w:ind w:left="-440" w:leftChars="-200" w:right="-493" w:rightChars="-224"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r>
        <w:rPr>
          <w:rFonts w:hint="eastAsia" w:cs="宋体" w:asciiTheme="minorEastAsia" w:hAnsiTheme="minorEastAsia" w:eastAsiaTheme="minorEastAsia"/>
          <w:sz w:val="21"/>
          <w:szCs w:val="21"/>
          <w:highlight w:val="none"/>
        </w:rPr>
        <w:t>。</w:t>
      </w:r>
    </w:p>
    <w:p>
      <w:pPr>
        <w:keepNext w:val="0"/>
        <w:keepLines w:val="0"/>
        <w:pageBreakBefore w:val="0"/>
        <w:widowControl/>
        <w:kinsoku/>
        <w:wordWrap/>
        <w:overflowPunct/>
        <w:topLinePunct w:val="0"/>
        <w:autoSpaceDE/>
        <w:autoSpaceDN/>
        <w:bidi w:val="0"/>
        <w:spacing w:after="0" w:line="360" w:lineRule="auto"/>
        <w:ind w:left="-440" w:leftChars="-200" w:right="-493" w:rightChars="-224" w:firstLine="384" w:firstLineChars="183"/>
        <w:textAlignment w:val="auto"/>
        <w:rPr>
          <w:rFonts w:hint="eastAsia"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rPr>
        <w:t>供应商未被最高人民法院在“信用中国”网站（www.creditchina.gov.cn）或各级信用信息共享平台中列入“失信被执行人名单”。</w:t>
      </w:r>
    </w:p>
    <w:p>
      <w:pPr>
        <w:keepNext w:val="0"/>
        <w:keepLines w:val="0"/>
        <w:pageBreakBefore w:val="0"/>
        <w:widowControl/>
        <w:kinsoku/>
        <w:wordWrap/>
        <w:overflowPunct/>
        <w:topLinePunct w:val="0"/>
        <w:autoSpaceDE/>
        <w:autoSpaceDN/>
        <w:bidi w:val="0"/>
        <w:spacing w:after="0" w:line="360" w:lineRule="auto"/>
        <w:ind w:left="-440" w:leftChars="-200" w:right="-493" w:rightChars="-224" w:firstLine="441" w:firstLineChars="183"/>
        <w:textAlignment w:val="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pPr>
        <w:keepNext w:val="0"/>
        <w:keepLines w:val="0"/>
        <w:pageBreakBefore w:val="0"/>
        <w:widowControl/>
        <w:kinsoku/>
        <w:wordWrap/>
        <w:overflowPunct/>
        <w:topLinePunct w:val="0"/>
        <w:autoSpaceDE/>
        <w:autoSpaceDN/>
        <w:bidi w:val="0"/>
        <w:spacing w:after="0" w:line="360" w:lineRule="auto"/>
        <w:ind w:left="-440" w:leftChars="-200" w:right="-493" w:rightChars="-224" w:firstLine="384" w:firstLineChars="183"/>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pPr>
        <w:spacing w:after="0" w:line="360" w:lineRule="auto"/>
        <w:ind w:left="-440" w:leftChars="-200" w:right="-493" w:rightChars="-224"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五、采购文件的获取</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493" w:rightChars="-224" w:firstLine="384" w:firstLineChars="183"/>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w:t>
      </w:r>
      <w:r>
        <w:rPr>
          <w:rFonts w:hint="eastAsia" w:asciiTheme="minorEastAsia" w:hAnsiTheme="minorEastAsia" w:eastAsiaTheme="minorEastAsia" w:cstheme="minorEastAsia"/>
          <w:color w:val="auto"/>
          <w:kern w:val="0"/>
          <w:sz w:val="21"/>
          <w:szCs w:val="21"/>
          <w:highlight w:val="none"/>
          <w:lang w:eastAsia="zh-CN"/>
        </w:rPr>
        <w:t>2023年</w:t>
      </w:r>
      <w:r>
        <w:rPr>
          <w:rFonts w:hint="eastAsia" w:asciiTheme="minorEastAsia" w:hAnsiTheme="minorEastAsia" w:eastAsiaTheme="minorEastAsia" w:cstheme="minorEastAsia"/>
          <w:color w:val="auto"/>
          <w:kern w:val="0"/>
          <w:sz w:val="21"/>
          <w:szCs w:val="21"/>
          <w:highlight w:val="none"/>
          <w:lang w:val="en-US" w:eastAsia="zh-CN"/>
        </w:rPr>
        <w:t>12</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22</w:t>
      </w:r>
      <w:r>
        <w:rPr>
          <w:rFonts w:hint="eastAsia" w:asciiTheme="minorEastAsia" w:hAnsiTheme="minorEastAsia" w:eastAsiaTheme="minorEastAsia" w:cstheme="minorEastAsia"/>
          <w:color w:val="auto"/>
          <w:kern w:val="0"/>
          <w:sz w:val="21"/>
          <w:szCs w:val="21"/>
          <w:highlight w:val="none"/>
          <w:lang w:eastAsia="zh-CN"/>
        </w:rPr>
        <w:t>日至2023年</w:t>
      </w:r>
      <w:r>
        <w:rPr>
          <w:rFonts w:hint="eastAsia" w:asciiTheme="minorEastAsia" w:hAnsiTheme="minorEastAsia" w:eastAsiaTheme="minorEastAsia" w:cstheme="minorEastAsia"/>
          <w:color w:val="auto"/>
          <w:kern w:val="0"/>
          <w:sz w:val="21"/>
          <w:szCs w:val="21"/>
          <w:highlight w:val="none"/>
          <w:lang w:val="en-US" w:eastAsia="zh-CN"/>
        </w:rPr>
        <w:t>12</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25</w:t>
      </w:r>
      <w:r>
        <w:rPr>
          <w:rFonts w:hint="eastAsia" w:asciiTheme="minorEastAsia" w:hAnsiTheme="minorEastAsia" w:eastAsiaTheme="minorEastAsia" w:cstheme="minorEastAsia"/>
          <w:color w:val="auto"/>
          <w:kern w:val="0"/>
          <w:sz w:val="21"/>
          <w:szCs w:val="21"/>
          <w:highlight w:val="none"/>
          <w:lang w:eastAsia="zh-CN"/>
        </w:rPr>
        <w:t>日</w:t>
      </w:r>
      <w:r>
        <w:rPr>
          <w:rFonts w:hint="eastAsia" w:asciiTheme="minorEastAsia" w:hAnsiTheme="minorEastAsia" w:eastAsiaTheme="minorEastAsia" w:cstheme="minorEastAsia"/>
          <w:color w:val="auto"/>
          <w:kern w:val="0"/>
          <w:sz w:val="21"/>
          <w:szCs w:val="21"/>
          <w:highlight w:val="none"/>
        </w:rPr>
        <w:t>下午17:00前（北京时间），进入《内蒙古</w:t>
      </w:r>
      <w:r>
        <w:rPr>
          <w:rFonts w:hint="eastAsia" w:asciiTheme="minorEastAsia" w:hAnsiTheme="minorEastAsia" w:eastAsiaTheme="minorEastAsia" w:cstheme="minorEastAsia"/>
          <w:color w:val="auto"/>
          <w:kern w:val="0"/>
          <w:sz w:val="21"/>
          <w:szCs w:val="21"/>
        </w:rPr>
        <w:t>电力集团电子采购系统》（http://guocai-impc.cppchina.cn）在线递交报名资料和获取采购文件，逾期不予受理。</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493" w:rightChars="-224" w:firstLine="384" w:firstLineChars="183"/>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493" w:rightChars="-224" w:firstLine="384" w:firstLineChars="183"/>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文件失败或遇到其他问题请拨打客服电话：400-9913-966 (周一～周五9:00-17:00)联系咨询。</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493" w:rightChars="-224"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493" w:rightChars="-224"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493" w:rightChars="-224"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具体流程为：登录平台→在报名管理界面查看最新采购项目→</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报名提交报名资料，通过资格查验的</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报名后通过“文件下载”界面下载</w:t>
      </w:r>
      <w:r>
        <w:rPr>
          <w:rFonts w:hint="eastAsia" w:asciiTheme="minorEastAsia" w:hAnsiTheme="minorEastAsia" w:eastAsiaTheme="minorEastAsia" w:cstheme="minorEastAsia"/>
          <w:kern w:val="0"/>
          <w:sz w:val="21"/>
          <w:szCs w:val="21"/>
          <w:lang w:val="en-US" w:eastAsia="zh-CN"/>
        </w:rPr>
        <w:t>招标</w:t>
      </w:r>
      <w:r>
        <w:rPr>
          <w:rFonts w:hint="eastAsia" w:asciiTheme="minorEastAsia" w:hAnsiTheme="minorEastAsia" w:eastAsiaTheme="minorEastAsia" w:cstheme="minorEastAsia"/>
          <w:kern w:val="0"/>
          <w:sz w:val="21"/>
          <w:szCs w:val="21"/>
        </w:rPr>
        <w:t>文件。平台联系电话：400-9913-966 。</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493" w:rightChars="-224"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493" w:rightChars="-224" w:firstLine="384" w:firstLineChars="183"/>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pPr>
        <w:spacing w:after="0" w:line="360" w:lineRule="auto"/>
        <w:ind w:left="-440" w:leftChars="-200" w:right="-493" w:rightChars="-224" w:firstLine="384" w:firstLineChars="183"/>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pPr>
        <w:spacing w:after="0" w:line="360" w:lineRule="auto"/>
        <w:ind w:left="-440" w:leftChars="-200" w:right="-493" w:rightChars="-224"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pPr>
        <w:spacing w:after="0" w:line="360" w:lineRule="auto"/>
        <w:ind w:left="-440" w:leftChars="-200" w:right="-493" w:rightChars="-224"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pPr>
        <w:spacing w:after="0" w:line="360" w:lineRule="auto"/>
        <w:ind w:left="-440" w:leftChars="-200" w:right="-493" w:rightChars="-224"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pPr>
        <w:spacing w:after="0" w:line="360" w:lineRule="auto"/>
        <w:ind w:left="-440" w:leftChars="-200" w:right="-493" w:rightChars="-2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pPr>
        <w:spacing w:after="0" w:line="360" w:lineRule="auto"/>
        <w:ind w:left="-440" w:leftChars="-200" w:right="-493" w:rightChars="-2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pPr>
        <w:spacing w:after="0" w:line="360" w:lineRule="auto"/>
        <w:ind w:left="-440" w:leftChars="-200" w:right="-493" w:rightChars="-2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pPr>
        <w:pStyle w:val="6"/>
        <w:ind w:left="-440" w:leftChars="-200" w:right="-493" w:rightChars="-2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pPr>
        <w:spacing w:after="0" w:line="360" w:lineRule="auto"/>
        <w:ind w:left="-440" w:leftChars="-200" w:right="-493" w:rightChars="-2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pPr>
        <w:spacing w:after="0" w:line="360" w:lineRule="auto"/>
        <w:ind w:left="-440" w:leftChars="-200" w:right="-493" w:rightChars="-224" w:firstLine="384" w:firstLineChars="183"/>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pPr>
        <w:spacing w:after="0" w:line="360" w:lineRule="auto"/>
        <w:ind w:left="-440" w:leftChars="-200" w:right="-493" w:rightChars="-224" w:firstLine="441" w:firstLineChars="183"/>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493" w:rightChars="-224" w:firstLine="384" w:firstLineChars="183"/>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493" w:rightChars="-224" w:firstLine="384" w:firstLineChars="183"/>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pPr>
        <w:spacing w:after="0" w:line="360" w:lineRule="auto"/>
        <w:ind w:left="-440" w:leftChars="-200" w:right="-493" w:rightChars="-224" w:firstLine="441" w:firstLineChars="183"/>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pPr>
        <w:spacing w:after="0" w:line="360" w:lineRule="auto"/>
        <w:ind w:left="-440" w:leftChars="-200" w:right="-493" w:rightChars="-224"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rPr>
        <w:t>响应文件上传时间：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22</w:t>
      </w:r>
      <w:r>
        <w:rPr>
          <w:rFonts w:hint="eastAsia" w:cs="宋体" w:asciiTheme="minorEastAsia" w:hAnsiTheme="minorEastAsia" w:eastAsiaTheme="minorEastAsia"/>
          <w:sz w:val="21"/>
          <w:szCs w:val="21"/>
          <w:highlight w:val="none"/>
          <w:lang w:eastAsia="zh-CN"/>
        </w:rPr>
        <w:t>日～2023年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26</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14:0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left="-440" w:leftChars="-200" w:right="-493" w:rightChars="-224"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26</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14:0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left="-440" w:leftChars="-200" w:right="-493" w:rightChars="-224"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26</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14:0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left="-440" w:leftChars="-200" w:right="-493" w:rightChars="-224"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26</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15:0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left="-440" w:leftChars="-200" w:right="-493" w:rightChars="-224" w:firstLine="441" w:firstLineChars="183"/>
        <w:rPr>
          <w:rFonts w:asciiTheme="minorEastAsia" w:hAnsiTheme="minorEastAsia" w:eastAsiaTheme="minorEastAsia"/>
          <w:b/>
          <w:sz w:val="21"/>
          <w:szCs w:val="21"/>
        </w:rPr>
      </w:pPr>
      <w:r>
        <w:rPr>
          <w:rFonts w:hint="eastAsia" w:asciiTheme="minorEastAsia" w:hAnsiTheme="minorEastAsia" w:eastAsiaTheme="minorEastAsia"/>
          <w:b/>
          <w:sz w:val="24"/>
          <w:szCs w:val="21"/>
        </w:rPr>
        <w:t>八、解密方式</w:t>
      </w:r>
      <w:r>
        <w:rPr>
          <w:rFonts w:asciiTheme="minorEastAsia" w:hAnsiTheme="minorEastAsia" w:eastAsiaTheme="minorEastAsia"/>
          <w:b/>
          <w:sz w:val="24"/>
          <w:szCs w:val="21"/>
        </w:rPr>
        <w:t>及协商方式</w:t>
      </w:r>
    </w:p>
    <w:p>
      <w:pPr>
        <w:spacing w:before="240" w:after="0" w:line="360" w:lineRule="auto"/>
        <w:ind w:left="-440" w:leftChars="-200" w:right="-493" w:rightChars="-224" w:firstLine="386" w:firstLineChars="183"/>
        <w:contextualSpacing/>
        <w:jc w:val="both"/>
        <w:rPr>
          <w:rFonts w:asciiTheme="minorEastAsia" w:hAnsiTheme="minorEastAsia" w:eastAsiaTheme="minorEastAsia"/>
          <w:b w:val="0"/>
          <w:bCs/>
          <w:sz w:val="21"/>
          <w:szCs w:val="21"/>
        </w:rPr>
      </w:pPr>
      <w:r>
        <w:rPr>
          <w:rFonts w:hint="eastAsia" w:asciiTheme="minorEastAsia" w:hAnsiTheme="minorEastAsia" w:eastAsiaTheme="minorEastAsia"/>
          <w:b/>
          <w:sz w:val="21"/>
          <w:szCs w:val="21"/>
        </w:rPr>
        <w:t>远程解密：</w:t>
      </w:r>
      <w:r>
        <w:rPr>
          <w:rFonts w:hint="eastAsia" w:asciiTheme="minorEastAsia" w:hAnsiTheme="minorEastAsia" w:eastAsiaTheme="minorEastAsia"/>
          <w:b w:val="0"/>
          <w:bCs/>
          <w:sz w:val="21"/>
          <w:szCs w:val="21"/>
        </w:rPr>
        <w:t>供应商于响应文件递交截止时间在原单位使用原上传文件电脑通过数字证书（CA）或登录【中招互联】APP或进行响应文件的远程解密（届时请持上传文件时所使用的手机提前30分钟等候在电脑前准备参加文件解密，需保持电脑网络通畅）。</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right="-493" w:rightChars="-224" w:firstLine="386" w:firstLineChars="183"/>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b/>
          <w:sz w:val="21"/>
          <w:szCs w:val="21"/>
        </w:rPr>
        <w:t>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pPr>
        <w:spacing w:after="0" w:line="360" w:lineRule="auto"/>
        <w:ind w:left="-440" w:leftChars="-200" w:right="-493" w:rightChars="-224" w:firstLine="384" w:firstLineChars="183"/>
        <w:rPr>
          <w:rFonts w:hint="eastAsia" w:asciiTheme="minorEastAsia" w:hAnsiTheme="minorEastAsia" w:eastAsiaTheme="minorEastAsia"/>
          <w:b w:val="0"/>
          <w:bCs/>
          <w:sz w:val="21"/>
          <w:szCs w:val="21"/>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rPr>
        <w:t xml:space="preserve">400-9913-966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pPr>
        <w:spacing w:after="0" w:line="360" w:lineRule="auto"/>
        <w:ind w:left="-440" w:leftChars="-200" w:right="-493" w:rightChars="-224"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left="-440" w:leftChars="-200" w:right="-493" w:rightChars="-224" w:firstLine="384" w:firstLineChars="183"/>
        <w:textAlignment w:val="auto"/>
        <w:rPr>
          <w:rFonts w:cs="宋体" w:asciiTheme="minorEastAsia" w:hAnsiTheme="minorEastAsia" w:eastAsiaTheme="minorEastAsia"/>
          <w:sz w:val="21"/>
          <w:szCs w:val="21"/>
        </w:rPr>
      </w:pPr>
      <w:bookmarkStart w:id="0" w:name="_Toc527978790"/>
      <w:bookmarkStart w:id="1" w:name="_Toc4102805"/>
      <w:bookmarkStart w:id="2" w:name="_Toc527970780"/>
      <w:bookmarkStart w:id="3" w:name="_Toc4148807"/>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pPr>
        <w:spacing w:before="240" w:after="0" w:line="360" w:lineRule="auto"/>
        <w:ind w:left="-440" w:leftChars="-200" w:right="-493" w:rightChars="-224" w:firstLine="384" w:firstLineChars="183"/>
        <w:contextualSpacing/>
        <w:jc w:val="both"/>
        <w:rPr>
          <w:rFonts w:hint="eastAsia" w:cs="Arial" w:asciiTheme="minorEastAsia" w:hAnsiTheme="minorEastAsia" w:eastAsiaTheme="minorEastAsia"/>
          <w:sz w:val="21"/>
          <w:szCs w:val="21"/>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成交单位需向内蒙古产权交易中心有限责任公司招标管理部门缴纳交易服务费，收取办法为：①成交金额大于500000元（50万元）按成交价的1‰收取，成交金额低于500000元（50万元）按500.00元收取；②框架采购和入围的成交单位，平台使用服务费为1000元/标段/次。场地使用服务费缴纳方式为公对公转账</w:t>
      </w:r>
      <w:r>
        <w:rPr>
          <w:rFonts w:hint="eastAsia" w:cs="宋体" w:asciiTheme="minorEastAsia" w:hAnsiTheme="minorEastAsia" w:eastAsiaTheme="minorEastAsia"/>
          <w:sz w:val="21"/>
          <w:szCs w:val="21"/>
          <w:lang w:val="en-US" w:eastAsia="zh-CN"/>
        </w:rPr>
        <w:t>，转账信息详见供应商须知前附表</w:t>
      </w:r>
      <w:r>
        <w:rPr>
          <w:rFonts w:hint="eastAsia" w:cs="Arial" w:asciiTheme="minorEastAsia" w:hAnsiTheme="minorEastAsia" w:eastAsiaTheme="minorEastAsia"/>
          <w:sz w:val="21"/>
          <w:szCs w:val="21"/>
        </w:rPr>
        <w:t>。</w:t>
      </w:r>
    </w:p>
    <w:p>
      <w:pPr>
        <w:spacing w:before="240" w:after="0" w:line="360" w:lineRule="auto"/>
        <w:ind w:left="-440" w:leftChars="-200" w:right="-493" w:rightChars="-224" w:firstLine="441" w:firstLineChars="183"/>
        <w:contextualSpacing/>
        <w:jc w:val="both"/>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pPr>
        <w:tabs>
          <w:tab w:val="left" w:pos="2625"/>
        </w:tabs>
        <w:adjustRightInd/>
        <w:spacing w:line="360" w:lineRule="auto"/>
        <w:ind w:left="-440" w:leftChars="-200" w:right="-493" w:rightChars="-224" w:firstLine="384" w:firstLineChars="183"/>
        <w:contextualSpacing/>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lang w:eastAsia="zh-CN"/>
        </w:rPr>
        <w:t>本次公告在《中国招标投标公共服务平台》（www.cebpubservice.com）、《内蒙古招标投标公共服务平台》（www.nmgztb.com.cn）、《内蒙古电力集团电子采购系统》（http://guocai-impc.cppchina.cn）、《内蒙古自治区企业阳光采购服务平台》（www.nmgygcg.ejy365.com）同时发布，其它媒介转发无效</w:t>
      </w:r>
    </w:p>
    <w:p>
      <w:pPr>
        <w:tabs>
          <w:tab w:val="left" w:pos="2625"/>
        </w:tabs>
        <w:adjustRightInd/>
        <w:spacing w:line="360" w:lineRule="auto"/>
        <w:ind w:left="-440" w:leftChars="-200" w:right="-493" w:rightChars="-224" w:firstLine="384" w:firstLineChars="183"/>
        <w:contextualSpacing/>
        <w:rPr>
          <w:rFonts w:hint="eastAsia"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rPr>
        <w:t>采购人：</w:t>
      </w:r>
      <w:r>
        <w:rPr>
          <w:rFonts w:hint="eastAsia" w:cs="Arial" w:asciiTheme="minorEastAsia" w:hAnsiTheme="minorEastAsia" w:eastAsiaTheme="minorEastAsia"/>
          <w:sz w:val="21"/>
          <w:szCs w:val="21"/>
          <w:lang w:eastAsia="zh-CN"/>
        </w:rPr>
        <w:t>内蒙古电力集团蒙电信息通信产业有限责任公司</w:t>
      </w:r>
    </w:p>
    <w:p>
      <w:pPr>
        <w:tabs>
          <w:tab w:val="left" w:pos="2625"/>
        </w:tabs>
        <w:adjustRightInd/>
        <w:spacing w:line="360" w:lineRule="auto"/>
        <w:ind w:left="-440" w:leftChars="-200" w:right="-493" w:rightChars="-224" w:firstLine="384" w:firstLineChars="183"/>
        <w:contextualSpacing/>
        <w:rPr>
          <w:rFonts w:hint="default"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 系 人：</w:t>
      </w:r>
      <w:r>
        <w:rPr>
          <w:rFonts w:hint="eastAsia" w:cs="Arial" w:asciiTheme="minorEastAsia" w:hAnsiTheme="minorEastAsia" w:eastAsiaTheme="minorEastAsia"/>
          <w:sz w:val="21"/>
          <w:szCs w:val="21"/>
          <w:lang w:val="en-US" w:eastAsia="zh-CN"/>
        </w:rPr>
        <w:t>胡鲲鹏</w:t>
      </w:r>
    </w:p>
    <w:p>
      <w:pPr>
        <w:tabs>
          <w:tab w:val="left" w:pos="2625"/>
        </w:tabs>
        <w:adjustRightInd/>
        <w:spacing w:line="360" w:lineRule="auto"/>
        <w:ind w:left="-440" w:leftChars="-200" w:right="-493" w:rightChars="-224" w:firstLine="384" w:firstLineChars="183"/>
        <w:contextualSpacing/>
        <w:rPr>
          <w:rFonts w:hint="eastAsia"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联系电话：0471-</w:t>
      </w:r>
      <w:r>
        <w:rPr>
          <w:rFonts w:hint="eastAsia" w:cs="Arial" w:asciiTheme="minorEastAsia" w:hAnsiTheme="minorEastAsia" w:eastAsiaTheme="minorEastAsia"/>
          <w:sz w:val="21"/>
          <w:szCs w:val="21"/>
          <w:lang w:val="en-US" w:eastAsia="zh-CN"/>
        </w:rPr>
        <w:t xml:space="preserve">6223431         </w:t>
      </w:r>
    </w:p>
    <w:p>
      <w:pPr>
        <w:tabs>
          <w:tab w:val="left" w:pos="2625"/>
        </w:tabs>
        <w:adjustRightInd/>
        <w:spacing w:line="360" w:lineRule="auto"/>
        <w:ind w:left="-440" w:leftChars="-200" w:right="-493" w:rightChars="-224" w:firstLine="384" w:firstLineChars="183"/>
        <w:contextualSpacing/>
        <w:rPr>
          <w:rFonts w:hint="eastAsia" w:cs="Arial" w:asciiTheme="minorEastAsia" w:hAnsiTheme="minorEastAsia" w:eastAsiaTheme="minorEastAsia"/>
          <w:sz w:val="21"/>
          <w:szCs w:val="21"/>
          <w:highlight w:val="none"/>
          <w:lang w:eastAsia="zh-CN"/>
        </w:rPr>
      </w:pPr>
    </w:p>
    <w:p>
      <w:pPr>
        <w:tabs>
          <w:tab w:val="left" w:pos="2625"/>
        </w:tabs>
        <w:adjustRightInd/>
        <w:spacing w:line="360" w:lineRule="auto"/>
        <w:ind w:left="-440" w:leftChars="-200" w:right="-493" w:rightChars="-224" w:firstLine="6255" w:firstLineChars="2979"/>
        <w:contextualSpacing/>
        <w:rPr>
          <w:highlight w:val="none"/>
        </w:rPr>
      </w:pPr>
      <w:bookmarkStart w:id="4" w:name="_GoBack"/>
      <w:bookmarkEnd w:id="4"/>
      <w:r>
        <w:rPr>
          <w:rFonts w:hint="eastAsia" w:cs="Arial" w:asciiTheme="minorEastAsia" w:hAnsiTheme="minorEastAsia" w:eastAsiaTheme="minorEastAsia"/>
          <w:sz w:val="21"/>
          <w:szCs w:val="21"/>
          <w:highlight w:val="none"/>
          <w:lang w:eastAsia="zh-CN"/>
        </w:rPr>
        <w:t>2023年</w:t>
      </w:r>
      <w:r>
        <w:rPr>
          <w:rFonts w:hint="eastAsia" w:cs="Arial" w:asciiTheme="minorEastAsia" w:hAnsiTheme="minorEastAsia" w:eastAsiaTheme="minorEastAsia"/>
          <w:sz w:val="21"/>
          <w:szCs w:val="21"/>
          <w:highlight w:val="none"/>
          <w:lang w:val="en-US" w:eastAsia="zh-CN"/>
        </w:rPr>
        <w:t>12</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22</w:t>
      </w:r>
      <w:r>
        <w:rPr>
          <w:rFonts w:hint="eastAsia" w:cs="Arial" w:asciiTheme="minorEastAsia" w:hAnsiTheme="minorEastAsia" w:eastAsiaTheme="minorEastAsia"/>
          <w:sz w:val="21"/>
          <w:szCs w:val="21"/>
          <w:highlight w:val="none"/>
          <w:lang w:eastAsia="zh-CN"/>
        </w:rPr>
        <w:t>日</w:t>
      </w:r>
    </w:p>
    <w:p>
      <w:pPr>
        <w:ind w:left="-440" w:leftChars="-200" w:right="-493" w:rightChars="-224" w:firstLine="402" w:firstLineChars="18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7FAC7437"/>
    <w:rsid w:val="7FAC74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adjustRightInd/>
      <w:snapToGrid/>
      <w:spacing w:after="0"/>
      <w:ind w:firstLine="420"/>
    </w:pPr>
    <w:rPr>
      <w:rFonts w:ascii="Times New Roman" w:hAnsi="Times New Roman" w:eastAsia="宋体" w:cs="Times New Roman"/>
      <w:sz w:val="20"/>
      <w:szCs w:val="20"/>
    </w:rPr>
  </w:style>
  <w:style w:type="paragraph" w:styleId="3">
    <w:name w:val="toc 4"/>
    <w:basedOn w:val="1"/>
    <w:next w:val="1"/>
    <w:qFormat/>
    <w:uiPriority w:val="39"/>
    <w:pPr>
      <w:widowControl w:val="0"/>
      <w:adjustRightInd/>
      <w:snapToGrid/>
      <w:spacing w:after="0"/>
      <w:ind w:left="630"/>
    </w:pPr>
    <w:rPr>
      <w:rFonts w:ascii="Times New Roman" w:hAnsi="Times New Roman" w:eastAsia="宋体" w:cs="Times New Roman"/>
      <w:kern w:val="2"/>
      <w:sz w:val="18"/>
      <w:szCs w:val="18"/>
    </w:rPr>
  </w:style>
  <w:style w:type="paragraph" w:styleId="4">
    <w:name w:val="Body Text Indent"/>
    <w:basedOn w:val="1"/>
    <w:next w:val="5"/>
    <w:unhideWhenUsed/>
    <w:qFormat/>
    <w:uiPriority w:val="0"/>
    <w:pPr>
      <w:ind w:firstLine="360" w:firstLineChars="200"/>
    </w:pPr>
    <w:rPr>
      <w:sz w:val="18"/>
    </w:rPr>
  </w:style>
  <w:style w:type="paragraph" w:styleId="5">
    <w:name w:val="footnote text"/>
    <w:basedOn w:val="1"/>
    <w:qFormat/>
    <w:uiPriority w:val="0"/>
    <w:pPr>
      <w:widowControl w:val="0"/>
      <w:adjustRightInd/>
      <w:spacing w:after="0"/>
      <w:ind w:firstLine="200" w:firstLineChars="200"/>
    </w:pPr>
    <w:rPr>
      <w:rFonts w:ascii="Times New Roman" w:hAnsi="Times New Roman" w:eastAsia="华文仿宋" w:cs="Times New Roman"/>
      <w:sz w:val="18"/>
      <w:szCs w:val="20"/>
      <w:lang w:val="zh-CN"/>
    </w:rPr>
  </w:style>
  <w:style w:type="paragraph" w:styleId="6">
    <w:name w:val="Body Text First Indent 2"/>
    <w:basedOn w:val="4"/>
    <w:semiHidden/>
    <w:unhideWhenUsed/>
    <w:qFormat/>
    <w:uiPriority w:val="99"/>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2023-12-22T08:18:00Z</dcterms:created>
  <dc:creator>赵灵燕</dc:creator>
  <cp:lastModifiedBy>赵灵燕</cp:lastModifiedBy>
  <dcterms:modified xsi:type="dcterms:W3CDTF">2023-12-22T08:19:22Z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7778FF9D9B4F4F76B25D3F73E0DC8147_11</vt:lpwstr>
  </property>
</Properties>
</file>