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0" w:leftChars="0" w:firstLine="0" w:firstLineChars="0"/>
        <w:outlineLvl w:val="1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</w:pPr>
      <w:bookmarkStart w:id="0" w:name="_Toc25676"/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公告附表—采购明细表：</w:t>
      </w:r>
    </w:p>
    <w:tbl>
      <w:tblPr>
        <w:tblStyle w:val="9"/>
        <w:tblW w:w="103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2"/>
        <w:gridCol w:w="2418"/>
        <w:gridCol w:w="852"/>
        <w:gridCol w:w="442"/>
        <w:gridCol w:w="547"/>
        <w:gridCol w:w="1172"/>
        <w:gridCol w:w="1243"/>
        <w:gridCol w:w="628"/>
        <w:gridCol w:w="515"/>
        <w:gridCol w:w="745"/>
        <w:gridCol w:w="650"/>
        <w:gridCol w:w="5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  <w:jc w:val="center"/>
        </w:trPr>
        <w:tc>
          <w:tcPr>
            <w:tcW w:w="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标段</w:t>
            </w:r>
          </w:p>
        </w:tc>
        <w:tc>
          <w:tcPr>
            <w:tcW w:w="2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名称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内容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单位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数量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单价(预算.元)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合计(预算.元)</w:t>
            </w:r>
          </w:p>
        </w:tc>
        <w:tc>
          <w:tcPr>
            <w:tcW w:w="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项目单位</w:t>
            </w:r>
          </w:p>
        </w:tc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采购方式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服务期\工期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资金来源</w:t>
            </w:r>
          </w:p>
        </w:tc>
        <w:tc>
          <w:tcPr>
            <w:tcW w:w="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5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标段1（勘察设计）</w:t>
            </w:r>
          </w:p>
        </w:tc>
        <w:tc>
          <w:tcPr>
            <w:tcW w:w="2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鄂尔多斯市康巴什区110kV景观河变电站新建一回10kV线路送出等3项工程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设计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776680.00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776680.00</w:t>
            </w:r>
          </w:p>
        </w:tc>
        <w:tc>
          <w:tcPr>
            <w:tcW w:w="6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工程建设部</w:t>
            </w:r>
          </w:p>
        </w:tc>
        <w:tc>
          <w:tcPr>
            <w:tcW w:w="5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公开招标</w:t>
            </w:r>
          </w:p>
        </w:tc>
        <w:tc>
          <w:tcPr>
            <w:tcW w:w="7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合同签订-2024年12月31日</w:t>
            </w:r>
          </w:p>
        </w:tc>
        <w:tc>
          <w:tcPr>
            <w:tcW w:w="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10kV及以下基建工程</w:t>
            </w:r>
          </w:p>
        </w:tc>
        <w:tc>
          <w:tcPr>
            <w:tcW w:w="5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勘察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116166.00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116166.00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鄂尔多斯市东胜区110kV中心变913纺织街三回线与三台基911郝纺一回线联络工程等9项工程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设计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619217.00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619217.00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勘察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131634.00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131634.00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鄂尔多斯市东胜区（铁西）35千伏泊江海变911草原线台区改造等13项工程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设计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555184.00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555184.00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勘察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124226.00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124226.00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鄂尔多斯市鄂托克前旗110kV雅希勒变电站新建10kV线路工程等3项工程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设计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242174.00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242174.00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勘察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18527.00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18527.00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鄂尔多斯市康巴什区110千伏北区变新建9#、10#两回线路送出等4项工程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设计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795136.00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795136.00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勘察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99252.00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99252.00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鄂尔多斯市东胜区110千伏准南变新建线路与东911工业二回线、东916陶瓷厂线联络等5项工程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设计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449142.00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449142.00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勘察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52009.00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52009.00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鄂尔多斯市东胜区（铁西）35千伏广场变914大兴I线改造等2项工程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设计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121206.00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121206.00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勘察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14333.00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14333.00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鄂尔多斯市乌审旗220千伏图忽岱变电站新建两回线路送出工程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设计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316352.00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316352.00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勘察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32706.00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32706.00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鄂尔多斯市鄂托克旗110千伏乌兰站916包苏新线改造等2项工程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设计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24907.00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24907.00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勘察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1832.00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1832.00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鄂尔多斯市伊金霍洛旗110千伏公建禾变改造建设10千伏线路送出工程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设计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298550.00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298550.00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5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勘察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项</w:t>
            </w:r>
          </w:p>
        </w:tc>
        <w:tc>
          <w:tcPr>
            <w:tcW w:w="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17751.00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  <w:t>17751.00</w:t>
            </w:r>
          </w:p>
        </w:tc>
        <w:tc>
          <w:tcPr>
            <w:tcW w:w="6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601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合计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4806984.00</w:t>
            </w:r>
          </w:p>
        </w:tc>
        <w:tc>
          <w:tcPr>
            <w:tcW w:w="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</w:p>
        </w:tc>
      </w:tr>
    </w:tbl>
    <w:p>
      <w:pPr>
        <w:ind w:left="0" w:leftChars="0"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br w:type="page"/>
      </w:r>
    </w:p>
    <w:p>
      <w:pPr>
        <w:pageBreakBefore w:val="0"/>
        <w:widowControl/>
        <w:kinsoku/>
        <w:overflowPunct/>
        <w:topLinePunct w:val="0"/>
        <w:bidi w:val="0"/>
        <w:snapToGrid w:val="0"/>
        <w:spacing w:line="240" w:lineRule="auto"/>
        <w:ind w:firstLine="0" w:firstLineChars="0"/>
        <w:jc w:val="left"/>
        <w:textAlignment w:val="auto"/>
        <w:outlineLvl w:val="2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  <w:t>附件1：《投标真实性承诺书》</w:t>
      </w:r>
      <w:bookmarkEnd w:id="0"/>
    </w:p>
    <w:p>
      <w:pPr>
        <w:widowControl/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kern w:val="0"/>
          <w:sz w:val="28"/>
          <w:highlight w:val="none"/>
          <w:shd w:val="clear"/>
        </w:rPr>
      </w:pPr>
    </w:p>
    <w:p>
      <w:pPr>
        <w:widowControl/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kern w:val="0"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highlight w:val="none"/>
          <w:shd w:val="clear"/>
        </w:rPr>
        <w:t>《投标真实性承诺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highlight w:val="none"/>
          <w:shd w:val="clear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highlight w:val="none"/>
          <w:shd w:val="clear"/>
        </w:rPr>
        <w:t>》</w:t>
      </w:r>
    </w:p>
    <w:p>
      <w:pPr>
        <w:ind w:firstLine="360" w:firstLineChars="200"/>
        <w:rPr>
          <w:rFonts w:hint="eastAsia" w:ascii="仿宋" w:hAnsi="仿宋" w:eastAsia="仿宋" w:cs="仿宋"/>
          <w:color w:val="auto"/>
          <w:sz w:val="18"/>
          <w:highlight w:val="none"/>
          <w:lang w:val="en-US" w:eastAsia="zh-CN" w:bidi="ar-SA"/>
        </w:rPr>
      </w:pPr>
    </w:p>
    <w:p>
      <w:pPr>
        <w:widowControl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widowControl/>
        <w:spacing w:line="360" w:lineRule="auto"/>
        <w:ind w:firstLine="465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我公司参与贵公司组织采购的                   （项目名称），我公司承诺所提交的报名资料及投标文件内容是真实有效的。如有不实，则违反招标投标法“诚实信用”原则，我公司承担由此引发的所有责任。</w:t>
      </w:r>
    </w:p>
    <w:p>
      <w:pPr>
        <w:widowControl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8"/>
          <w:highlight w:val="none"/>
        </w:rPr>
      </w:pPr>
    </w:p>
    <w:p>
      <w:pPr>
        <w:widowControl/>
        <w:spacing w:line="24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投标人：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highlight w:val="none"/>
        </w:rPr>
        <w:sectPr>
          <w:headerReference r:id="rId5" w:type="default"/>
          <w:footerReference r:id="rId6" w:type="default"/>
          <w:pgSz w:w="11905" w:h="16838"/>
          <w:pgMar w:top="1701" w:right="1417" w:bottom="1701" w:left="1417" w:header="0" w:footer="918" w:gutter="340"/>
          <w:pgNumType w:fmt="decimal"/>
          <w:cols w:space="0" w:num="1"/>
          <w:rtlGutter w:val="0"/>
          <w:docGrid w:linePitch="327" w:charSpace="0"/>
        </w:sectPr>
      </w:pPr>
    </w:p>
    <w:p>
      <w:pPr>
        <w:pageBreakBefore w:val="0"/>
        <w:widowControl/>
        <w:kinsoku/>
        <w:overflowPunct/>
        <w:topLinePunct w:val="0"/>
        <w:bidi w:val="0"/>
        <w:snapToGrid w:val="0"/>
        <w:spacing w:line="240" w:lineRule="auto"/>
        <w:ind w:firstLine="0" w:firstLineChars="0"/>
        <w:jc w:val="left"/>
        <w:textAlignment w:val="auto"/>
        <w:outlineLvl w:val="2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</w:pPr>
      <w:bookmarkStart w:id="1" w:name="_Toc2656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  <w:t>附件2：</w:t>
      </w:r>
      <w:bookmarkEnd w:id="1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  <w:lang w:val="en-US" w:eastAsia="zh-CN"/>
        </w:rPr>
        <w:t>投标人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9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lang w:val="en-US" w:eastAsia="zh-CN"/>
        </w:rPr>
        <w:t>投标人</w:t>
      </w:r>
      <w:r>
        <w:rPr>
          <w:rFonts w:hint="eastAsia" w:ascii="仿宋" w:hAnsi="仿宋" w:eastAsia="仿宋" w:cs="仿宋"/>
          <w:kern w:val="0"/>
          <w:sz w:val="24"/>
        </w:rPr>
        <w:t>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br w:type="page"/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</w:t>
      </w:r>
      <w:r>
        <w:rPr>
          <w:rFonts w:hint="eastAsia" w:ascii="仿宋" w:hAnsi="仿宋" w:eastAsia="仿宋" w:cs="仿宋"/>
          <w:sz w:val="24"/>
          <w:szCs w:val="24"/>
          <w:highlight w:val="white"/>
          <w:lang w:val="en-US" w:eastAsia="zh-CN"/>
        </w:rPr>
        <w:t>投标人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名称）的法定代表人</w:t>
      </w:r>
      <w:r>
        <w:rPr>
          <w:rFonts w:hint="eastAsia" w:ascii="仿宋" w:hAnsi="仿宋" w:eastAsia="仿宋" w:cs="仿宋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，现委托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标段)报名资料、响应文件、签订合同和处理有关事宜，其法律后果由我方承担。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。（可参考：</w:t>
      </w:r>
      <w:r>
        <w:rPr>
          <w:rFonts w:hint="eastAsia" w:ascii="仿宋" w:hAnsi="仿宋" w:eastAsia="仿宋" w:cs="仿宋"/>
          <w:sz w:val="24"/>
          <w:szCs w:val="24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6432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仿宋" w:cs="Times New Roman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  <w:rPr>
                          <w:rFonts w:ascii="Times New Roman" w:hAnsi="Times New Roman" w:eastAsia="仿宋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7456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5szMx2AAAAAkBAAAPAAAAAAAAAAEAIAAAACIAAABkcnMvZG93&#10;bnJldi54bWxQSwECFAAUAAAACACHTuJAZcXLA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仿宋" w:cs="Times New Roman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  <w:rPr>
                          <w:rFonts w:ascii="Times New Roman" w:hAnsi="Times New Roman" w:eastAsia="仿宋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eastAsia="仿宋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8480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RY9Tu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仿宋" w:cs="Times New Roman"/>
                        </w:rPr>
                      </w:pPr>
                    </w:p>
                    <w:p>
                      <w:pPr>
                        <w:jc w:val="center"/>
                        <w:rPr>
                          <w:rFonts w:ascii="Times New Roman" w:hAnsi="Times New Roman" w:eastAsia="仿宋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仿宋" w:cs="Times New Roman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9504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5bAS82AAAAAkBAAAPAAAAAAAAAAEAIAAAACIAAABkcnMvZG93&#10;bnJldi54bWxQSwECFAAUAAAACACHTuJAOa09GT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仿宋" w:cs="Times New Roman"/>
                        </w:rPr>
                      </w:pPr>
                    </w:p>
                    <w:p>
                      <w:pPr>
                        <w:jc w:val="center"/>
                        <w:rPr>
                          <w:rFonts w:ascii="Times New Roman" w:hAnsi="Times New Roman" w:eastAsia="仿宋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eastAsia="仿宋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widowControl w:val="0"/>
        <w:spacing w:after="120" w:line="240" w:lineRule="auto"/>
        <w:ind w:left="480" w:leftChars="200" w:firstLine="440" w:firstLineChars="200"/>
        <w:jc w:val="both"/>
        <w:rPr>
          <w:rFonts w:hint="eastAsia" w:ascii="仿宋" w:hAnsi="仿宋" w:eastAsia="仿宋" w:cs="仿宋"/>
          <w:color w:val="auto"/>
          <w:kern w:val="2"/>
          <w:sz w:val="22"/>
          <w:szCs w:val="22"/>
          <w:highlight w:val="none"/>
          <w:lang w:val="en-US" w:eastAsia="zh-CN" w:bidi="ar-S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  <w:lang w:val="en-US" w:eastAsia="zh-CN"/>
        </w:rPr>
        <w:t>投标人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whit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年   月   日</w:t>
      </w:r>
    </w:p>
    <w:p>
      <w:pP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  <w:br w:type="page"/>
      </w:r>
    </w:p>
    <w:p>
      <w:pPr>
        <w:widowControl w:val="0"/>
        <w:spacing w:after="120" w:line="360" w:lineRule="auto"/>
        <w:ind w:firstLine="0" w:firstLineChars="0"/>
        <w:jc w:val="both"/>
        <w:outlineLvl w:val="2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</w:pPr>
      <w:bookmarkStart w:id="2" w:name="_Toc18393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/>
        </w:rPr>
        <w:t>附件3：</w:t>
      </w:r>
      <w:bookmarkEnd w:id="2"/>
    </w:p>
    <w:p>
      <w:pPr>
        <w:widowControl/>
        <w:spacing w:line="24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：国家企业信用信息公示系统查询方式</w:t>
      </w:r>
    </w:p>
    <w:p>
      <w:pPr>
        <w:widowControl/>
        <w:spacing w:line="520" w:lineRule="exact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  <w:u w:val="single"/>
        </w:rPr>
        <w:t>http://www.gsxt.gov.cn/index.html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，在查询窗口输入企业名称，点击查询。</w:t>
      </w:r>
    </w:p>
    <w:p>
      <w:pPr>
        <w:widowControl/>
        <w:spacing w:line="240" w:lineRule="auto"/>
        <w:ind w:firstLine="425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szCs w:val="21"/>
          <w:highlight w:val="none"/>
        </w:rPr>
      </w:pPr>
    </w:p>
    <w:p>
      <w:pPr>
        <w:widowControl/>
        <w:spacing w:line="520" w:lineRule="exact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1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2、点击进入企业界面。</w:t>
      </w:r>
    </w:p>
    <w:p>
      <w:pPr>
        <w:widowControl/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l="3496" r="28222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</w:p>
    <w:p>
      <w:pPr>
        <w:widowControl/>
        <w:numPr>
          <w:ilvl w:val="0"/>
          <w:numId w:val="0"/>
        </w:numPr>
        <w:bidi w:val="0"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281940</wp:posOffset>
            </wp:positionV>
            <wp:extent cx="5187950" cy="3785870"/>
            <wp:effectExtent l="0" t="0" r="3175" b="5080"/>
            <wp:wrapNone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footerReference r:id="rId7" w:type="default"/>
          <w:pgSz w:w="11905" w:h="16838"/>
          <w:pgMar w:top="1701" w:right="1417" w:bottom="1701" w:left="1417" w:header="0" w:footer="918" w:gutter="340"/>
          <w:pgNumType w:fmt="decimal"/>
          <w:cols w:space="0" w:num="1"/>
          <w:rtlGutter w:val="0"/>
          <w:docGrid w:linePitch="327" w:charSpace="0"/>
        </w:sectPr>
      </w:pPr>
    </w:p>
    <w:p>
      <w:pPr>
        <w:widowControl/>
        <w:spacing w:line="36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2：信用中国查询方式</w:t>
      </w:r>
    </w:p>
    <w:p>
      <w:pPr>
        <w:widowControl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szCs w:val="21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528955</wp:posOffset>
            </wp:positionV>
            <wp:extent cx="5490210" cy="4246880"/>
            <wp:effectExtent l="0" t="0" r="0" b="1270"/>
            <wp:wrapNone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7344" r="-1036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国家信息中心主办“信用中国”网站地址：http://www.creditchina.gov.cn打开网页后，点击“信用服务”。</w:t>
      </w:r>
    </w:p>
    <w:p>
      <w:pPr>
        <w:widowControl/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  <w:color w:val="auto"/>
          <w:kern w:val="0"/>
          <w:sz w:val="2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  <w:br w:type="page"/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在以下页面中点击“失信被执行人”</w:t>
      </w:r>
    </w:p>
    <w:p>
      <w:pPr>
        <w:widowControl/>
        <w:spacing w:line="240" w:lineRule="auto"/>
        <w:ind w:firstLine="482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</w:pPr>
    </w:p>
    <w:p>
      <w:pPr>
        <w:widowControl/>
        <w:spacing w:line="24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56" name="图片 56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失信"/>
                    <pic:cNvPicPr>
                      <a:picLocks noChangeAspect="1"/>
                    </pic:cNvPicPr>
                  </pic:nvPicPr>
                  <pic:blipFill>
                    <a:blip r:embed="rId15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sectPr>
          <w:pgSz w:w="11905" w:h="16838"/>
          <w:pgMar w:top="1701" w:right="1417" w:bottom="1701" w:left="1417" w:header="0" w:footer="918" w:gutter="340"/>
          <w:pgNumType w:fmt="decimal"/>
          <w:cols w:space="0" w:num="1"/>
          <w:rtlGutter w:val="0"/>
          <w:docGrid w:linePitch="327" w:charSpace="0"/>
        </w:sectPr>
      </w:pPr>
    </w:p>
    <w:p>
      <w:pPr>
        <w:widowControl/>
        <w:spacing w:line="24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3、在弹出窗口进入链接网站，在查询窗口输入查询企业名称，将查询结果截图。</w:t>
      </w:r>
    </w:p>
    <w:p>
      <w:pPr>
        <w:widowControl/>
        <w:adjustRightInd/>
        <w:spacing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8"/>
          <w:highlight w:val="none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3945255"/>
            <wp:effectExtent l="0" t="0" r="1905" b="7620"/>
            <wp:wrapNone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/>
        <w:spacing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highlight w:val="none"/>
          <w:lang w:val="en-US" w:eastAsia="zh-CN" w:bidi="ar-SA"/>
        </w:rPr>
      </w:pPr>
    </w:p>
    <w:p>
      <w:pPr>
        <w:widowControl/>
        <w:adjustRightInd/>
        <w:spacing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highlight w:val="none"/>
          <w:lang w:val="en-US" w:eastAsia="zh-CN" w:bidi="ar-SA"/>
        </w:rPr>
      </w:pPr>
    </w:p>
    <w:p>
      <w:pPr>
        <w:widowControl/>
        <w:spacing w:line="24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0"/>
          <w:szCs w:val="21"/>
          <w:highlight w:val="none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58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rcRect l="-3712" r="167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0"/>
          <w:highlight w:val="none"/>
        </w:rPr>
        <w:br w:type="page"/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sectPr>
          <w:pgSz w:w="11905" w:h="16838"/>
          <w:pgMar w:top="1701" w:right="1417" w:bottom="1701" w:left="1417" w:header="0" w:footer="918" w:gutter="340"/>
          <w:pgNumType w:fmt="decimal"/>
          <w:cols w:space="0" w:num="1"/>
          <w:rtlGutter w:val="0"/>
          <w:docGrid w:linePitch="327" w:charSpace="0"/>
        </w:sectPr>
      </w:pPr>
    </w:p>
    <w:p>
      <w:pPr>
        <w:widowControl/>
        <w:spacing w:line="36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3：中国裁判文书网查询方式</w:t>
      </w: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 w:bidi="ar-SA"/>
        </w:rPr>
        <w:t>1、供应商查询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Cs w:val="21"/>
          <w:highlight w:val="none"/>
          <w:lang w:val="en-US" w:eastAsia="zh-CN" w:bidi="ar-SA"/>
        </w:rPr>
        <w:drawing>
          <wp:inline distT="0" distB="0" distL="114300" distR="114300">
            <wp:extent cx="5488305" cy="3270885"/>
            <wp:effectExtent l="0" t="0" r="0" b="5715"/>
            <wp:docPr id="59" name="图片 59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9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 w:bidi="ar-SA"/>
        </w:rPr>
        <w:t>2、企业法定代表人查询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widowControl/>
        <w:spacing w:line="360" w:lineRule="auto"/>
        <w:ind w:firstLine="42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；</w:t>
      </w:r>
    </w:p>
    <w:p>
      <w:pPr>
        <w:ind w:left="0" w:leftChars="0" w:firstLine="0" w:firstLineChars="0"/>
        <w:rPr>
          <w:rFonts w:hint="eastAsia" w:ascii="仿宋" w:hAnsi="仿宋" w:eastAsia="仿宋" w:cs="仿宋"/>
          <w:color w:val="auto"/>
          <w:kern w:val="0"/>
          <w:sz w:val="20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kern w:val="0"/>
          <w:sz w:val="20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5715" b="0"/>
            <wp:docPr id="60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 descr="图片1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360" w:firstLineChars="200"/>
        <w:jc w:val="both"/>
        <w:rPr>
          <w:rFonts w:ascii="仿宋" w:hAnsi="仿宋" w:eastAsia="仿宋" w:cs="仿宋"/>
          <w:kern w:val="2"/>
          <w:sz w:val="18"/>
          <w:szCs w:val="24"/>
          <w:highlight w:val="red"/>
          <w:lang w:val="en-US" w:eastAsia="zh-CN" w:bidi="ar-SA"/>
        </w:rPr>
      </w:pPr>
    </w:p>
    <w:p>
      <w:pPr>
        <w:ind w:firstLine="360"/>
        <w:rPr>
          <w:rFonts w:ascii="仿宋" w:hAnsi="仿宋" w:eastAsia="仿宋" w:cs="仿宋"/>
          <w:sz w:val="18"/>
          <w:szCs w:val="24"/>
          <w:highlight w:val="red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p>
      <w:bookmarkStart w:id="3" w:name="_GoBack"/>
      <w:bookmarkEnd w:id="3"/>
    </w:p>
    <w:sectPr>
      <w:headerReference r:id="rId8" w:type="default"/>
      <w:footerReference r:id="rId9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480" w:firstLineChars="200"/>
      <w:jc w:val="left"/>
      <w:rPr>
        <w:rFonts w:ascii="Times New Roman" w:hAnsi="Times New Roman" w:eastAsia="仿宋_GB2312" w:cs="Times New Roman"/>
        <w:kern w:val="2"/>
        <w:sz w:val="24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hint="eastAsia"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t>3</w:t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kern w:val="2"/>
                              <w:sz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ilnPo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GKWc+j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hint="eastAsia"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</w:pPr>
                    <w:r>
                      <w:rPr>
                        <w:rFonts w:hint="eastAsia"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t>3</w:t>
                    </w:r>
                    <w:r>
                      <w:rPr>
                        <w:rFonts w:hint="eastAsia" w:ascii="Times New Roman" w:hAnsi="Times New Roman" w:eastAsia="宋体" w:cs="Times New Roman"/>
                        <w:kern w:val="2"/>
                        <w:sz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center"/>
      <w:rPr>
        <w:rFonts w:ascii="Calibri" w:hAnsi="Calibri" w:eastAsia="宋体" w:cs="Arial"/>
        <w:sz w:val="18"/>
        <w:szCs w:val="18"/>
        <w:lang w:val="en-US" w:eastAsia="zh-CN" w:bidi="ar-SA"/>
      </w:rPr>
    </w:pPr>
    <w:r>
      <w:rPr>
        <w:rFonts w:ascii="Calibri" w:hAnsi="Calibri" w:eastAsia="宋体" w:cs="Arial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ascii="Calibri" w:hAnsi="Calibri" w:eastAsia="宋体" w:cs="Arial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Arial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Arial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Arial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Arial"/>
                              <w:sz w:val="18"/>
                              <w:szCs w:val="18"/>
                              <w:lang w:val="en-US" w:eastAsia="zh-CN" w:bidi="ar-SA"/>
                            </w:rPr>
                            <w:t>- 45 -</w:t>
                          </w:r>
                          <w:r>
                            <w:rPr>
                              <w:rFonts w:ascii="Calibri" w:hAnsi="Calibri" w:eastAsia="宋体" w:cs="Arial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ascii="Calibri" w:hAnsi="Calibri" w:eastAsia="宋体" w:cs="Arial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Arial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Arial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Arial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Arial"/>
                        <w:sz w:val="18"/>
                        <w:szCs w:val="18"/>
                        <w:lang w:val="en-US" w:eastAsia="zh-CN" w:bidi="ar-SA"/>
                      </w:rPr>
                      <w:t>- 45 -</w:t>
                    </w:r>
                    <w:r>
                      <w:rPr>
                        <w:rFonts w:ascii="Calibri" w:hAnsi="Calibri" w:eastAsia="宋体" w:cs="Arial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Arial"/>
        <w:sz w:val="18"/>
        <w:szCs w:val="18"/>
        <w:lang w:val="en-US" w:eastAsia="zh-CN" w:bidi="ar-S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center"/>
      <w:rPr>
        <w:rFonts w:ascii="Calibri" w:hAnsi="Calibri" w:cs="Arial" w:eastAsiaTheme="minorEastAsia"/>
        <w:sz w:val="18"/>
        <w:szCs w:val="18"/>
        <w:lang w:val="en-US" w:eastAsia="zh-CN" w:bidi="ar-SA"/>
      </w:rPr>
    </w:pPr>
    <w:r>
      <w:rPr>
        <w:rFonts w:ascii="Calibri" w:hAnsi="Calibri" w:cs="Arial" w:eastAsiaTheme="minorEastAsia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ascii="Calibri" w:hAnsi="Calibri" w:cs="Arial" w:eastAsiaTheme="minorEastAsia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cs="Arial" w:eastAsiaTheme="minorEastAsia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Arial" w:eastAsiaTheme="minorEastAsia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cs="Arial" w:eastAsiaTheme="minorEastAsia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Arial" w:eastAsiaTheme="minorEastAsia"/>
                              <w:sz w:val="18"/>
                              <w:szCs w:val="18"/>
                              <w:lang w:val="en-US" w:eastAsia="zh-CN" w:bidi="ar-SA"/>
                            </w:rPr>
                            <w:t>- 45 -</w:t>
                          </w:r>
                          <w:r>
                            <w:rPr>
                              <w:rFonts w:ascii="Calibri" w:hAnsi="Calibri" w:cs="Arial" w:eastAsiaTheme="minorEastAsia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1rxzQ4AgAAcQ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3WvHND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ascii="Calibri" w:hAnsi="Calibri" w:cs="Arial" w:eastAsiaTheme="minorEastAsia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Calibri" w:hAnsi="Calibri" w:cs="Arial" w:eastAsiaTheme="minorEastAsia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cs="Arial" w:eastAsiaTheme="minorEastAsia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cs="Arial" w:eastAsiaTheme="minorEastAsia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cs="Arial" w:eastAsiaTheme="minorEastAsia"/>
                        <w:sz w:val="18"/>
                        <w:szCs w:val="18"/>
                        <w:lang w:val="en-US" w:eastAsia="zh-CN" w:bidi="ar-SA"/>
                      </w:rPr>
                      <w:t>- 45 -</w:t>
                    </w:r>
                    <w:r>
                      <w:rPr>
                        <w:rFonts w:ascii="Calibri" w:hAnsi="Calibri" w:cs="Arial" w:eastAsiaTheme="minorEastAsia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Arial" w:eastAsiaTheme="minorEastAsia"/>
        <w:sz w:val="18"/>
        <w:szCs w:val="18"/>
        <w:lang w:val="en-US" w:eastAsia="zh-CN" w:bidi="ar-S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360" w:lineRule="auto"/>
      <w:ind w:firstLine="360" w:firstLineChars="200"/>
      <w:jc w:val="both"/>
      <w:rPr>
        <w:rFonts w:ascii="Times New Roman" w:hAnsi="Times New Roman" w:eastAsia="宋体" w:cs="Times New Roman"/>
        <w:kern w:val="2"/>
        <w:sz w:val="18"/>
        <w:lang w:val="en-US" w:eastAsia="zh-CN" w:bidi="ar-S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1E060F15"/>
    <w:rsid w:val="1C211A3D"/>
    <w:rsid w:val="1E06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6">
    <w:name w:val="heading 2"/>
    <w:basedOn w:val="1"/>
    <w:next w:val="1"/>
    <w:link w:val="13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 w:line="240" w:lineRule="auto"/>
      <w:ind w:left="420" w:leftChars="200" w:firstLine="420"/>
    </w:pPr>
    <w:rPr>
      <w:sz w:val="21"/>
      <w:szCs w:val="24"/>
    </w:rPr>
  </w:style>
  <w:style w:type="paragraph" w:styleId="3">
    <w:name w:val="Body Text Indent"/>
    <w:basedOn w:val="1"/>
    <w:next w:val="4"/>
    <w:qFormat/>
    <w:uiPriority w:val="0"/>
    <w:pPr>
      <w:ind w:left="42" w:leftChars="20"/>
    </w:pPr>
    <w:rPr>
      <w:szCs w:val="18"/>
    </w:rPr>
  </w:style>
  <w:style w:type="paragraph" w:customStyle="1" w:styleId="4">
    <w:name w:val="p16"/>
    <w:basedOn w:val="1"/>
    <w:next w:val="5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5">
    <w:name w:val="toc 2"/>
    <w:basedOn w:val="1"/>
    <w:next w:val="1"/>
    <w:qFormat/>
    <w:uiPriority w:val="39"/>
    <w:pPr>
      <w:spacing w:line="240" w:lineRule="auto"/>
      <w:ind w:left="400" w:leftChars="400" w:firstLine="0" w:firstLineChars="0"/>
      <w:jc w:val="left"/>
    </w:p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character" w:customStyle="1" w:styleId="13">
    <w:name w:val="标题 2 Char"/>
    <w:link w:val="6"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2023-11-17T05:39:00Z</dcterms:created>
  <dc:creator>回忆斑驳了过往</dc:creator>
  <cp:lastModifiedBy>回忆斑驳了过往</cp:lastModifiedBy>
  <dcterms:modified xsi:type="dcterms:W3CDTF">2023-11-17T05:39:40Z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FF61146138AC4799AEB72CCA8D907A63_11</vt:lpwstr>
  </property>
</Properties>
</file>