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bidi w:val="0"/>
        <w:spacing w:beforeAutospacing="0" w:afterAutospacing="0" w:line="520" w:lineRule="exact"/>
        <w:ind w:right="-306" w:rightChars="-90" w:firstLine="420"/>
        <w:rPr>
          <w:rFonts w:hint="eastAsia" w:ascii="宋体" w:hAnsi="宋体" w:eastAsia="宋体" w:cs="宋体"/>
          <w:lang w:val="en-US" w:eastAsia="zh-CN"/>
        </w:rPr>
      </w:pPr>
      <w:r>
        <w:rPr>
          <w:rFonts w:hint="eastAsia" w:ascii="宋体" w:hAnsi="宋体" w:eastAsia="宋体" w:cs="宋体"/>
          <w:kern w:val="2"/>
          <w:sz w:val="24"/>
          <w:szCs w:val="24"/>
          <w:highlight w:val="none"/>
        </w:rPr>
        <w:t>附件</w:t>
      </w:r>
      <w:r>
        <w:rPr>
          <w:rFonts w:hint="eastAsia" w:ascii="宋体" w:hAnsi="宋体" w:eastAsia="宋体" w:cs="宋体"/>
          <w:kern w:val="2"/>
          <w:sz w:val="24"/>
          <w:szCs w:val="24"/>
          <w:highlight w:val="none"/>
          <w:lang w:val="en-US" w:eastAsia="zh-CN"/>
        </w:rPr>
        <w:t>1：</w:t>
      </w:r>
      <w:r>
        <w:rPr>
          <w:rFonts w:hint="eastAsia" w:ascii="宋体" w:hAnsi="宋体" w:eastAsia="宋体" w:cs="宋体"/>
          <w:sz w:val="24"/>
          <w:szCs w:val="24"/>
          <w:highlight w:val="none"/>
          <w:lang w:val="en-US" w:eastAsia="zh-CN"/>
        </w:rPr>
        <w:t>需求</w:t>
      </w:r>
      <w:r>
        <w:rPr>
          <w:rFonts w:hint="eastAsia" w:ascii="宋体" w:hAnsi="宋体" w:eastAsia="宋体" w:cs="宋体"/>
          <w:sz w:val="24"/>
          <w:szCs w:val="24"/>
          <w:highlight w:val="none"/>
        </w:rPr>
        <w:t>明细表。</w:t>
      </w:r>
    </w:p>
    <w:p>
      <w:pPr>
        <w:pStyle w:val="7"/>
        <w:pageBreakBefore w:val="0"/>
        <w:overflowPunct/>
        <w:bidi w:val="0"/>
        <w:spacing w:before="0" w:beforeAutospacing="0" w:after="0" w:afterAutospacing="0"/>
        <w:jc w:val="both"/>
        <w:rPr>
          <w:rFonts w:hint="eastAsia" w:ascii="宋体" w:hAnsi="宋体" w:eastAsia="宋体" w:cs="宋体"/>
          <w:kern w:val="2"/>
          <w:sz w:val="24"/>
          <w:szCs w:val="24"/>
        </w:rPr>
      </w:pPr>
    </w:p>
    <w:tbl>
      <w:tblPr>
        <w:tblStyle w:val="8"/>
        <w:tblW w:w="140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3"/>
        <w:gridCol w:w="1116"/>
        <w:gridCol w:w="906"/>
        <w:gridCol w:w="2018"/>
        <w:gridCol w:w="1233"/>
        <w:gridCol w:w="1234"/>
        <w:gridCol w:w="909"/>
        <w:gridCol w:w="4724"/>
        <w:gridCol w:w="11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14055" w:type="dxa"/>
            <w:gridSpan w:val="9"/>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bookmarkStart w:id="0" w:name="_GoBack" w:colFirst="0" w:colLast="8"/>
            <w:r>
              <w:rPr>
                <w:rFonts w:hint="eastAsia" w:ascii="宋体" w:hAnsi="宋体" w:eastAsia="宋体" w:cs="宋体"/>
                <w:b/>
                <w:bCs/>
                <w:i w:val="0"/>
                <w:iCs w:val="0"/>
                <w:color w:val="000000"/>
                <w:sz w:val="20"/>
                <w:szCs w:val="20"/>
                <w:u w:val="none"/>
              </w:rPr>
              <w:t>薛家湾供电公司</w:t>
            </w:r>
            <w:r>
              <w:rPr>
                <w:rFonts w:hint="eastAsia" w:ascii="宋体" w:hAnsi="宋体" w:eastAsia="宋体" w:cs="宋体"/>
                <w:b/>
                <w:bCs/>
                <w:i w:val="0"/>
                <w:iCs w:val="0"/>
                <w:color w:val="000000"/>
                <w:sz w:val="20"/>
                <w:szCs w:val="20"/>
                <w:u w:val="none"/>
                <w:lang w:eastAsia="zh-CN"/>
              </w:rPr>
              <w:t>2024年电能计量装置装拆维修项目</w:t>
            </w:r>
            <w:r>
              <w:rPr>
                <w:rFonts w:hint="eastAsia" w:ascii="宋体" w:hAnsi="宋体" w:eastAsia="宋体" w:cs="宋体"/>
                <w:b/>
                <w:bCs/>
                <w:i w:val="0"/>
                <w:iCs w:val="0"/>
                <w:color w:val="000000"/>
                <w:sz w:val="20"/>
                <w:szCs w:val="20"/>
                <w:u w:val="none"/>
              </w:rPr>
              <w:t>框架招标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8"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标段号</w:t>
            </w:r>
          </w:p>
        </w:tc>
        <w:tc>
          <w:tcPr>
            <w:tcW w:w="111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标段名称</w:t>
            </w:r>
          </w:p>
        </w:tc>
        <w:tc>
          <w:tcPr>
            <w:tcW w:w="90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0"/>
                <w:szCs w:val="20"/>
                <w:u w:val="none"/>
                <w:lang w:val="en-US" w:eastAsia="zh-CN"/>
              </w:rPr>
            </w:pPr>
            <w:r>
              <w:rPr>
                <w:rFonts w:hint="eastAsia" w:ascii="宋体" w:hAnsi="宋体" w:eastAsia="宋体" w:cs="宋体"/>
                <w:b/>
                <w:bCs/>
                <w:i w:val="0"/>
                <w:iCs w:val="0"/>
                <w:color w:val="000000"/>
                <w:kern w:val="0"/>
                <w:sz w:val="20"/>
                <w:szCs w:val="20"/>
                <w:u w:val="none"/>
                <w:lang w:val="en-US" w:eastAsia="zh-CN" w:bidi="ar"/>
              </w:rPr>
              <w:t>项目单位</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计费依据</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最高限价(折扣率)</w:t>
            </w:r>
          </w:p>
        </w:tc>
        <w:tc>
          <w:tcPr>
            <w:tcW w:w="123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框架协议期</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服务地点</w:t>
            </w:r>
          </w:p>
        </w:tc>
        <w:tc>
          <w:tcPr>
            <w:tcW w:w="4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专用资格要求</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4"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2024年电能计量装置装拆维修项目</w:t>
            </w:r>
          </w:p>
        </w:tc>
        <w:tc>
          <w:tcPr>
            <w:tcW w:w="90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薛家湾供电公司电能计量中心</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取费参照国家能源局发布的《20kV及以下配电网工程预算定额》（2022年版），工程量及费用结算以审计结果为准。</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2024年01月01日至2024年12月31日</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满足招标人要求</w:t>
            </w:r>
          </w:p>
        </w:tc>
        <w:tc>
          <w:tcPr>
            <w:tcW w:w="4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投标人须具有建设行政主管部门颁发的电力工程施工总承包乙级及以上资质证书或输变电工程专业承包乙级及以上资质证书（以上资质为住建部最新资质要求（2020年11月30日建市〔2020〕94号《住房和城乡建设部关于印发建设工程企业资质管理制度改革方案的通知》）。如投标人还未申办以上资质，投标人须具有建设行政主管部门颁发的电力工程施工总承包三级及以上资质证书或输变电工程专业承包三级及以上资质证书；</w:t>
            </w:r>
          </w:p>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2、投标人须具有有效期内的建设行政主管部门核发的安全生产许可证；</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3、投标人须具有国家能源局颁发的承装、承修、承试五级及以上资质的“承装（修、试）电力设施许可证”；</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本项目框1家单位。</w:t>
            </w:r>
          </w:p>
        </w:tc>
      </w:tr>
      <w:bookmarkEnd w:id="0"/>
    </w:tbl>
    <w:p/>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5"/>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1B2D4565"/>
    <w:rsid w:val="29B22045"/>
    <w:rsid w:val="2B887FC9"/>
    <w:rsid w:val="32AB4B32"/>
    <w:rsid w:val="41F61DFA"/>
    <w:rsid w:val="51094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6">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rPr>
  </w:style>
  <w:style w:type="paragraph" w:styleId="7">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Administrator</cp:lastModifiedBy>
  <dcterms:modified xsi:type="dcterms:W3CDTF">2023-11-15T09:49:49Z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9A42EA38F23A41F5BFC967E16912AC6F_12</vt:lpwstr>
  </property>
</Properties>
</file>