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宋体" w:hAnsi="宋体" w:eastAsia="宋体" w:cs="宋体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附件2：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color w:val="auto"/>
          <w:sz w:val="24"/>
          <w:u w:val="single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</w:t>
      </w:r>
      <w:r>
        <w:rPr>
          <w:rFonts w:hint="eastAsia" w:ascii="宋体" w:hAnsi="宋体" w:eastAsia="宋体" w:cs="宋体"/>
          <w:color w:val="auto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法定代表人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</w:rPr>
        <w:t>特授权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采购编号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>）</w:t>
      </w:r>
      <w:r>
        <w:rPr>
          <w:rFonts w:hint="eastAsia" w:ascii="宋体" w:hAnsi="宋体" w:eastAsia="宋体" w:cs="宋体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天</w:t>
      </w:r>
      <w:r>
        <w:rPr>
          <w:rFonts w:hint="eastAsia" w:ascii="宋体" w:hAnsi="宋体" w:eastAsia="宋体" w:cs="宋体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 xml:space="preserve">            被授权人签名：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  <w:bookmarkStart w:id="6" w:name="_GoBack"/>
      <w:bookmarkEnd w:id="6"/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    </w:t>
      </w:r>
      <w:r>
        <w:rPr>
          <w:rFonts w:hint="eastAsia" w:ascii="宋体" w:hAnsi="宋体" w:eastAsia="宋体" w:cs="宋体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日期：20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 xml:space="preserve">年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月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宋体" w:hAnsi="宋体" w:eastAsia="宋体" w:cs="宋体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宋体" w:hAnsi="宋体" w:eastAsia="宋体" w:cs="宋体"/>
          <w:color w:val="auto"/>
        </w:rPr>
      </w:pPr>
      <w:bookmarkStart w:id="3" w:name="_Toc23367"/>
      <w:bookmarkStart w:id="4" w:name="_Toc21468"/>
      <w:bookmarkStart w:id="5" w:name="_Toc25499"/>
      <w:r>
        <w:rPr>
          <w:rFonts w:hint="eastAsia" w:ascii="宋体" w:hAnsi="宋体" w:eastAsia="宋体" w:cs="宋体"/>
          <w:color w:val="auto"/>
        </w:rPr>
        <w:drawing>
          <wp:inline distT="0" distB="0" distL="114300" distR="114300">
            <wp:extent cx="5781675" cy="4553585"/>
            <wp:effectExtent l="0" t="0" r="9525" b="18415"/>
            <wp:docPr id="3" name="图片 1" descr="16272663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627266391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jc w:val="both"/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</w:p>
    <w:bookmarkEnd w:id="3"/>
    <w:bookmarkEnd w:id="4"/>
    <w:bookmarkEnd w:id="5"/>
    <w:p>
      <w:pPr>
        <w:pStyle w:val="21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：国家企业信用信息公示系统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ab/>
      </w:r>
    </w:p>
    <w:p>
      <w:pPr>
        <w:pStyle w:val="21"/>
        <w:rPr>
          <w:rFonts w:hint="eastAsia" w:ascii="宋体" w:hAnsi="宋体" w:eastAsia="宋体" w:cs="宋体"/>
          <w:color w:val="auto"/>
        </w:rPr>
      </w:pP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4"/>
        </w:rPr>
      </w:pPr>
    </w:p>
    <w:p>
      <w:pPr>
        <w:bidi w:val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宋体" w:hAnsi="宋体" w:eastAsia="宋体" w:cs="宋体"/>
          <w:sz w:val="24"/>
          <w:u w:val="single"/>
        </w:rPr>
      </w:pPr>
    </w:p>
    <w:p>
      <w:pPr>
        <w:jc w:val="both"/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场所服务费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default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在内蒙古电子招标投标交易平台（所有平台）开展的电力项目，场所服务费由中标人缴纳中标金额的千分之一，四舍五入到元，不足500元按照500元计取，框架、费率等没有实际中标金额的每家中标人收取1000元，中标金额上不封顶，不再收取场地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服务费缴纳方式为现金或公对公转账，场所服务费缴费账户信息如下：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户名：内蒙古网佳招标公共服务平台运营有限公司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账号：0602004109200022157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开户行：中国工商银行股份有限公司呼和浩特市军区支行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联系电话：0471—3261228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562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邮箱地址：wjzbcw@126.com（中标单位汇款时请务必公对公转账并备注：代理机构名称及开标日期）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jc w:val="both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361C2C"/>
    <w:rsid w:val="18DE6A76"/>
    <w:rsid w:val="18F2402A"/>
    <w:rsid w:val="19294E2A"/>
    <w:rsid w:val="1A380DE9"/>
    <w:rsid w:val="1D6A56EC"/>
    <w:rsid w:val="1FDC75C1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8E85683"/>
    <w:rsid w:val="5B6F681E"/>
    <w:rsid w:val="619223D2"/>
    <w:rsid w:val="64452057"/>
    <w:rsid w:val="65F54DF1"/>
    <w:rsid w:val="6A901C0C"/>
    <w:rsid w:val="6BE75F78"/>
    <w:rsid w:val="6CD91278"/>
    <w:rsid w:val="712E20B1"/>
    <w:rsid w:val="719606FD"/>
    <w:rsid w:val="71A718AE"/>
    <w:rsid w:val="71FC2162"/>
    <w:rsid w:val="740D45E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semiHidden/>
    <w:qFormat/>
    <w:uiPriority w:val="0"/>
  </w:style>
  <w:style w:type="table" w:default="1" w:styleId="1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unhideWhenUsed/>
    <w:qFormat/>
    <w:uiPriority w:val="99"/>
    <w:pPr>
      <w:jc w:val="left"/>
    </w:pPr>
  </w:style>
  <w:style w:type="paragraph" w:styleId="12">
    <w:name w:val="Normal Indent"/>
    <w:basedOn w:val="1"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1</TotalTime>
  <ScaleCrop>false</ScaleCrop>
  <LinksUpToDate>false</LinksUpToDate>
  <CharactersWithSpaces>1526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2023-09-27T08:01:32Z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F30DA367C754403A815EA6C675836FEE_11</vt:lpwstr>
  </property>
</Properties>
</file>