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spacing w:line="360" w:lineRule="auto"/>
        <w:ind w:left="0" w:leftChars="0" w:firstLine="0" w:firstLineChars="0"/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  <w:t>公告附表——采购计划表：</w:t>
      </w:r>
      <w:bookmarkStart w:id="4" w:name="_GoBack"/>
      <w:bookmarkEnd w:id="4"/>
    </w:p>
    <w:tbl>
      <w:tblPr>
        <w:tblStyle w:val="13"/>
        <w:tblW w:w="1095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5"/>
        <w:gridCol w:w="706"/>
        <w:gridCol w:w="2057"/>
        <w:gridCol w:w="829"/>
        <w:gridCol w:w="675"/>
        <w:gridCol w:w="1108"/>
        <w:gridCol w:w="1227"/>
        <w:gridCol w:w="781"/>
        <w:gridCol w:w="750"/>
        <w:gridCol w:w="773"/>
        <w:gridCol w:w="729"/>
        <w:gridCol w:w="63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36"/>
                <w:highlight w:val="none"/>
                <w:lang w:val="en-US" w:eastAsia="zh-CN"/>
              </w:rPr>
              <w:t>标段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36"/>
                <w:highlight w:val="none"/>
                <w:lang w:val="en-US" w:eastAsia="zh-CN"/>
              </w:rPr>
              <w:t>名称</w:t>
            </w:r>
          </w:p>
        </w:tc>
        <w:tc>
          <w:tcPr>
            <w:tcW w:w="2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36"/>
                <w:highlight w:val="none"/>
                <w:lang w:val="en-US" w:eastAsia="zh-CN"/>
              </w:rPr>
              <w:t>内容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36"/>
                <w:highlight w:val="none"/>
                <w:lang w:val="en-US" w:eastAsia="zh-CN"/>
              </w:rPr>
              <w:t>单位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36"/>
                <w:highlight w:val="none"/>
                <w:lang w:val="en-US" w:eastAsia="zh-CN"/>
              </w:rPr>
              <w:t>数量</w:t>
            </w:r>
          </w:p>
        </w:tc>
        <w:tc>
          <w:tcPr>
            <w:tcW w:w="1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36"/>
                <w:highlight w:val="none"/>
                <w:lang w:val="en-US" w:eastAsia="zh-CN"/>
              </w:rPr>
              <w:t>单价(预算.元)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36"/>
                <w:highlight w:val="none"/>
                <w:lang w:val="en-US" w:eastAsia="zh-CN"/>
              </w:rPr>
              <w:t>合计(预算.元)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36"/>
                <w:highlight w:val="none"/>
                <w:lang w:val="en-US" w:eastAsia="zh-CN"/>
              </w:rPr>
              <w:t>项目单位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36"/>
                <w:highlight w:val="none"/>
                <w:lang w:val="en-US" w:eastAsia="zh-CN"/>
              </w:rPr>
              <w:t>采购方式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36"/>
                <w:highlight w:val="none"/>
                <w:lang w:val="en-US" w:eastAsia="zh-CN"/>
              </w:rPr>
              <w:t>服务期\工期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36"/>
                <w:highlight w:val="none"/>
                <w:lang w:val="en-US" w:eastAsia="zh-CN"/>
              </w:rPr>
              <w:t>资金来源</w:t>
            </w:r>
          </w:p>
        </w:tc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36"/>
                <w:highlight w:val="none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标段3（工程现场管理业务外委）</w:t>
            </w:r>
          </w:p>
        </w:tc>
        <w:tc>
          <w:tcPr>
            <w:tcW w:w="70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主网工程现场管理业务外委</w:t>
            </w:r>
          </w:p>
        </w:tc>
        <w:tc>
          <w:tcPr>
            <w:tcW w:w="2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500千伏项目部安全管理业务2项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项目部/月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1</w:t>
            </w:r>
          </w:p>
        </w:tc>
        <w:tc>
          <w:tcPr>
            <w:tcW w:w="1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25535.66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25535.66</w:t>
            </w:r>
          </w:p>
        </w:tc>
        <w:tc>
          <w:tcPr>
            <w:tcW w:w="78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工程建设部</w:t>
            </w:r>
          </w:p>
        </w:tc>
        <w:tc>
          <w:tcPr>
            <w:tcW w:w="7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询比采购</w:t>
            </w:r>
          </w:p>
        </w:tc>
        <w:tc>
          <w:tcPr>
            <w:tcW w:w="77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合同签订后至2024-6-30</w:t>
            </w:r>
          </w:p>
        </w:tc>
        <w:tc>
          <w:tcPr>
            <w:tcW w:w="7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35kV及以上基建工程外部劳务费</w:t>
            </w:r>
          </w:p>
        </w:tc>
        <w:tc>
          <w:tcPr>
            <w:tcW w:w="6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入围供应商1家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2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500千伏项目部技术管理业务2项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项目部/月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1</w:t>
            </w:r>
          </w:p>
        </w:tc>
        <w:tc>
          <w:tcPr>
            <w:tcW w:w="1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19973.20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19973.20</w:t>
            </w:r>
          </w:p>
        </w:tc>
        <w:tc>
          <w:tcPr>
            <w:tcW w:w="7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2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500千伏项目部资料管理业务2项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项目部/月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1</w:t>
            </w:r>
          </w:p>
        </w:tc>
        <w:tc>
          <w:tcPr>
            <w:tcW w:w="1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17191.96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17191.96</w:t>
            </w:r>
          </w:p>
        </w:tc>
        <w:tc>
          <w:tcPr>
            <w:tcW w:w="7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2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default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500千伏项目部后勤管理业务1项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项目部/月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1</w:t>
            </w:r>
          </w:p>
        </w:tc>
        <w:tc>
          <w:tcPr>
            <w:tcW w:w="1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6510.06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6510.06</w:t>
            </w:r>
          </w:p>
        </w:tc>
        <w:tc>
          <w:tcPr>
            <w:tcW w:w="7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2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220千伏及以下项目部安全管理业务1项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项目部/月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1</w:t>
            </w:r>
          </w:p>
        </w:tc>
        <w:tc>
          <w:tcPr>
            <w:tcW w:w="1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12767.83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12767.83</w:t>
            </w:r>
          </w:p>
        </w:tc>
        <w:tc>
          <w:tcPr>
            <w:tcW w:w="7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2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220千伏及以下项目部技术管理业务1项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项目部/月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1</w:t>
            </w:r>
          </w:p>
        </w:tc>
        <w:tc>
          <w:tcPr>
            <w:tcW w:w="1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9986.60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9986.60</w:t>
            </w:r>
          </w:p>
        </w:tc>
        <w:tc>
          <w:tcPr>
            <w:tcW w:w="7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2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220千伏及以下项目部资料管理业务1项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项目部/月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1</w:t>
            </w:r>
          </w:p>
        </w:tc>
        <w:tc>
          <w:tcPr>
            <w:tcW w:w="1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8595.98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8595.98</w:t>
            </w:r>
          </w:p>
        </w:tc>
        <w:tc>
          <w:tcPr>
            <w:tcW w:w="7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2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220千伏及以下项目部后勤管理业务1项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项目部/月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1</w:t>
            </w:r>
          </w:p>
        </w:tc>
        <w:tc>
          <w:tcPr>
            <w:tcW w:w="1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6510.06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6510.06</w:t>
            </w:r>
          </w:p>
        </w:tc>
        <w:tc>
          <w:tcPr>
            <w:tcW w:w="7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0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配网工程现场管理业务外委</w:t>
            </w:r>
          </w:p>
        </w:tc>
        <w:tc>
          <w:tcPr>
            <w:tcW w:w="2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项目部管辖配网工程投资额在1300万元以下的现场管理业务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项目部/月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1</w:t>
            </w:r>
          </w:p>
        </w:tc>
        <w:tc>
          <w:tcPr>
            <w:tcW w:w="1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8595.98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8595.98</w:t>
            </w:r>
          </w:p>
        </w:tc>
        <w:tc>
          <w:tcPr>
            <w:tcW w:w="7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询比采购</w:t>
            </w:r>
          </w:p>
        </w:tc>
        <w:tc>
          <w:tcPr>
            <w:tcW w:w="77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合同签订后至2024-6-30</w:t>
            </w:r>
          </w:p>
        </w:tc>
        <w:tc>
          <w:tcPr>
            <w:tcW w:w="7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10kV及以下基建工程外部劳务费</w:t>
            </w:r>
          </w:p>
        </w:tc>
        <w:tc>
          <w:tcPr>
            <w:tcW w:w="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2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项目部管辖配网工程投资额在1300万元-5000万元的现场管理业务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项目部/月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1</w:t>
            </w:r>
          </w:p>
        </w:tc>
        <w:tc>
          <w:tcPr>
            <w:tcW w:w="1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16939.67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16939.67</w:t>
            </w:r>
          </w:p>
        </w:tc>
        <w:tc>
          <w:tcPr>
            <w:tcW w:w="7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2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项目部管辖配网工程投资额在5000万元以上的现场管理业务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项目部/月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1</w:t>
            </w:r>
          </w:p>
        </w:tc>
        <w:tc>
          <w:tcPr>
            <w:tcW w:w="1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25283.87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  <w:t>25283.87</w:t>
            </w:r>
          </w:p>
        </w:tc>
        <w:tc>
          <w:tcPr>
            <w:tcW w:w="7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6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06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36"/>
                <w:highlight w:val="none"/>
                <w:lang w:val="en-US" w:eastAsia="zh-CN"/>
              </w:rPr>
              <w:t>合计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36"/>
                <w:highlight w:val="none"/>
                <w:lang w:val="en-US" w:eastAsia="zh-CN"/>
              </w:rPr>
              <w:t>157890.87</w:t>
            </w:r>
          </w:p>
        </w:tc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2"/>
                <w:szCs w:val="36"/>
                <w:highlight w:val="none"/>
                <w:lang w:val="en-US" w:eastAsia="zh-CN"/>
              </w:rPr>
            </w:pPr>
          </w:p>
        </w:tc>
      </w:tr>
    </w:tbl>
    <w:p>
      <w:pPr>
        <w:ind w:left="0" w:leftChars="0" w:firstLine="0" w:firstLineChars="0"/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  <w:br w:type="page"/>
      </w:r>
    </w:p>
    <w:p>
      <w:pPr>
        <w:pageBreakBefore w:val="0"/>
        <w:kinsoku/>
        <w:overflowPunct/>
        <w:topLinePunct w:val="0"/>
        <w:bidi w:val="0"/>
        <w:snapToGrid w:val="0"/>
        <w:spacing w:line="240" w:lineRule="auto"/>
        <w:ind w:firstLine="0" w:firstLineChars="0"/>
        <w:textAlignment w:val="auto"/>
        <w:rPr>
          <w:rFonts w:hint="eastAsia" w:ascii="仿宋" w:hAnsi="仿宋" w:eastAsia="仿宋" w:cs="仿宋"/>
          <w:b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  <w:t>附件1：</w:t>
      </w:r>
    </w:p>
    <w:p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《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  <w:lang w:val="en-US" w:eastAsia="zh-CN"/>
        </w:rPr>
        <w:t>响应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真实性承诺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  <w:lang w:val="en-US" w:eastAsia="zh-CN"/>
        </w:rPr>
        <w:t>书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》</w:t>
      </w:r>
    </w:p>
    <w:p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</w:p>
    <w:p>
      <w:pPr>
        <w:spacing w:line="360" w:lineRule="auto"/>
        <w:ind w:firstLine="465" w:firstLineChars="0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内蒙古电力（集团）有限责任公司鄂尔多斯供电分公司物资供应处：</w:t>
      </w:r>
    </w:p>
    <w:p>
      <w:pPr>
        <w:spacing w:line="360" w:lineRule="auto"/>
        <w:ind w:firstLine="465" w:firstLineChars="0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我公司参与贵公司组织采购的</w:t>
      </w:r>
      <w:r>
        <w:rPr>
          <w:rFonts w:hint="eastAsia" w:ascii="仿宋" w:hAnsi="仿宋" w:eastAsia="仿宋" w:cs="仿宋"/>
          <w:sz w:val="24"/>
          <w:u w:val="single"/>
          <w:lang w:val="en-US" w:eastAsia="zh-CN"/>
        </w:rPr>
        <w:t xml:space="preserve">                   </w:t>
      </w:r>
      <w:r>
        <w:rPr>
          <w:rFonts w:hint="eastAsia" w:ascii="仿宋" w:hAnsi="仿宋" w:eastAsia="仿宋" w:cs="仿宋"/>
          <w:sz w:val="24"/>
          <w:lang w:val="en-US" w:eastAsia="zh-CN"/>
        </w:rPr>
        <w:t>（</w:t>
      </w: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项目名称），我公司承诺所提交的材料、响应文件表述、响应文件内容</w:t>
      </w:r>
      <w:r>
        <w:rPr>
          <w:rFonts w:hint="eastAsia" w:ascii="仿宋" w:hAnsi="仿宋" w:eastAsia="仿宋" w:cs="仿宋"/>
          <w:sz w:val="24"/>
          <w:lang w:val="en-US" w:eastAsia="zh-CN"/>
        </w:rPr>
        <w:t>是真实有效的。如有不实，则违反“诚实信用”原则，我公司承担由此引发的所有责任。</w:t>
      </w:r>
    </w:p>
    <w:p>
      <w:pPr>
        <w:spacing w:line="360" w:lineRule="auto"/>
        <w:ind w:firstLine="0" w:firstLineChars="0"/>
        <w:jc w:val="left"/>
        <w:rPr>
          <w:rFonts w:hint="eastAsia" w:ascii="仿宋" w:hAnsi="仿宋" w:eastAsia="仿宋" w:cs="仿宋"/>
          <w:sz w:val="28"/>
        </w:rPr>
      </w:pPr>
    </w:p>
    <w:p>
      <w:pPr>
        <w:spacing w:line="240" w:lineRule="auto"/>
        <w:ind w:firstLine="0" w:firstLineChars="0"/>
        <w:rPr>
          <w:rFonts w:hint="eastAsia" w:ascii="仿宋" w:hAnsi="仿宋" w:eastAsia="仿宋" w:cs="仿宋"/>
          <w:sz w:val="21"/>
        </w:rPr>
      </w:pP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 xml:space="preserve">        年        月        日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</w:rPr>
        <w:sectPr>
          <w:pgSz w:w="11905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28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240" w:lineRule="auto"/>
        <w:ind w:firstLine="0" w:firstLineChars="0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附件2：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法定代表人资格证明</w:t>
      </w:r>
    </w:p>
    <w:p>
      <w:pPr>
        <w:autoSpaceDE w:val="0"/>
        <w:autoSpaceDN w:val="0"/>
        <w:spacing w:line="360" w:lineRule="auto"/>
        <w:ind w:firstLine="0" w:firstLineChars="0"/>
        <w:jc w:val="center"/>
        <w:rPr>
          <w:rFonts w:hint="eastAsia"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适用于无代理人的情况）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spacing w:val="6"/>
          <w:sz w:val="24"/>
        </w:rPr>
        <w:t>企业（</w:t>
      </w:r>
      <w:r>
        <w:rPr>
          <w:rFonts w:hint="eastAsia" w:ascii="仿宋" w:hAnsi="仿宋" w:eastAsia="仿宋" w:cs="仿宋"/>
          <w:spacing w:val="6"/>
          <w:sz w:val="24"/>
          <w:lang w:val="en-US" w:eastAsia="zh-CN"/>
        </w:rPr>
        <w:t>供应商</w:t>
      </w:r>
      <w:r>
        <w:rPr>
          <w:rFonts w:hint="eastAsia" w:ascii="仿宋" w:hAnsi="仿宋" w:eastAsia="仿宋" w:cs="仿宋"/>
          <w:spacing w:val="6"/>
          <w:sz w:val="24"/>
        </w:rPr>
        <w:t>）</w:t>
      </w:r>
      <w:r>
        <w:rPr>
          <w:rFonts w:hint="eastAsia" w:ascii="仿宋" w:hAnsi="仿宋" w:eastAsia="仿宋" w:cs="仿宋"/>
          <w:kern w:val="0"/>
          <w:sz w:val="24"/>
        </w:rPr>
        <w:t>名称：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单位性质：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spacing w:val="6"/>
          <w:sz w:val="24"/>
          <w:u w:val="single"/>
        </w:rPr>
      </w:pPr>
      <w:r>
        <w:rPr>
          <w:rFonts w:hint="eastAsia" w:ascii="仿宋" w:hAnsi="仿宋" w:eastAsia="仿宋" w:cs="仿宋"/>
          <w:spacing w:val="6"/>
          <w:sz w:val="24"/>
        </w:rPr>
        <w:t>地    址：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成立时间：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</w:rPr>
        <w:t>月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</w:rPr>
        <w:t>日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经营期限：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姓名：</w:t>
      </w:r>
      <w:r>
        <w:rPr>
          <w:rFonts w:hint="eastAsia" w:ascii="仿宋" w:hAnsi="仿宋" w:eastAsia="仿宋" w:cs="仿宋"/>
          <w:kern w:val="0"/>
          <w:sz w:val="24"/>
          <w:u w:val="non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</w:rPr>
        <w:t>性别：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年龄：</w:t>
      </w:r>
      <w:r>
        <w:rPr>
          <w:rFonts w:hint="eastAsia" w:ascii="仿宋" w:hAnsi="仿宋" w:eastAsia="仿宋" w:cs="仿宋"/>
          <w:kern w:val="0"/>
          <w:sz w:val="24"/>
          <w:u w:val="non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</w:rPr>
        <w:t>职务：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系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</w:rPr>
        <w:t>的法定代表人。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3"/>
        <w:tblpPr w:leftFromText="180" w:rightFromText="180" w:vertAnchor="text" w:horzAnchor="margin" w:tblpXSpec="center" w:tblpY="1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47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spacing w:before="0" w:beforeAutospacing="0" w:after="0" w:afterAutospacing="0" w:line="360" w:lineRule="auto"/>
              <w:ind w:left="0" w:right="0" w:firstLine="0" w:firstLineChars="0"/>
              <w:jc w:val="center"/>
              <w:rPr>
                <w:rFonts w:hint="eastAsia" w:ascii="仿宋" w:hAnsi="仿宋" w:eastAsia="仿宋" w:cs="仿宋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2555" w:type="pct"/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spacing w:before="0" w:beforeAutospacing="0" w:after="0" w:afterAutospacing="0" w:line="360" w:lineRule="auto"/>
              <w:ind w:left="0" w:right="0" w:firstLine="0" w:firstLineChars="0"/>
              <w:jc w:val="center"/>
              <w:rPr>
                <w:rFonts w:hint="eastAsia" w:ascii="仿宋" w:hAnsi="仿宋" w:eastAsia="仿宋" w:cs="仿宋"/>
                <w:kern w:val="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特此证明。</w:t>
      </w:r>
    </w:p>
    <w:p>
      <w:pPr>
        <w:autoSpaceDE w:val="0"/>
        <w:autoSpaceDN w:val="0"/>
        <w:spacing w:line="360" w:lineRule="auto"/>
        <w:ind w:firstLine="0" w:firstLineChars="0"/>
        <w:jc w:val="righ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kern w:val="0"/>
          <w:sz w:val="24"/>
          <w:highlight w:val="none"/>
          <w:u w:val="none"/>
        </w:rPr>
        <w:t>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spacing w:line="360" w:lineRule="auto"/>
        <w:ind w:firstLine="0" w:firstLineChars="0"/>
        <w:jc w:val="righ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lang w:val="en-US" w:eastAsia="zh-CN"/>
        </w:rPr>
        <w:t>供应商</w:t>
      </w:r>
      <w:r>
        <w:rPr>
          <w:rFonts w:hint="eastAsia" w:ascii="仿宋" w:hAnsi="仿宋" w:eastAsia="仿宋" w:cs="仿宋"/>
          <w:kern w:val="0"/>
          <w:sz w:val="24"/>
        </w:rPr>
        <w:t>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</w:rPr>
        <w:t xml:space="preserve"> （加盖单位公章）</w:t>
      </w:r>
    </w:p>
    <w:p>
      <w:pPr>
        <w:autoSpaceDE w:val="0"/>
        <w:autoSpaceDN w:val="0"/>
        <w:spacing w:line="360" w:lineRule="auto"/>
        <w:ind w:firstLine="5160" w:firstLineChars="215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</w:rPr>
        <w:t>年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>月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>日</w:t>
      </w:r>
    </w:p>
    <w:p>
      <w:pPr>
        <w:spacing w:line="24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z w:val="24"/>
          <w:szCs w:val="24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法定代表人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whit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（供应商名称）的法定代表人</w:t>
      </w:r>
      <w:r>
        <w:rPr>
          <w:rFonts w:hint="eastAsia" w:ascii="仿宋" w:hAnsi="仿宋" w:eastAsia="仿宋" w:cs="仿宋"/>
          <w:sz w:val="24"/>
          <w:szCs w:val="24"/>
        </w:rPr>
        <w:t>（单位负责人）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，现委托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white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项目编号</w:t>
      </w:r>
      <w:r>
        <w:rPr>
          <w:rFonts w:hint="eastAsia" w:ascii="仿宋" w:hAnsi="仿宋" w:eastAsia="仿宋" w:cs="仿宋"/>
          <w:sz w:val="24"/>
          <w:szCs w:val="24"/>
          <w:highlight w:val="white"/>
          <w:lang w:eastAsia="zh-CN"/>
        </w:rPr>
        <w:t>）（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whit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white"/>
        </w:rPr>
        <w:t>标段</w:t>
      </w:r>
      <w:r>
        <w:rPr>
          <w:rFonts w:hint="eastAsia" w:ascii="仿宋" w:hAnsi="仿宋" w:eastAsia="仿宋" w:cs="仿宋"/>
          <w:sz w:val="24"/>
          <w:szCs w:val="24"/>
          <w:highlight w:val="white"/>
          <w:lang w:eastAsia="zh-CN"/>
        </w:rPr>
        <w:t>）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white"/>
        </w:rPr>
        <w:t>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24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。（可参考：</w:t>
      </w:r>
      <w:r>
        <w:rPr>
          <w:rFonts w:hint="eastAsia" w:ascii="仿宋" w:hAnsi="仿宋" w:eastAsia="仿宋" w:cs="仿宋"/>
          <w:sz w:val="24"/>
          <w:szCs w:val="24"/>
        </w:rPr>
        <w:t>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24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5080" b="12700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left="0" w:leftChars="0" w:firstLine="0" w:firstLineChars="0"/>
                              <w:jc w:val="both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3360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AkJsokNgIAAHk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AkJsokNgIAAHk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left="0" w:leftChars="0" w:firstLine="0" w:firstLineChars="0"/>
                        <w:jc w:val="both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5080" b="12700"/>
                <wp:wrapNone/>
                <wp:docPr id="42" name="圆角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left="0" w:leftChars="0" w:firstLine="0" w:firstLineChars="0"/>
                              <w:jc w:val="both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4384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5szMx2AAAAAkBAAAPAAAAAAAAAAEAIAAAACIAAABkcnMvZG93&#10;bnJldi54bWxQSwECFAAUAAAACACHTuJApq5KOzkCAAB5BAAADgAAAAAAAAABACAAAAAn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left="0" w:leftChars="0" w:firstLine="0" w:firstLineChars="0"/>
                        <w:jc w:val="both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5080" b="1270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5408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OTcygXaAAAACgEAAA8AAAAAAAAAAQAgAAAAIgAAAGRycy9kb3du&#10;cmV2LnhtbFBLAQIUABQAAAAIAIdO4kC4TyuyNgIAAHg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5080" b="762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6432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whit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法定代表人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（单位负责人）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240" w:lineRule="auto"/>
        <w:ind w:firstLine="0" w:firstLineChars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年   月   日</w:t>
      </w:r>
    </w:p>
    <w:p>
      <w:pPr>
        <w:spacing w:line="360" w:lineRule="auto"/>
        <w:ind w:left="0" w:leftChars="0" w:firstLine="0" w:firstLineChars="0"/>
        <w:rPr>
          <w:rFonts w:hint="eastAsia" w:ascii="仿宋" w:hAnsi="仿宋" w:eastAsia="仿宋" w:cs="仿宋"/>
        </w:rPr>
        <w:sectPr>
          <w:footerReference r:id="rId6" w:type="first"/>
          <w:footerReference r:id="rId5" w:type="default"/>
          <w:pgSz w:w="11905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28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240" w:lineRule="auto"/>
        <w:ind w:firstLine="0" w:firstLineChars="0"/>
        <w:textAlignment w:val="auto"/>
        <w:rPr>
          <w:rFonts w:hint="eastAsia" w:ascii="仿宋" w:hAnsi="仿宋" w:eastAsia="仿宋" w:cs="仿宋"/>
          <w:b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附件3：</w:t>
      </w:r>
    </w:p>
    <w:p>
      <w:pPr>
        <w:spacing w:line="240" w:lineRule="auto"/>
        <w:ind w:right="-1176" w:rightChars="-490" w:firstLine="0" w:firstLineChars="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  <w:t>1</w:t>
      </w:r>
      <w:r>
        <w:rPr>
          <w:rFonts w:hint="eastAsia" w:ascii="仿宋" w:hAnsi="仿宋" w:eastAsia="仿宋" w:cs="仿宋"/>
          <w:b/>
          <w:kern w:val="0"/>
          <w:sz w:val="28"/>
          <w:szCs w:val="22"/>
        </w:rPr>
        <w:t>：国家企业信用信息公示系统查询方式</w:t>
      </w:r>
    </w:p>
    <w:p>
      <w:pPr>
        <w:spacing w:line="520" w:lineRule="exact"/>
        <w:ind w:firstLine="0" w:firstLineChars="0"/>
        <w:rPr>
          <w:rFonts w:hint="eastAsia"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bCs/>
          <w:sz w:val="24"/>
          <w:szCs w:val="24"/>
        </w:rPr>
        <w:t>1、登录“国家企业信用信息公示系统”网站地址：</w:t>
      </w:r>
      <w:r>
        <w:rPr>
          <w:rFonts w:hint="eastAsia" w:ascii="仿宋" w:hAnsi="仿宋" w:eastAsia="仿宋" w:cs="仿宋"/>
          <w:bCs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bCs/>
          <w:sz w:val="24"/>
          <w:szCs w:val="24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Cs/>
          <w:color w:val="0000FF"/>
          <w:sz w:val="24"/>
          <w:szCs w:val="24"/>
          <w:u w:val="single"/>
        </w:rPr>
        <w:t>http</w:t>
      </w:r>
      <w:r>
        <w:rPr>
          <w:rFonts w:hint="eastAsia" w:ascii="仿宋" w:hAnsi="仿宋" w:eastAsia="仿宋" w:cs="仿宋"/>
          <w:bCs/>
          <w:color w:val="0000FF"/>
          <w:sz w:val="24"/>
          <w:szCs w:val="24"/>
          <w:u w:val="single"/>
          <w:lang w:eastAsia="zh-CN"/>
        </w:rPr>
        <w:t>：</w:t>
      </w:r>
      <w:r>
        <w:rPr>
          <w:rFonts w:hint="eastAsia" w:ascii="仿宋" w:hAnsi="仿宋" w:eastAsia="仿宋" w:cs="仿宋"/>
          <w:bCs/>
          <w:color w:val="0000FF"/>
          <w:sz w:val="24"/>
          <w:szCs w:val="24"/>
          <w:u w:val="single"/>
        </w:rPr>
        <w:t>//www.gsxt.gov.cn/index.html</w:t>
      </w:r>
      <w:r>
        <w:rPr>
          <w:rFonts w:hint="eastAsia" w:ascii="仿宋" w:hAnsi="仿宋" w:eastAsia="仿宋" w:cs="仿宋"/>
          <w:bCs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bCs/>
          <w:sz w:val="24"/>
          <w:szCs w:val="24"/>
        </w:rPr>
        <w:t>，在查询窗口输入企业名称，点击查询。</w:t>
      </w:r>
    </w:p>
    <w:p>
      <w:pPr>
        <w:spacing w:line="240" w:lineRule="auto"/>
        <w:ind w:firstLine="425" w:firstLineChars="0"/>
        <w:jc w:val="left"/>
        <w:rPr>
          <w:rFonts w:hint="eastAsia" w:ascii="仿宋" w:hAnsi="仿宋" w:eastAsia="仿宋" w:cs="仿宋"/>
          <w:kern w:val="0"/>
          <w:sz w:val="21"/>
          <w:szCs w:val="21"/>
        </w:rPr>
      </w:pPr>
    </w:p>
    <w:p>
      <w:pPr>
        <w:spacing w:line="520" w:lineRule="exact"/>
        <w:ind w:firstLine="0" w:firstLineChars="0"/>
        <w:rPr>
          <w:rFonts w:hint="eastAsia"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21"/>
          <w:szCs w:val="21"/>
        </w:rPr>
        <w:br w:type="page"/>
      </w:r>
      <w:r>
        <w:rPr>
          <w:rFonts w:hint="eastAsia" w:ascii="仿宋" w:hAnsi="仿宋" w:eastAsia="仿宋" w:cs="仿宋"/>
          <w:bCs/>
          <w:sz w:val="24"/>
          <w:szCs w:val="24"/>
        </w:rPr>
        <w:t>2、点击进入企业界面。</w:t>
      </w:r>
    </w:p>
    <w:p>
      <w:pPr>
        <w:spacing w:line="240" w:lineRule="auto"/>
        <w:ind w:right="-1176" w:rightChars="-490" w:firstLine="0" w:firstLineChars="0"/>
        <w:jc w:val="left"/>
        <w:rPr>
          <w:rFonts w:hint="eastAsia"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5080" b="2540"/>
            <wp:wrapNone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  <w:bookmarkStart w:id="0" w:name="_Toc5503"/>
      <w:bookmarkStart w:id="1" w:name="_Toc17064"/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ind w:left="0" w:leftChars="0" w:firstLine="0" w:firstLineChars="0"/>
        <w:jc w:val="left"/>
        <w:rPr>
          <w:rFonts w:hint="eastAsia" w:ascii="仿宋" w:hAnsi="仿宋" w:eastAsia="仿宋" w:cs="仿宋"/>
          <w:b/>
          <w:kern w:val="0"/>
          <w:sz w:val="32"/>
        </w:rPr>
        <w:sectPr>
          <w:pgSz w:w="11905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28" w:charSpace="0"/>
        </w:sectPr>
      </w:pPr>
    </w:p>
    <w:p>
      <w:pPr>
        <w:numPr>
          <w:ilvl w:val="0"/>
          <w:numId w:val="1"/>
        </w:numPr>
        <w:bidi w:val="0"/>
        <w:spacing w:line="240" w:lineRule="auto"/>
        <w:ind w:left="720" w:leftChars="0" w:firstLine="0" w:firstLineChars="0"/>
        <w:jc w:val="left"/>
        <w:rPr>
          <w:rFonts w:hint="eastAsia"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3175" b="508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sz w:val="24"/>
          <w:szCs w:val="24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bidi w:val="0"/>
        <w:jc w:val="left"/>
        <w:rPr>
          <w:rFonts w:hint="eastAsia" w:ascii="仿宋" w:hAnsi="仿宋" w:eastAsia="仿宋" w:cs="仿宋"/>
          <w:b/>
          <w:kern w:val="0"/>
          <w:sz w:val="32"/>
        </w:rPr>
        <w:sectPr>
          <w:pgSz w:w="11905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28" w:charSpace="0"/>
        </w:sectPr>
      </w:pPr>
    </w:p>
    <w:bookmarkEnd w:id="0"/>
    <w:bookmarkEnd w:id="1"/>
    <w:p>
      <w:pPr>
        <w:spacing w:line="240" w:lineRule="auto"/>
        <w:ind w:right="-1176" w:rightChars="-490" w:firstLine="0" w:firstLineChars="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  <w:t>2：信用中国查询方式</w:t>
      </w:r>
    </w:p>
    <w:p>
      <w:pPr>
        <w:spacing w:line="240" w:lineRule="auto"/>
        <w:ind w:firstLine="0" w:firstLineChars="0"/>
        <w:rPr>
          <w:rFonts w:hint="eastAsia"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  <w:lang w:val="en-US" w:eastAsia="zh-CN"/>
        </w:rPr>
        <w:t>1、</w:t>
      </w:r>
      <w:r>
        <w:rPr>
          <w:rFonts w:hint="eastAsia" w:ascii="仿宋" w:hAnsi="仿宋" w:eastAsia="仿宋" w:cs="仿宋"/>
          <w:kern w:val="0"/>
          <w:sz w:val="21"/>
          <w:szCs w:val="21"/>
        </w:rPr>
        <w:t>国家信息中心主办“信用中国”网站地址：http</w:t>
      </w:r>
      <w:r>
        <w:rPr>
          <w:rFonts w:hint="eastAsia" w:ascii="仿宋" w:hAnsi="仿宋" w:eastAsia="仿宋" w:cs="仿宋"/>
          <w:kern w:val="0"/>
          <w:sz w:val="21"/>
          <w:szCs w:val="21"/>
          <w:lang w:eastAsia="zh-CN"/>
        </w:rPr>
        <w:t>：</w:t>
      </w:r>
      <w:r>
        <w:rPr>
          <w:rFonts w:hint="eastAsia" w:ascii="仿宋" w:hAnsi="仿宋" w:eastAsia="仿宋" w:cs="仿宋"/>
          <w:kern w:val="0"/>
          <w:sz w:val="21"/>
          <w:szCs w:val="21"/>
        </w:rPr>
        <w:t>//www.creditchina.gov.cn打开网页后，点击“信用服务”。</w:t>
      </w:r>
    </w:p>
    <w:p>
      <w:pPr>
        <w:spacing w:line="240" w:lineRule="auto"/>
        <w:ind w:left="0" w:leftChars="0" w:firstLine="0" w:firstLineChars="0"/>
        <w:jc w:val="left"/>
        <w:rPr>
          <w:rFonts w:hint="eastAsia" w:ascii="仿宋" w:hAnsi="仿宋" w:eastAsia="仿宋" w:cs="仿宋"/>
          <w:bCs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546100</wp:posOffset>
            </wp:positionV>
            <wp:extent cx="5685155" cy="4003040"/>
            <wp:effectExtent l="0" t="0" r="0" b="6985"/>
            <wp:wrapNone/>
            <wp:docPr id="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l="7344" r="-1036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r>
        <w:rPr>
          <w:rFonts w:hint="eastAsia" w:ascii="仿宋" w:hAnsi="仿宋" w:eastAsia="仿宋" w:cs="仿宋"/>
          <w:sz w:val="21"/>
          <w:lang w:val="en-US" w:eastAsia="zh-CN"/>
        </w:rPr>
        <w:t>2、</w:t>
      </w:r>
      <w:r>
        <w:rPr>
          <w:rFonts w:hint="eastAsia" w:ascii="仿宋" w:hAnsi="仿宋" w:eastAsia="仿宋" w:cs="仿宋"/>
          <w:bCs/>
          <w:kern w:val="0"/>
          <w:sz w:val="21"/>
          <w:szCs w:val="21"/>
        </w:rPr>
        <w:t>在以下页面中点击“失信被执行人”</w:t>
      </w:r>
    </w:p>
    <w:p>
      <w:pPr>
        <w:spacing w:line="240" w:lineRule="auto"/>
        <w:ind w:firstLine="482" w:firstLineChars="0"/>
        <w:rPr>
          <w:rFonts w:hint="eastAsia" w:ascii="仿宋" w:hAnsi="仿宋" w:eastAsia="仿宋" w:cs="仿宋"/>
          <w:sz w:val="21"/>
        </w:rPr>
      </w:pP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1270" b="8255"/>
            <wp:wrapNone/>
            <wp:docPr id="45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 descr="失信"/>
                    <pic:cNvPicPr>
                      <a:picLocks noChangeAspect="1"/>
                    </pic:cNvPicPr>
                  </pic:nvPicPr>
                  <pic:blipFill>
                    <a:blip r:embed="rId13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kern w:val="0"/>
          <w:szCs w:val="21"/>
        </w:rPr>
        <w:sectPr>
          <w:pgSz w:w="11905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28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left="0" w:leftChars="0" w:firstLine="0" w:firstLineChars="0"/>
        <w:rPr>
          <w:rFonts w:hint="eastAsia"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  <w:lang w:val="en-US" w:eastAsia="zh-CN"/>
        </w:rPr>
        <w:t>3、在弹出窗口进入链接网站，</w:t>
      </w:r>
      <w:r>
        <w:rPr>
          <w:rFonts w:hint="eastAsia" w:ascii="仿宋" w:hAnsi="仿宋" w:eastAsia="仿宋" w:cs="仿宋"/>
          <w:kern w:val="0"/>
          <w:sz w:val="21"/>
          <w:szCs w:val="21"/>
        </w:rPr>
        <w:t>在查询窗口输入查询企业名称，将查询结果截图</w:t>
      </w:r>
      <w:r>
        <w:rPr>
          <w:rFonts w:hint="eastAsia" w:ascii="仿宋" w:hAnsi="仿宋" w:eastAsia="仿宋" w:cs="仿宋"/>
          <w:kern w:val="0"/>
          <w:sz w:val="21"/>
          <w:szCs w:val="21"/>
          <w:lang w:eastAsia="zh-CN"/>
        </w:rPr>
        <w:t>。</w:t>
      </w:r>
    </w:p>
    <w:p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4135755"/>
            <wp:effectExtent l="0" t="0" r="1905" b="7620"/>
            <wp:wrapNone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</w:p>
    <w:p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</w:p>
    <w:p>
      <w:pPr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</w:pPr>
      <w:r>
        <w:rPr>
          <w:rFonts w:hint="eastAsia" w:ascii="仿宋" w:hAnsi="仿宋" w:eastAsia="仿宋" w:cs="仿宋"/>
          <w:kern w:val="0"/>
          <w:sz w:val="21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4445"/>
            <wp:wrapNone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15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bookmarkStart w:id="2" w:name="_Toc15378"/>
      <w:bookmarkStart w:id="3" w:name="_Toc9085"/>
      <w:r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  <w:t>3：中国裁判文书网查询方式</w:t>
      </w:r>
      <w:bookmarkEnd w:id="2"/>
      <w:bookmarkEnd w:id="3"/>
    </w:p>
    <w:p>
      <w:pPr>
        <w:widowControl w:val="0"/>
        <w:spacing w:line="48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lang w:val="en-US" w:eastAsia="zh-CN" w:bidi="ar-SA"/>
        </w:rPr>
        <w:t>1、供应商查询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（1）打开“中国裁判文书网”网站（http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：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//wenshu.court.gov.cn/），点击高级检索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（2）在全文检索中输入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“行贿罪”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，并选择“全文”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（3）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在“当事人”处输入供应商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全称；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（4）在裁判日期选择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（5）截取成功截图如下（须截取到左上角的时间）。</w:t>
      </w:r>
    </w:p>
    <w:p>
      <w:pPr>
        <w:widowControl w:val="0"/>
        <w:spacing w:line="48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  <w:lang w:val="en-US" w:eastAsia="zh-CN" w:bidi="ar-SA"/>
        </w:rPr>
        <w:drawing>
          <wp:inline distT="0" distB="0" distL="114300" distR="114300">
            <wp:extent cx="5488305" cy="3270885"/>
            <wp:effectExtent l="0" t="0" r="0" b="5715"/>
            <wp:docPr id="3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图"/>
                    <pic:cNvPicPr>
                      <a:picLocks noChangeAspect="1"/>
                    </pic:cNvPicPr>
                  </pic:nvPicPr>
                  <pic:blipFill>
                    <a:blip r:embed="rId16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  <w:lang w:val="en-US" w:eastAsia="zh-CN" w:bidi="ar-SA"/>
        </w:rPr>
        <w:br w:type="page"/>
      </w:r>
      <w:r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lang w:val="en-US" w:eastAsia="zh-CN" w:bidi="ar-SA"/>
        </w:rPr>
        <w:t>2、企业法定代表人查询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（1）打开“中国裁判文书网”网站（http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：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//wenshu.court.gov.cn/），点击高级检索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）在裁判日期选择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360" w:lineRule="auto"/>
        <w:ind w:firstLine="0"/>
      </w:pPr>
      <w:r>
        <w:rPr>
          <w:rFonts w:hint="eastAsia" w:ascii="仿宋" w:hAnsi="仿宋" w:eastAsia="仿宋" w:cs="仿宋"/>
          <w:color w:val="auto"/>
          <w:kern w:val="2"/>
          <w:sz w:val="21"/>
          <w:szCs w:val="24"/>
          <w:highlight w:val="none"/>
          <w:lang w:val="en-US" w:eastAsia="zh-CN" w:bidi="ar-SA"/>
        </w:rPr>
        <w:t>（5）截取成功截图如下（须截取到左上角的时间）。</w:t>
      </w:r>
      <w:r>
        <w:rPr>
          <w:rFonts w:hint="eastAsia" w:ascii="仿宋" w:hAnsi="仿宋" w:eastAsia="仿宋" w:cs="仿宋"/>
          <w:color w:val="auto"/>
          <w:kern w:val="2"/>
          <w:sz w:val="21"/>
          <w:szCs w:val="24"/>
          <w:highlight w:val="none"/>
          <w:lang w:val="en-US" w:eastAsia="zh-CN" w:bidi="ar-SA"/>
        </w:rPr>
        <w:drawing>
          <wp:inline distT="0" distB="0" distL="114300" distR="114300">
            <wp:extent cx="5280660" cy="3390900"/>
            <wp:effectExtent l="0" t="0" r="5715" b="0"/>
            <wp:docPr id="29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 descr="图片1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7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napToGrid w:val="0"/>
      <w:spacing w:line="360" w:lineRule="auto"/>
      <w:ind w:firstLine="360" w:firstLineChars="200"/>
      <w:jc w:val="center"/>
      <w:rPr>
        <w:rFonts w:ascii="Calibri" w:hAnsi="Calibri" w:eastAsia="宋体" w:cs="Times New Roman"/>
        <w:kern w:val="0"/>
        <w:sz w:val="18"/>
        <w:szCs w:val="18"/>
        <w:lang w:val="en-US" w:eastAsia="zh-CN" w:bidi="ar-SA"/>
      </w:rPr>
    </w:pPr>
    <w:r>
      <w:rPr>
        <w:rFonts w:eastAsia="宋体" w:asciiTheme="minorAscii" w:hAnsiTheme="minorAscii"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widowControl w:val="0"/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eastAsia="宋体" w:asciiTheme="minorAscii" w:hAnsiTheme="minorAscii" w:cstheme="minorBidi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eastAsia="宋体" w:asciiTheme="minorAscii" w:hAnsiTheme="minorAscii" w:cstheme="minorBidi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eastAsia="宋体" w:asciiTheme="minorAscii" w:hAnsiTheme="minorAscii" w:cstheme="minorBidi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eastAsia="宋体" w:asciiTheme="minorAscii" w:hAnsiTheme="minorAscii" w:cstheme="minorBidi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eastAsia="宋体" w:asciiTheme="minorAscii" w:hAnsiTheme="minorAscii" w:cstheme="minorBidi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t>9</w:t>
                          </w:r>
                          <w:r>
                            <w:rPr>
                              <w:rFonts w:eastAsia="宋体" w:asciiTheme="minorAscii" w:hAnsiTheme="minorAscii" w:cstheme="minorBidi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2YFr58oBAACb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eastAsia="宋体" w:asciiTheme="minorAscii" w:hAnsiTheme="minorAscii" w:cstheme="minorBidi"/>
                        <w:kern w:val="2"/>
                        <w:sz w:val="1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eastAsia="宋体" w:asciiTheme="minorAscii" w:hAnsiTheme="minorAscii" w:cstheme="minorBidi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eastAsia="宋体" w:asciiTheme="minorAscii" w:hAnsiTheme="minorAscii" w:cstheme="minorBidi"/>
                        <w:kern w:val="2"/>
                        <w:sz w:val="1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eastAsia="宋体" w:asciiTheme="minorAscii" w:hAnsiTheme="minorAscii" w:cstheme="minorBidi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eastAsia="宋体" w:asciiTheme="minorAscii" w:hAnsiTheme="minorAscii" w:cstheme="minorBidi"/>
                        <w:kern w:val="2"/>
                        <w:sz w:val="18"/>
                        <w:szCs w:val="24"/>
                        <w:lang w:val="en-US" w:eastAsia="zh-CN" w:bidi="ar-SA"/>
                      </w:rPr>
                      <w:t>9</w:t>
                    </w:r>
                    <w:r>
                      <w:rPr>
                        <w:rFonts w:eastAsia="宋体" w:asciiTheme="minorAscii" w:hAnsiTheme="minorAscii" w:cstheme="minorBidi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eastAsia="宋体" w:cs="Times New Roman"/>
        <w:kern w:val="0"/>
        <w:sz w:val="18"/>
        <w:szCs w:val="18"/>
        <w:lang w:val="en-US" w:eastAsia="zh-CN" w:bidi="ar-S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napToGrid w:val="0"/>
      <w:spacing w:line="360" w:lineRule="auto"/>
      <w:ind w:firstLine="360" w:firstLineChars="200"/>
      <w:jc w:val="left"/>
      <w:rPr>
        <w:rFonts w:ascii="Calibri" w:hAnsi="Calibri" w:eastAsia="宋体" w:cs="Times New Roman"/>
        <w:kern w:val="0"/>
        <w:sz w:val="18"/>
        <w:szCs w:val="18"/>
        <w:lang w:val="en-US" w:eastAsia="zh-CN" w:bidi="ar-SA"/>
      </w:rPr>
    </w:pPr>
    <w:r>
      <w:rPr>
        <w:rFonts w:ascii="Calibri" w:hAnsi="Calibri" w:eastAsia="宋体" w:cs="Times New Roman"/>
        <w:kern w:val="0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widowControl w:val="0"/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t>- 1 -</w:t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W1u+M4AgAAc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pbW74zgCAABx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t>- 1 -</w:t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napToGrid w:val="0"/>
      <w:spacing w:line="360" w:lineRule="auto"/>
      <w:ind w:firstLine="360" w:firstLineChars="200"/>
      <w:jc w:val="center"/>
      <w:rPr>
        <w:rFonts w:eastAsia="宋体" w:asciiTheme="minorAscii" w:hAnsiTheme="minorAscii" w:cstheme="minorBidi"/>
        <w:kern w:val="2"/>
        <w:sz w:val="18"/>
        <w:szCs w:val="24"/>
        <w:lang w:val="en-US" w:eastAsia="zh-CN" w:bidi="ar-SA"/>
      </w:rPr>
    </w:pPr>
    <w:r>
      <w:rPr>
        <w:rFonts w:eastAsia="宋体" w:asciiTheme="minorAscii" w:hAnsiTheme="minorAscii" w:cstheme="minorBidi"/>
        <w:kern w:val="2"/>
        <w:sz w:val="18"/>
        <w:szCs w:val="24"/>
        <w:lang w:val="en-US" w:eastAsia="zh-CN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widowControl w:val="0"/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eastAsia="宋体" w:asciiTheme="minorAscii" w:hAnsiTheme="minorAscii" w:cstheme="minorBidi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eastAsia="宋体" w:asciiTheme="minorAscii" w:hAnsiTheme="minorAscii" w:cstheme="minorBidi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eastAsia="宋体" w:asciiTheme="minorAscii" w:hAnsiTheme="minorAscii" w:cstheme="minorBidi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eastAsia="宋体" w:asciiTheme="minorAscii" w:hAnsiTheme="minorAscii" w:cstheme="minorBidi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eastAsia="宋体" w:asciiTheme="minorAscii" w:hAnsiTheme="minorAscii" w:cstheme="minorBidi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t>18</w:t>
                          </w:r>
                          <w:r>
                            <w:rPr>
                              <w:rFonts w:eastAsia="宋体" w:asciiTheme="minorAscii" w:hAnsiTheme="minorAscii" w:cstheme="minorBidi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rBCXA3AgAAc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BawQlwNwIAAHE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eastAsia="宋体" w:asciiTheme="minorAscii" w:hAnsiTheme="minorAscii" w:cstheme="minorBidi"/>
                        <w:kern w:val="2"/>
                        <w:sz w:val="1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eastAsia="宋体" w:asciiTheme="minorAscii" w:hAnsiTheme="minorAscii" w:cstheme="minorBidi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eastAsia="宋体" w:asciiTheme="minorAscii" w:hAnsiTheme="minorAscii" w:cstheme="minorBidi"/>
                        <w:kern w:val="2"/>
                        <w:sz w:val="1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eastAsia="宋体" w:asciiTheme="minorAscii" w:hAnsiTheme="minorAscii" w:cstheme="minorBidi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eastAsia="宋体" w:asciiTheme="minorAscii" w:hAnsiTheme="minorAscii" w:cstheme="minorBidi"/>
                        <w:kern w:val="2"/>
                        <w:sz w:val="18"/>
                        <w:szCs w:val="24"/>
                        <w:lang w:val="en-US" w:eastAsia="zh-CN" w:bidi="ar-SA"/>
                      </w:rPr>
                      <w:t>18</w:t>
                    </w:r>
                    <w:r>
                      <w:rPr>
                        <w:rFonts w:eastAsia="宋体" w:asciiTheme="minorAscii" w:hAnsiTheme="minorAscii" w:cstheme="minorBidi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="宋体" w:asciiTheme="minorAscii" w:hAnsiTheme="minorAscii" w:cstheme="minorBidi"/>
        <w:kern w:val="2"/>
        <w:sz w:val="18"/>
        <w:szCs w:val="24"/>
        <w:lang w:val="en-US" w:eastAsia="zh-CN" w:bidi="ar-SA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  <w:pPr>
        <w:ind w:left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NTMzMWY4OWRiZTdiZjVhZDMzNTU4OGIwYTkyMTEifQ=="/>
  </w:docVars>
  <w:rsids>
    <w:rsidRoot w:val="6BC81294"/>
    <w:rsid w:val="1C211A3D"/>
    <w:rsid w:val="6BC8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4">
    <w:name w:val="heading 2"/>
    <w:basedOn w:val="1"/>
    <w:next w:val="1"/>
    <w:link w:val="16"/>
    <w:semiHidden/>
    <w:unhideWhenUsed/>
    <w:qFormat/>
    <w:uiPriority w:val="0"/>
    <w:pPr>
      <w:keepNext/>
      <w:keepLines/>
      <w:widowControl w:val="0"/>
      <w:spacing w:before="120" w:after="120" w:line="240" w:lineRule="auto"/>
      <w:jc w:val="center"/>
      <w:outlineLvl w:val="1"/>
    </w:pPr>
    <w:rPr>
      <w:rFonts w:ascii="Cambria" w:hAnsi="Cambria" w:eastAsia="仿宋" w:cs="Times New Roman"/>
      <w:b/>
      <w:bCs/>
      <w:sz w:val="28"/>
      <w:szCs w:val="32"/>
    </w:rPr>
  </w:style>
  <w:style w:type="character" w:default="1" w:styleId="15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paragraph" w:styleId="5">
    <w:name w:val="Body Text"/>
    <w:basedOn w:val="1"/>
    <w:next w:val="6"/>
    <w:qFormat/>
    <w:uiPriority w:val="0"/>
    <w:rPr>
      <w:rFonts w:ascii="宋体" w:hAnsi="宋体" w:cs="Times New Roman"/>
      <w:kern w:val="0"/>
      <w:sz w:val="28"/>
    </w:rPr>
  </w:style>
  <w:style w:type="paragraph" w:customStyle="1" w:styleId="6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7">
    <w:name w:val="Body Text Indent"/>
    <w:basedOn w:val="1"/>
    <w:next w:val="8"/>
    <w:qFormat/>
    <w:uiPriority w:val="0"/>
    <w:pPr>
      <w:ind w:firstLine="360"/>
    </w:pPr>
    <w:rPr>
      <w:sz w:val="18"/>
    </w:rPr>
  </w:style>
  <w:style w:type="paragraph" w:customStyle="1" w:styleId="8">
    <w:name w:val="p16"/>
    <w:next w:val="9"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9">
    <w:name w:val="toc 2"/>
    <w:basedOn w:val="1"/>
    <w:next w:val="1"/>
    <w:qFormat/>
    <w:uiPriority w:val="39"/>
    <w:pPr>
      <w:ind w:left="210"/>
      <w:jc w:val="left"/>
    </w:pPr>
    <w:rPr>
      <w:rFonts w:ascii="Times New Roman" w:hAnsi="Times New Roman" w:cs="Times New Roman"/>
      <w:smallCaps/>
      <w:sz w:val="20"/>
      <w:szCs w:val="20"/>
    </w:rPr>
  </w:style>
  <w:style w:type="paragraph" w:styleId="10">
    <w:name w:val="footer"/>
    <w:basedOn w:val="1"/>
    <w:next w:val="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2">
    <w:name w:val="Body Text First Indent 2"/>
    <w:basedOn w:val="7"/>
    <w:next w:val="1"/>
    <w:unhideWhenUsed/>
    <w:qFormat/>
    <w:uiPriority w:val="99"/>
    <w:pPr>
      <w:ind w:firstLine="420"/>
    </w:p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">
    <w:name w:val="标题 2 Char"/>
    <w:link w:val="4"/>
    <w:uiPriority w:val="0"/>
    <w:rPr>
      <w:rFonts w:ascii="Cambria" w:hAnsi="Cambria" w:eastAsia="仿宋" w:cs="Times New Roman"/>
      <w:b/>
      <w:bCs/>
      <w:kern w:val="2"/>
      <w:sz w:val="28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2023-06-21T08:13:00Z</dcterms:created>
  <dc:creator>回忆斑驳了过往</dc:creator>
  <cp:lastModifiedBy>回忆斑驳了过往</cp:lastModifiedBy>
  <dcterms:modified xsi:type="dcterms:W3CDTF">2023-06-21T08:14:20Z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AF5D14D30BD547DEA7CE046FE72285A8_11</vt:lpwstr>
  </property>
</Properties>
</file>