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《响应真实性承诺书》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  <w:lang w:eastAsia="zh-CN"/>
        </w:rPr>
        <w:t>内蒙古电力（集团）有限责任公司呼和浩特供电分公司</w:t>
      </w:r>
      <w:r>
        <w:rPr>
          <w:rFonts w:hint="eastAsia" w:ascii="宋体" w:hAnsi="宋体"/>
        </w:rPr>
        <w:t>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企业（供应商）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</w:t>
      </w:r>
      <w:r>
        <w:rPr>
          <w:rFonts w:hint="eastAsia" w:ascii="宋体" w:cs="宋体"/>
          <w:kern w:val="0"/>
        </w:rPr>
        <w:t>供应商：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（供应商名称）的法定代表人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(项目编号)(XXX标段)报名资料、响应文件、签订合同和处理有关事宜，其法律后果由我方承担。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自本委托书签署之日起至响应文件有效期满）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供应商：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5503"/>
      <w:bookmarkStart w:id="1" w:name="_Toc17064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1、供应商查询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（3）在“当事人”处输入供应商全称；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年01月01日至“响应截止时间”，点击检索；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年01月01日至“响应截止时间”，点击检索；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</w:t>
      </w:r>
      <w:bookmarkStart w:id="4" w:name="_GoBack"/>
      <w:bookmarkEnd w:id="4"/>
      <w:r>
        <w:rPr>
          <w:rFonts w:hint="eastAsia"/>
        </w:rPr>
        <w:t>索中输入供应商全称，并选择“全文”，点击检索；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00A75F99"/>
    <w:rsid w:val="11A842B9"/>
    <w:rsid w:val="14BC460C"/>
    <w:rsid w:val="1C747E00"/>
    <w:rsid w:val="3A7E7780"/>
    <w:rsid w:val="42C17285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2023-04-08T15:36:21Z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