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呼和浩特供电公司2023年营销日常检修工程更换计量箱施工招标公告</w:t>
      </w:r>
      <w:bookmarkStart w:id="0" w:name="_GoBack"/>
      <w:bookmarkEnd w:id="0"/>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HG20230701-287</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年营销日常检修工程更换计量箱施工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1、项目名称：呼和浩特供电公司2023年营销日常检修工程更换计量箱施工</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olor w:val="auto"/>
          <w:sz w:val="21"/>
          <w:szCs w:val="21"/>
          <w:lang w:eastAsia="zh-CN"/>
        </w:rPr>
        <w:t>3、</w:t>
      </w:r>
      <w:r>
        <w:rPr>
          <w:rFonts w:hint="eastAsia"/>
          <w:sz w:val="21"/>
          <w:szCs w:val="21"/>
          <w:lang w:val="en-US" w:eastAsia="zh-CN"/>
        </w:rPr>
        <w:t>入围家数</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2家</w:t>
      </w:r>
    </w:p>
    <w:p>
      <w:pPr>
        <w:spacing w:line="360" w:lineRule="auto"/>
        <w:ind w:firstLine="420" w:firstLineChars="200"/>
        <w:rPr>
          <w:rFonts w:hint="eastAsia"/>
          <w:sz w:val="21"/>
          <w:szCs w:val="21"/>
          <w:lang w:eastAsia="zh-CN"/>
        </w:rPr>
      </w:pPr>
      <w:r>
        <w:rPr>
          <w:rFonts w:hint="eastAsia"/>
          <w:color w:val="auto"/>
          <w:sz w:val="21"/>
          <w:szCs w:val="21"/>
          <w:lang w:val="en-US" w:eastAsia="zh-CN"/>
        </w:rPr>
        <w:t>4</w:t>
      </w:r>
      <w:r>
        <w:rPr>
          <w:rFonts w:hint="eastAsia"/>
          <w:color w:val="auto"/>
          <w:sz w:val="21"/>
          <w:szCs w:val="21"/>
          <w:lang w:eastAsia="zh-CN"/>
        </w:rPr>
        <w:t>、</w:t>
      </w:r>
      <w:r>
        <w:rPr>
          <w:rFonts w:hint="eastAsia"/>
          <w:sz w:val="21"/>
          <w:szCs w:val="21"/>
          <w:lang w:val="en-US" w:eastAsia="zh-CN"/>
        </w:rPr>
        <w:t>框架服务期</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cs="宋体"/>
          <w:b w:val="0"/>
          <w:bCs w:val="0"/>
          <w:color w:val="000000" w:themeColor="text1"/>
          <w:sz w:val="21"/>
          <w:szCs w:val="21"/>
          <w:lang w:val="en-US" w:eastAsia="zh-CN"/>
          <w14:textFill>
            <w14:solidFill>
              <w14:schemeClr w14:val="tx1"/>
            </w14:solidFill>
          </w14:textFill>
        </w:rPr>
      </w:pPr>
      <w:r>
        <w:rPr>
          <w:rFonts w:hint="eastAsia"/>
          <w:color w:val="auto"/>
          <w:sz w:val="21"/>
          <w:szCs w:val="21"/>
          <w:lang w:val="en-US" w:eastAsia="zh-CN"/>
        </w:rPr>
        <w:t>5</w:t>
      </w:r>
      <w:r>
        <w:rPr>
          <w:rFonts w:hint="eastAsia"/>
          <w:color w:val="auto"/>
          <w:sz w:val="21"/>
          <w:szCs w:val="21"/>
          <w:lang w:eastAsia="zh-CN"/>
        </w:rPr>
        <w:t>、</w:t>
      </w:r>
      <w:r>
        <w:rPr>
          <w:rFonts w:hint="eastAsia"/>
          <w:sz w:val="21"/>
          <w:szCs w:val="21"/>
          <w:lang w:val="en-US" w:eastAsia="zh-CN"/>
        </w:rPr>
        <w:t>施工期要求</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6</w:t>
      </w:r>
      <w:r>
        <w:rPr>
          <w:rFonts w:hint="eastAsia"/>
          <w:sz w:val="21"/>
          <w:szCs w:val="21"/>
          <w:lang w:eastAsia="zh-CN"/>
        </w:rPr>
        <w:t>、</w:t>
      </w:r>
      <w:r>
        <w:rPr>
          <w:rFonts w:hint="eastAsia"/>
          <w:sz w:val="21"/>
          <w:szCs w:val="21"/>
          <w:lang w:val="en-US" w:eastAsia="zh-CN"/>
        </w:rPr>
        <w:t>施工</w:t>
      </w:r>
      <w:r>
        <w:rPr>
          <w:rFonts w:hint="eastAsia"/>
          <w:sz w:val="21"/>
          <w:szCs w:val="21"/>
          <w:lang w:eastAsia="zh-CN"/>
        </w:rPr>
        <w:t>地点：</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7</w:t>
      </w:r>
      <w:r>
        <w:rPr>
          <w:rFonts w:hint="eastAsia"/>
          <w:sz w:val="21"/>
          <w:szCs w:val="21"/>
          <w:lang w:eastAsia="zh-CN"/>
        </w:rPr>
        <w:t>、</w:t>
      </w:r>
      <w:r>
        <w:rPr>
          <w:rFonts w:hint="eastAsia"/>
          <w:sz w:val="21"/>
          <w:szCs w:val="21"/>
          <w:lang w:val="en-US" w:eastAsia="zh-CN"/>
        </w:rPr>
        <w:t>框架及报价要求</w:t>
      </w:r>
      <w:r>
        <w:rPr>
          <w:rFonts w:hint="eastAsia"/>
          <w:sz w:val="21"/>
          <w:szCs w:val="21"/>
          <w:lang w:eastAsia="zh-CN"/>
        </w:rPr>
        <w:t>：</w:t>
      </w:r>
    </w:p>
    <w:p>
      <w:pPr>
        <w:spacing w:line="360" w:lineRule="auto"/>
        <w:ind w:firstLine="420" w:firstLineChars="200"/>
        <w:rPr>
          <w:rFonts w:hint="eastAsia" w:ascii="宋体" w:hAnsi="宋体" w:eastAsia="宋体"/>
          <w:color w:val="auto"/>
          <w:sz w:val="21"/>
          <w:lang w:val="en-US" w:eastAsia="zh-CN"/>
        </w:rPr>
      </w:pPr>
      <w:r>
        <w:rPr>
          <w:rFonts w:hint="eastAsia"/>
          <w:sz w:val="21"/>
          <w:szCs w:val="21"/>
          <w:lang w:val="en-US" w:eastAsia="zh-CN"/>
        </w:rPr>
        <w:t>7.1、</w:t>
      </w:r>
      <w:r>
        <w:rPr>
          <w:rFonts w:hint="eastAsia" w:ascii="宋体" w:hAnsi="宋体" w:eastAsia="宋体"/>
          <w:color w:val="auto"/>
          <w:sz w:val="21"/>
          <w:lang w:val="en-US" w:eastAsia="zh-CN"/>
        </w:rPr>
        <w:t>本项目为框架入围项目，</w:t>
      </w:r>
      <w:r>
        <w:rPr>
          <w:rFonts w:hint="eastAsia" w:ascii="宋体" w:hAnsi="宋体" w:eastAsia="宋体" w:cs="宋体"/>
          <w:sz w:val="21"/>
          <w:szCs w:val="21"/>
          <w:lang w:val="zh-CN" w:eastAsia="zh-CN" w:bidi="zh-CN"/>
        </w:rPr>
        <w:t>鉴于项目的不确定性，</w:t>
      </w:r>
      <w:r>
        <w:rPr>
          <w:rFonts w:hint="eastAsia" w:ascii="宋体" w:hAnsi="宋体" w:eastAsia="宋体"/>
          <w:color w:val="auto"/>
          <w:sz w:val="21"/>
          <w:lang w:val="en-US" w:eastAsia="zh-CN"/>
        </w:rPr>
        <w:t>招标人不对采购量做承诺，最终应以实际框架有效期内发生的采购量为准。</w:t>
      </w:r>
    </w:p>
    <w:p>
      <w:pPr>
        <w:spacing w:line="360" w:lineRule="auto"/>
        <w:ind w:firstLine="420" w:firstLineChars="200"/>
        <w:rPr>
          <w:rFonts w:hint="eastAsia"/>
          <w:color w:val="auto"/>
          <w:lang w:val="en-US" w:eastAsia="zh-CN"/>
        </w:rPr>
      </w:pPr>
      <w:r>
        <w:rPr>
          <w:rFonts w:hint="eastAsia"/>
          <w:color w:val="auto"/>
          <w:sz w:val="21"/>
          <w:szCs w:val="21"/>
          <w:lang w:val="en-US" w:eastAsia="zh-CN"/>
        </w:rPr>
        <w:t>7.2、</w:t>
      </w:r>
      <w:r>
        <w:rPr>
          <w:rFonts w:hint="eastAsia" w:ascii="宋体" w:hAnsi="宋体" w:eastAsia="宋体"/>
          <w:color w:val="auto"/>
          <w:sz w:val="21"/>
          <w:lang w:val="en-US" w:eastAsia="zh-CN"/>
        </w:rPr>
        <w:t>框架</w:t>
      </w:r>
      <w:r>
        <w:rPr>
          <w:rFonts w:hint="eastAsia"/>
          <w:color w:val="auto"/>
          <w:sz w:val="21"/>
          <w:lang w:val="en-US" w:eastAsia="zh-CN"/>
        </w:rPr>
        <w:t>分配原则：原则上分配业务金额按中标排名顺序约为第一名＞50%，第二名＜50%</w:t>
      </w:r>
      <w:r>
        <w:rPr>
          <w:rFonts w:hint="eastAsia" w:ascii="宋体" w:hAnsi="宋体" w:eastAsia="宋体"/>
          <w:color w:val="auto"/>
          <w:sz w:val="21"/>
          <w:lang w:val="en-US" w:eastAsia="zh-CN"/>
        </w:rPr>
        <w:t>。</w:t>
      </w:r>
    </w:p>
    <w:p>
      <w:pPr>
        <w:spacing w:line="360" w:lineRule="auto"/>
        <w:ind w:firstLine="420" w:firstLineChars="200"/>
        <w:rPr>
          <w:rFonts w:hint="eastAsia"/>
          <w:color w:val="auto"/>
          <w:sz w:val="21"/>
          <w:szCs w:val="21"/>
          <w:lang w:eastAsia="zh-CN"/>
        </w:rPr>
      </w:pPr>
      <w:r>
        <w:rPr>
          <w:rFonts w:hint="eastAsia" w:ascii="宋体" w:hAnsi="宋体" w:eastAsia="宋体"/>
          <w:color w:val="auto"/>
          <w:sz w:val="21"/>
          <w:lang w:val="en-US" w:eastAsia="zh-CN"/>
        </w:rPr>
        <w:t>7.</w:t>
      </w:r>
      <w:r>
        <w:rPr>
          <w:rFonts w:hint="eastAsia"/>
          <w:color w:val="auto"/>
          <w:sz w:val="21"/>
          <w:lang w:val="en-US" w:eastAsia="zh-CN"/>
        </w:rPr>
        <w:t>3</w:t>
      </w:r>
      <w:r>
        <w:rPr>
          <w:rFonts w:hint="eastAsia" w:ascii="宋体" w:hAnsi="宋体" w:eastAsia="宋体"/>
          <w:color w:val="auto"/>
          <w:sz w:val="21"/>
          <w:lang w:val="en-US" w:eastAsia="zh-CN"/>
        </w:rPr>
        <w:t>、</w:t>
      </w:r>
      <w:r>
        <w:rPr>
          <w:rFonts w:hint="eastAsia"/>
          <w:color w:val="auto"/>
          <w:sz w:val="21"/>
          <w:lang w:val="en-US" w:eastAsia="zh-CN"/>
        </w:rPr>
        <w:t>报价要求：</w:t>
      </w:r>
      <w:r>
        <w:rPr>
          <w:rFonts w:hint="eastAsia" w:ascii="宋体" w:hAnsi="宋体" w:eastAsia="宋体"/>
          <w:color w:val="auto"/>
          <w:sz w:val="21"/>
          <w:lang w:val="en-US" w:eastAsia="zh-CN"/>
        </w:rPr>
        <w:t>本项目按照费率进行报价，最高限价为100%，最终结算原则详见技术规范书。</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本项目共划分1个标段，详见附件2：标段划分表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rFonts w:hint="eastAsia"/>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11</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17</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11</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widowControl/>
        <w:spacing w:line="360" w:lineRule="auto"/>
        <w:ind w:firstLine="420" w:firstLineChars="20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w:t>
      </w:r>
      <w:r>
        <w:rPr>
          <w:rFonts w:hint="eastAsia"/>
          <w:sz w:val="21"/>
          <w:szCs w:val="21"/>
          <w:lang w:val="en-US" w:eastAsia="zh-CN"/>
        </w:rPr>
        <w:t>具体要求详见投标人须知前附表。</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缴纳中标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5"/>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11</w:t>
      </w:r>
      <w:r>
        <w:rPr>
          <w:rFonts w:hint="eastAsia"/>
          <w:color w:val="000000"/>
          <w:sz w:val="21"/>
          <w:szCs w:val="21"/>
          <w:lang w:eastAsia="zh-CN"/>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8</w:t>
                    </w:r>
                    <w:r>
                      <w:fldChar w:fldCharType="end"/>
                    </w:r>
                  </w:p>
                </w:txbxContent>
              </v:textbox>
            </v:shape>
          </w:pict>
        </mc:Fallback>
      </mc:AlternateContent>
    </w:r>
  </w:p>
  <w:p>
    <w:pPr>
      <w:pStyle w:val="7"/>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74064AC6"/>
    <w:rsid w:val="0388559C"/>
    <w:rsid w:val="74064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420" w:firstLineChars="200"/>
      <w:jc w:val="both"/>
    </w:pPr>
    <w:rPr>
      <w:rFonts w:asciiTheme="minorHAnsi" w:hAnsiTheme="minorHAnsi" w:cstheme="minorBidi"/>
      <w:kern w:val="2"/>
      <w:sz w:val="24"/>
      <w:szCs w:val="24"/>
      <w:lang w:eastAsia="zh-CN"/>
    </w:rPr>
  </w:style>
  <w:style w:type="paragraph" w:styleId="3">
    <w:name w:val="Body Text Indent"/>
    <w:basedOn w:val="1"/>
    <w:next w:val="4"/>
    <w:semiHidden/>
    <w:unhideWhenUsed/>
    <w:qFormat/>
    <w:uiPriority w:val="99"/>
    <w:pPr>
      <w:spacing w:after="120"/>
      <w:ind w:left="420" w:leftChars="200"/>
    </w:pPr>
  </w:style>
  <w:style w:type="paragraph" w:styleId="4">
    <w:name w:val="footnote text"/>
    <w:basedOn w:val="1"/>
    <w:qFormat/>
    <w:uiPriority w:val="0"/>
    <w:pPr>
      <w:snapToGrid w:val="0"/>
      <w:ind w:firstLine="200" w:firstLineChars="200"/>
    </w:pPr>
    <w:rPr>
      <w:rFonts w:eastAsia="华文仿宋" w:cs="Times New Roman"/>
      <w:sz w:val="18"/>
      <w:szCs w:val="20"/>
    </w:rPr>
  </w:style>
  <w:style w:type="paragraph" w:styleId="5">
    <w:name w:val="Normal Indent"/>
    <w:basedOn w:val="1"/>
    <w:next w:val="6"/>
    <w:qFormat/>
    <w:uiPriority w:val="0"/>
    <w:pPr>
      <w:widowControl/>
      <w:ind w:firstLine="420"/>
      <w:jc w:val="left"/>
    </w:pPr>
    <w:rPr>
      <w:rFonts w:ascii="Calibri" w:hAnsi="Calibri" w:cs="Times New Roman"/>
      <w:kern w:val="0"/>
      <w:sz w:val="20"/>
      <w:szCs w:val="20"/>
    </w:rPr>
  </w:style>
  <w:style w:type="paragraph" w:styleId="6">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7">
    <w:name w:val="Body Text"/>
    <w:basedOn w:val="1"/>
    <w:next w:val="8"/>
    <w:qFormat/>
    <w:uiPriority w:val="0"/>
    <w:rPr>
      <w:sz w:val="21"/>
      <w:szCs w:val="21"/>
    </w:rPr>
  </w:style>
  <w:style w:type="paragraph" w:styleId="8">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9">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10">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3500</Words>
  <Characters>4043</Characters>
  <Lines>0</Lines>
  <Paragraphs>0</Paragraphs>
  <TotalTime>4</TotalTime>
  <ScaleCrop>false</ScaleCrop>
  <LinksUpToDate>false</LinksUpToDate>
  <CharactersWithSpaces>4132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2023-04-11T07:20:00Z</dcterms:created>
  <dc:creator>86151</dc:creator>
  <cp:lastModifiedBy>86151</cp:lastModifiedBy>
  <dcterms:modified xsi:type="dcterms:W3CDTF">2023-04-11T08:20:42Z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611F082758A743ACA28015821E387F15_11</vt:lpwstr>
  </property>
</Properties>
</file>