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spacing w:line="440" w:lineRule="exac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附件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 xml:space="preserve">: 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需求明细表</w:t>
      </w:r>
    </w:p>
    <w:tbl>
      <w:tblPr>
        <w:tblStyle w:val="12"/>
        <w:tblW w:w="9518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57"/>
        <w:gridCol w:w="1355"/>
        <w:gridCol w:w="1218"/>
        <w:gridCol w:w="896"/>
        <w:gridCol w:w="1637"/>
        <w:gridCol w:w="1598"/>
        <w:gridCol w:w="145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2" w:hRule="atLeast"/>
        </w:trPr>
        <w:tc>
          <w:tcPr>
            <w:tcW w:w="1357" w:type="dxa"/>
            <w:tcBorders>
              <w:top w:val="single" w:color="000000" w:sz="8" w:space="0"/>
              <w:left w:val="single" w:color="000000" w:sz="8" w:space="0"/>
              <w:bottom w:val="single" w:color="auto" w:sz="4" w:space="0"/>
              <w:right w:val="single" w:color="000000" w:sz="8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1355" w:type="dxa"/>
            <w:tcBorders>
              <w:top w:val="single" w:color="000000" w:sz="8" w:space="0"/>
              <w:left w:val="single" w:color="000000" w:sz="8" w:space="0"/>
              <w:bottom w:val="single" w:color="auto" w:sz="4" w:space="0"/>
              <w:right w:val="single" w:color="000000" w:sz="8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服务类型</w:t>
            </w:r>
          </w:p>
        </w:tc>
        <w:tc>
          <w:tcPr>
            <w:tcW w:w="1218" w:type="dxa"/>
            <w:tcBorders>
              <w:top w:val="single" w:color="000000" w:sz="8" w:space="0"/>
              <w:left w:val="single" w:color="000000" w:sz="8" w:space="0"/>
              <w:bottom w:val="single" w:color="auto" w:sz="4" w:space="0"/>
              <w:right w:val="single" w:color="000000" w:sz="8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单位</w:t>
            </w:r>
          </w:p>
        </w:tc>
        <w:tc>
          <w:tcPr>
            <w:tcW w:w="896" w:type="dxa"/>
            <w:tcBorders>
              <w:top w:val="single" w:color="000000" w:sz="8" w:space="0"/>
              <w:left w:val="single" w:color="000000" w:sz="8" w:space="0"/>
              <w:bottom w:val="single" w:color="auto" w:sz="4" w:space="0"/>
              <w:right w:val="single" w:color="000000" w:sz="8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数量</w:t>
            </w:r>
          </w:p>
        </w:tc>
        <w:tc>
          <w:tcPr>
            <w:tcW w:w="1637" w:type="dxa"/>
            <w:tcBorders>
              <w:top w:val="single" w:color="000000" w:sz="8" w:space="0"/>
              <w:left w:val="single" w:color="000000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8"/>
                <w:szCs w:val="28"/>
                <w:u w:val="none"/>
                <w:lang w:val="en-US" w:eastAsia="zh-CN"/>
              </w:rPr>
              <w:t>招标底价(元/吨）</w:t>
            </w:r>
          </w:p>
        </w:tc>
        <w:tc>
          <w:tcPr>
            <w:tcW w:w="1598" w:type="dxa"/>
            <w:tcBorders>
              <w:top w:val="single" w:color="000000" w:sz="8" w:space="0"/>
              <w:left w:val="single" w:color="000000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框架服务时间</w:t>
            </w:r>
          </w:p>
        </w:tc>
        <w:tc>
          <w:tcPr>
            <w:tcW w:w="1457" w:type="dxa"/>
            <w:tcBorders>
              <w:top w:val="single" w:color="000000" w:sz="8" w:space="0"/>
              <w:left w:val="single" w:color="000000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备注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2" w:hRule="atLeast"/>
        </w:trPr>
        <w:tc>
          <w:tcPr>
            <w:tcW w:w="13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薛家湾供电公司2023-2025年报废蓄电池回收商招选框架入围竞价采购</w:t>
            </w:r>
          </w:p>
        </w:tc>
        <w:tc>
          <w:tcPr>
            <w:tcW w:w="1355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框架入围</w:t>
            </w:r>
          </w:p>
        </w:tc>
        <w:tc>
          <w:tcPr>
            <w:tcW w:w="1218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项</w:t>
            </w:r>
          </w:p>
        </w:tc>
        <w:tc>
          <w:tcPr>
            <w:tcW w:w="896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1</w:t>
            </w:r>
          </w:p>
        </w:tc>
        <w:tc>
          <w:tcPr>
            <w:tcW w:w="1637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  <w:lang w:val="en-US"/>
              </w:rPr>
            </w:pPr>
            <w:bookmarkStart w:id="2" w:name="_GoBack"/>
            <w:bookmarkEnd w:id="2"/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5200</w:t>
            </w:r>
          </w:p>
        </w:tc>
        <w:tc>
          <w:tcPr>
            <w:tcW w:w="1598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自合同签订起2年</w:t>
            </w:r>
          </w:p>
        </w:tc>
        <w:tc>
          <w:tcPr>
            <w:tcW w:w="1457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  <w:lang w:val="en-US" w:eastAsia="zh-CN"/>
              </w:rPr>
              <w:t>框架入围2家</w:t>
            </w:r>
          </w:p>
        </w:tc>
      </w:tr>
    </w:tbl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/>
        <w:ind w:left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1.本次预算底价为含税价，各回收商在底价的基础上进行报价，报价不得低于底价。</w:t>
      </w:r>
    </w:p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/>
        <w:ind w:leftChars="0"/>
        <w:jc w:val="both"/>
        <w:textAlignment w:val="auto"/>
        <w:rPr>
          <w:rFonts w:hint="eastAsia" w:ascii="宋体" w:hAnsi="宋体" w:eastAsia="宋体" w:cs="宋体"/>
          <w:b/>
          <w:kern w:val="2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  <w:t>2.</w:t>
      </w:r>
      <w:r>
        <w:rPr>
          <w:rFonts w:hint="eastAsia" w:ascii="宋体" w:hAnsi="宋体" w:eastAsia="宋体" w:cs="宋体"/>
          <w:kern w:val="2"/>
          <w:sz w:val="24"/>
          <w:szCs w:val="24"/>
          <w:highlight w:val="none"/>
        </w:rPr>
        <w:t>本项目多轮报价采用</w:t>
      </w: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highlight w:val="none"/>
        </w:rPr>
        <w:t>轮报价，即响应文件中的报价为一次报价。通过初步评审的回收商均可以参与之后的多轮报价，每轮报价不得低于上一次的报价。如需要加价，每次加价不得低于200元。每轮报价时长不得超过30分钟，若本轮未提交报价，以该回收商的上一次报价为准。未按要求加价的或低于上一次报价的，本轮次报价视为无效报价，以该回收商的上一次报价为准。当</w:t>
      </w: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highlight w:val="none"/>
        </w:rPr>
        <w:t>轮报价完成后，同一标段出现两个及以上报价最高且报价相同的回收商，将针对以</w:t>
      </w:r>
      <w:r>
        <w:rPr>
          <w:rFonts w:hint="eastAsia" w:ascii="宋体" w:hAnsi="宋体" w:eastAsia="宋体" w:cs="宋体"/>
          <w:b/>
          <w:kern w:val="2"/>
          <w:sz w:val="24"/>
          <w:szCs w:val="24"/>
          <w:highlight w:val="none"/>
        </w:rPr>
        <w:t>上回收商开启多轮报价，直至同一标段产生报价最高的回收商，否则不予开启。</w:t>
      </w:r>
    </w:p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/>
        <w:ind w:leftChars="0"/>
        <w:jc w:val="both"/>
        <w:textAlignment w:val="auto"/>
        <w:rPr>
          <w:rFonts w:hint="eastAsia" w:ascii="宋体" w:hAnsi="宋体" w:eastAsia="宋体" w:cs="宋体"/>
          <w:b/>
          <w:kern w:val="2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kern w:val="2"/>
          <w:sz w:val="24"/>
          <w:szCs w:val="24"/>
          <w:highlight w:val="none"/>
          <w:lang w:val="en-US" w:eastAsia="zh-CN"/>
        </w:rPr>
        <w:t>3.回收商报价时需综合考虑协议有效期内货物装卸、道路运输成本及相关物资市场价格波动的影响，合理报价。</w:t>
      </w:r>
    </w:p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/>
        <w:ind w:leftChars="0"/>
        <w:jc w:val="both"/>
        <w:textAlignment w:val="auto"/>
        <w:rPr>
          <w:rFonts w:hint="eastAsia" w:ascii="宋体" w:hAnsi="宋体" w:eastAsia="宋体" w:cs="宋体"/>
          <w:b/>
          <w:kern w:val="2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kern w:val="2"/>
          <w:sz w:val="24"/>
          <w:szCs w:val="24"/>
          <w:highlight w:val="none"/>
          <w:lang w:val="en-US" w:eastAsia="zh-CN"/>
        </w:rPr>
        <w:t>4.回收商负责按照甲方要求免费办理铅酸蓄电池的回收及拉运，不得向甲方另行收费。</w:t>
      </w:r>
    </w:p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/>
        <w:ind w:leftChars="0"/>
        <w:jc w:val="both"/>
        <w:textAlignment w:val="auto"/>
        <w:rPr>
          <w:rFonts w:hint="default" w:ascii="宋体" w:hAnsi="宋体" w:eastAsia="宋体" w:cs="宋体"/>
          <w:b/>
          <w:kern w:val="2"/>
          <w:sz w:val="24"/>
          <w:szCs w:val="24"/>
          <w:highlight w:val="none"/>
          <w:lang w:val="en-US" w:eastAsia="zh-CN"/>
        </w:rPr>
        <w:sectPr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72" w:charSpace="0"/>
        </w:sectPr>
      </w:pPr>
      <w:r>
        <w:rPr>
          <w:rFonts w:hint="eastAsia" w:ascii="宋体" w:hAnsi="宋体" w:eastAsia="宋体" w:cs="宋体"/>
          <w:b/>
          <w:kern w:val="2"/>
          <w:sz w:val="24"/>
          <w:szCs w:val="24"/>
          <w:highlight w:val="none"/>
          <w:lang w:val="en-US" w:eastAsia="zh-CN"/>
        </w:rPr>
        <w:t>5.框架入围后，回收商的具体分配方式合同中约定。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bookmarkStart w:id="0" w:name="_Toc28764"/>
      <w:r>
        <w:rPr>
          <w:rFonts w:hint="eastAsia" w:ascii="宋体" w:hAnsi="宋体" w:eastAsia="宋体" w:cs="宋体"/>
          <w:kern w:val="2"/>
          <w:sz w:val="24"/>
          <w:szCs w:val="24"/>
        </w:rPr>
        <w:t>附件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2：</w:t>
      </w:r>
      <w:bookmarkEnd w:id="0"/>
    </w:p>
    <w:p>
      <w:pPr>
        <w:pStyle w:val="14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4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（适用于无代理人的情况）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 xml:space="preserve">名称：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单位性质： 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地址：    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（投标人名称）的法定代表人。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14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附：法定代表人身份证正反面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</w:t>
      </w:r>
    </w:p>
    <w:p>
      <w:pPr>
        <w:spacing w:line="440" w:lineRule="exact"/>
        <w:ind w:firstLine="3960" w:firstLineChars="1650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日          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  <w:sectPr>
          <w:footerReference r:id="rId3" w:type="default"/>
          <w:pgSz w:w="11906" w:h="16838"/>
          <w:pgMar w:top="1701" w:right="1701" w:bottom="1417" w:left="1701" w:header="1077" w:footer="992" w:gutter="0"/>
          <w:cols w:space="720" w:num="1"/>
          <w:docGrid w:type="lines" w:linePitch="312" w:charSpace="0"/>
        </w:sect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法定代表人授权委托书</w:t>
      </w:r>
    </w:p>
    <w:p>
      <w:pPr>
        <w:pStyle w:val="14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（适用于有委托代理人的情况）</w:t>
      </w:r>
    </w:p>
    <w:p>
      <w:pPr>
        <w:pStyle w:val="14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（项目名称）的投标文件、签订合同和处理有关事宜，其法律后果由我方承担。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4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4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（签字）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</w:t>
      </w:r>
    </w:p>
    <w:p>
      <w:pPr>
        <w:pStyle w:val="14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4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p>
      <w:pPr>
        <w:pStyle w:val="14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4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4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4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4"/>
        <w:ind w:firstLine="482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注：如投标人是由法定代表人参加投标，则不需提供授权委托书。</w:t>
      </w:r>
    </w:p>
    <w:p>
      <w:pPr>
        <w:pStyle w:val="9"/>
        <w:rPr>
          <w:rFonts w:hint="eastAsia" w:ascii="宋体" w:hAnsi="宋体" w:eastAsia="宋体" w:cs="宋体"/>
          <w:sz w:val="24"/>
          <w:szCs w:val="24"/>
        </w:rPr>
      </w:pPr>
    </w:p>
    <w:p>
      <w:pPr>
        <w:widowControl/>
        <w:shd w:val="clear" w:color="auto" w:fill="FFFFFF"/>
        <w:spacing w:line="360" w:lineRule="auto"/>
        <w:ind w:firstLine="1560" w:firstLineChars="650"/>
        <w:jc w:val="left"/>
        <w:rPr>
          <w:rFonts w:hint="eastAsia" w:ascii="仿宋" w:hAnsi="仿宋" w:eastAsia="仿宋" w:cs="仿宋_GB2312"/>
          <w:kern w:val="2"/>
          <w:sz w:val="24"/>
          <w:szCs w:val="24"/>
          <w:lang w:val="en-US" w:eastAsia="zh-CN"/>
        </w:rPr>
      </w:pPr>
    </w:p>
    <w:p>
      <w:pPr>
        <w:pStyle w:val="10"/>
        <w:jc w:val="left"/>
        <w:rPr>
          <w:rFonts w:hint="eastAsia" w:ascii="仿宋" w:hAnsi="仿宋" w:eastAsia="仿宋" w:cs="仿宋"/>
          <w:kern w:val="2"/>
          <w:sz w:val="24"/>
          <w:szCs w:val="24"/>
          <w:lang w:val="en-US" w:eastAsia="zh-CN"/>
        </w:rPr>
        <w:sectPr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72" w:charSpace="0"/>
        </w:sectPr>
      </w:pPr>
    </w:p>
    <w:p>
      <w:pPr>
        <w:pStyle w:val="1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附件3：</w:t>
      </w:r>
    </w:p>
    <w:p>
      <w:pPr>
        <w:spacing w:line="360" w:lineRule="auto"/>
        <w:jc w:val="center"/>
        <w:rPr>
          <w:rFonts w:ascii="宋体" w:hAnsi="宋体" w:eastAsia="宋体" w:cs="宋体"/>
          <w:b/>
          <w:sz w:val="28"/>
        </w:rPr>
      </w:pPr>
      <w:r>
        <w:rPr>
          <w:rFonts w:hint="eastAsia" w:ascii="宋体" w:hAnsi="宋体" w:eastAsia="宋体" w:cs="宋体"/>
          <w:b/>
          <w:sz w:val="28"/>
        </w:rPr>
        <w:t>《</w:t>
      </w:r>
      <w:r>
        <w:rPr>
          <w:rFonts w:hint="eastAsia" w:ascii="宋体" w:hAnsi="宋体" w:eastAsia="宋体" w:cs="宋体"/>
          <w:b/>
          <w:sz w:val="28"/>
          <w:lang w:val="en-US" w:eastAsia="zh-CN"/>
        </w:rPr>
        <w:t>响应</w:t>
      </w:r>
      <w:r>
        <w:rPr>
          <w:rFonts w:hint="eastAsia" w:ascii="宋体" w:hAnsi="宋体" w:eastAsia="宋体" w:cs="宋体"/>
          <w:b/>
          <w:sz w:val="28"/>
        </w:rPr>
        <w:t>真实性承诺书》</w:t>
      </w:r>
    </w:p>
    <w:p>
      <w:pPr>
        <w:spacing w:line="360" w:lineRule="auto"/>
        <w:rPr>
          <w:rFonts w:ascii="宋体" w:hAnsi="宋体" w:eastAsia="宋体" w:cs="宋体"/>
          <w:u w:val="single"/>
        </w:rPr>
      </w:pPr>
    </w:p>
    <w:p>
      <w:pPr>
        <w:spacing w:line="360" w:lineRule="auto"/>
        <w:rPr>
          <w:rFonts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  <w:u w:val="single"/>
        </w:rPr>
        <w:t>（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u w:val="single"/>
        </w:rPr>
        <w:t>人）</w:t>
      </w:r>
      <w:r>
        <w:rPr>
          <w:rFonts w:hint="eastAsia" w:ascii="宋体" w:hAnsi="宋体" w:eastAsia="宋体" w:cs="宋体"/>
          <w:sz w:val="28"/>
        </w:rPr>
        <w:t>：</w:t>
      </w:r>
    </w:p>
    <w:p>
      <w:pPr>
        <w:spacing w:line="360" w:lineRule="auto"/>
        <w:ind w:firstLine="560" w:firstLineChars="200"/>
        <w:rPr>
          <w:rFonts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我公司参与贵公司组织</w:t>
      </w:r>
      <w:r>
        <w:rPr>
          <w:rFonts w:hint="eastAsia" w:ascii="宋体" w:hAnsi="宋体" w:eastAsia="宋体" w:cs="宋体"/>
          <w:sz w:val="28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</w:rPr>
        <w:t>的</w:t>
      </w:r>
      <w:r>
        <w:rPr>
          <w:rFonts w:hint="eastAsia" w:ascii="宋体" w:hAnsi="宋体" w:eastAsia="宋体" w:cs="宋体"/>
          <w:sz w:val="28"/>
          <w:u w:val="single"/>
        </w:rPr>
        <w:t xml:space="preserve">                   （项目名称/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u w:val="single"/>
        </w:rPr>
        <w:t>编号、标段名称/标段编号）</w:t>
      </w:r>
      <w:r>
        <w:rPr>
          <w:rFonts w:hint="eastAsia" w:ascii="宋体" w:hAnsi="宋体" w:eastAsia="宋体" w:cs="宋体"/>
          <w:sz w:val="28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8"/>
          <w:lang w:val="en-US" w:eastAsia="zh-CN"/>
        </w:rPr>
        <w:t>响应</w:t>
      </w:r>
      <w:r>
        <w:rPr>
          <w:rFonts w:hint="eastAsia" w:ascii="宋体" w:hAnsi="宋体" w:eastAsia="宋体" w:cs="宋体"/>
          <w:sz w:val="28"/>
        </w:rPr>
        <w:t>文件内容是真实有效的。如有不实，则违反招标投标法“诚实信用”原则，我公司承担由此引发的所有责任。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tbl>
      <w:tblPr>
        <w:tblStyle w:val="12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0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jc w:val="right"/>
              <w:rPr>
                <w:rFonts w:ascii="宋体" w:hAnsi="宋体" w:eastAsia="宋体" w:cs="宋体"/>
                <w:color w:val="000000"/>
                <w:kern w:val="0"/>
                <w:sz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</w:rPr>
              <w:t>供 应 商：                      （盖单位章）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jc w:val="right"/>
              <w:rPr>
                <w:rFonts w:ascii="宋体" w:hAnsi="宋体" w:eastAsia="宋体" w:cs="宋体"/>
                <w:color w:val="000000"/>
                <w:kern w:val="0"/>
                <w:sz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</w:rPr>
              <w:t>法定代表人或其委托代理人：          （签字）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wordWrap w:val="0"/>
              <w:jc w:val="right"/>
              <w:rPr>
                <w:rFonts w:ascii="宋体" w:hAnsi="宋体" w:eastAsia="宋体" w:cs="宋体"/>
                <w:color w:val="000000"/>
                <w:kern w:val="0"/>
                <w:sz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</w:rPr>
              <w:t xml:space="preserve">地址：                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ind w:firstLine="3640" w:firstLineChars="1300"/>
              <w:rPr>
                <w:rFonts w:ascii="宋体" w:hAnsi="宋体" w:eastAsia="宋体" w:cs="宋体"/>
                <w:color w:val="000000"/>
                <w:kern w:val="0"/>
                <w:sz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</w:rPr>
              <w:t xml:space="preserve">电话：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jc w:val="right"/>
              <w:rPr>
                <w:rFonts w:ascii="宋体" w:hAnsi="宋体" w:eastAsia="宋体" w:cs="宋体"/>
                <w:color w:val="000000"/>
                <w:kern w:val="0"/>
                <w:sz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</w:rPr>
              <w:t xml:space="preserve">        年        月        日</w:t>
            </w:r>
          </w:p>
        </w:tc>
      </w:tr>
    </w:tbl>
    <w:p>
      <w:pPr>
        <w:pStyle w:val="9"/>
        <w:ind w:firstLine="48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11"/>
        <w:rPr>
          <w:rFonts w:ascii="宋体" w:hAnsi="宋体"/>
        </w:rPr>
      </w:pPr>
    </w:p>
    <w:p>
      <w:pPr>
        <w:pStyle w:val="11"/>
        <w:rPr>
          <w:rFonts w:ascii="宋体" w:hAnsi="宋体"/>
        </w:rPr>
      </w:pPr>
    </w:p>
    <w:p>
      <w:pPr>
        <w:pStyle w:val="11"/>
        <w:rPr>
          <w:rFonts w:ascii="宋体" w:hAnsi="宋体"/>
        </w:rPr>
      </w:pPr>
    </w:p>
    <w:p>
      <w:pPr>
        <w:pStyle w:val="11"/>
        <w:jc w:val="center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default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附件4：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（一）信用中国查询方式或下载信用报告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end"/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3175" b="2540"/>
            <wp:wrapTopAndBottom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在以下页面中点击“失信被执行人”</w:t>
      </w:r>
    </w:p>
    <w:p>
      <w:pPr>
        <w:ind w:firstLine="420"/>
        <w:rPr>
          <w:rFonts w:hint="eastAsia" w:ascii="宋体" w:hAnsi="宋体" w:eastAsia="宋体" w:cs="宋体"/>
          <w:color w:val="auto"/>
          <w:kern w:val="0"/>
          <w:sz w:val="24"/>
          <w:szCs w:val="24"/>
        </w:rPr>
        <w:sectPr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1270"/>
            <wp:wrapTopAndBottom/>
            <wp:docPr id="8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失信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在查询窗口分别输入查询企业名称和组织机构代码、法定代表人和法定代表人身份证号码，将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供应商及其法定代表人的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查询结果截图</w:t>
      </w:r>
    </w:p>
    <w:p>
      <w:pPr>
        <w:ind w:right="-1029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</w:rPr>
      </w:pPr>
      <w:bookmarkStart w:id="1" w:name="_Toc8016"/>
      <w:r>
        <w:rPr>
          <w:rFonts w:hint="eastAsia" w:eastAsia="宋体"/>
          <w:lang w:eastAsia="zh-CN"/>
        </w:rPr>
        <w:drawing>
          <wp:inline distT="0" distB="0" distL="114300" distR="114300">
            <wp:extent cx="5721985" cy="4046220"/>
            <wp:effectExtent l="0" t="0" r="8255" b="7620"/>
            <wp:docPr id="6" name="图片 1" descr="微信截图_2022060715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微信截图_202206071512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（二）国家企业信用信息公示系统查询方式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3018155"/>
            <wp:effectExtent l="0" t="0" r="6985" b="14605"/>
            <wp:wrapTopAndBottom/>
            <wp:docPr id="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10160"/>
            <wp:wrapTopAndBottom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numPr>
          <w:ilvl w:val="0"/>
          <w:numId w:val="1"/>
        </w:numPr>
        <w:ind w:right="-1029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0"/>
        </w:numPr>
        <w:ind w:left="-210" w:leftChars="-100" w:right="-1029" w:rightChars="-49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694680" cy="2967355"/>
            <wp:effectExtent l="0" t="0" r="5080" b="444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rcRect l="107" r="235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（三）中国裁判文书网查询方式</w:t>
      </w:r>
    </w:p>
    <w:p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1、供应商查询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ind w:firstLine="480" w:firstLineChars="200"/>
        <w:textAlignment w:val="auto"/>
        <w:rPr>
          <w:rFonts w:hint="default" w:ascii="宋体" w:hAnsi="宋体" w:eastAsia="宋体" w:cs="宋体"/>
          <w:color w:val="auto"/>
          <w:sz w:val="24"/>
          <w:szCs w:val="24"/>
          <w:lang w:val="en-US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821940"/>
            <wp:effectExtent l="0" t="0" r="10160" b="12700"/>
            <wp:wrapTopAndBottom/>
            <wp:docPr id="3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（6）截取成功截图如下（须截取到左上角的时间）：</w:t>
      </w:r>
      <w:r>
        <w:rPr>
          <w:rFonts w:hint="eastAsia" w:ascii="宋体" w:hAnsi="宋体" w:cs="宋体"/>
          <w:bCs/>
          <w:color w:val="auto"/>
          <w:kern w:val="2"/>
          <w:sz w:val="24"/>
          <w:szCs w:val="24"/>
          <w:lang w:val="en-US" w:eastAsia="zh-CN" w:bidi="ar-SA"/>
        </w:rPr>
        <w:t>下图日期仅作为示例参考，具体日期以公告要求为准。</w:t>
      </w:r>
    </w:p>
    <w:p>
      <w:pPr>
        <w:pStyle w:val="11"/>
        <w:ind w:left="-210" w:leftChars="-10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6214110" cy="2684145"/>
            <wp:effectExtent l="0" t="0" r="3810" b="13335"/>
            <wp:docPr id="2" name="图片 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14110" cy="268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（4）截取成功截图如下（须截取到左上角的时间）。下图日期仅作为示例参考，具体日期以公告要求为准。</w:t>
      </w:r>
    </w:p>
    <w:p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after="0" w:line="360" w:lineRule="auto"/>
        <w:jc w:val="center"/>
        <w:textAlignment w:val="auto"/>
        <w:rPr>
          <w:rFonts w:hint="eastAsia" w:ascii="宋体" w:hAnsi="宋体" w:eastAsia="宋体" w:cs="宋体"/>
          <w:sz w:val="32"/>
          <w:szCs w:val="32"/>
        </w:rPr>
      </w:pPr>
      <w:r>
        <w:drawing>
          <wp:inline distT="0" distB="0" distL="114300" distR="114300">
            <wp:extent cx="5573395" cy="2936240"/>
            <wp:effectExtent l="0" t="0" r="4445" b="5080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93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  <w:rPr>
        <w:rFonts w:hint="eastAsia"/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 xml:space="preserve">PAGE   \* MERGEFORMAT</w:instrText>
    </w:r>
    <w:r>
      <w:rPr>
        <w:sz w:val="21"/>
        <w:szCs w:val="21"/>
      </w:rPr>
      <w:fldChar w:fldCharType="separate"/>
    </w:r>
    <w:r>
      <w:rPr>
        <w:sz w:val="21"/>
        <w:szCs w:val="21"/>
        <w:lang w:val="zh-CN"/>
      </w:rPr>
      <w:t>14</w:t>
    </w:r>
    <w:r>
      <w:rPr>
        <w:sz w:val="21"/>
        <w:szCs w:val="21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MwNzVmN2ZjOTlkNGRmYTNhYjc0Njk5YTI4NjdjYzUifQ=="/>
    <w:docVar w:name="KSO_WPS_MARK_KEY" w:val="ff7699b1-75db-42bc-bc83-0f201ed5b135"/>
  </w:docVars>
  <w:rsids>
    <w:rsidRoot w:val="15CD0C23"/>
    <w:rsid w:val="0B0A1494"/>
    <w:rsid w:val="15CD0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tabs>
        <w:tab w:val="left" w:pos="432"/>
        <w:tab w:val="center" w:pos="4156"/>
      </w:tabs>
      <w:spacing w:before="340" w:after="330" w:line="578" w:lineRule="auto"/>
      <w:jc w:val="center"/>
      <w:outlineLvl w:val="0"/>
    </w:pPr>
    <w:rPr>
      <w:rFonts w:ascii="黑体" w:eastAsia="黑体"/>
      <w:b/>
      <w:kern w:val="0"/>
      <w:sz w:val="44"/>
      <w:szCs w:val="44"/>
    </w:rPr>
  </w:style>
  <w:style w:type="character" w:default="1" w:styleId="13">
    <w:name w:val="Default Paragraph Font"/>
    <w:semiHidden/>
    <w:uiPriority w:val="0"/>
  </w:style>
  <w:style w:type="table" w:default="1" w:styleId="1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4">
    <w:name w:val="Body Text"/>
    <w:basedOn w:val="1"/>
    <w:qFormat/>
    <w:uiPriority w:val="0"/>
    <w:rPr>
      <w:rFonts w:ascii="宋体" w:hAnsi="宋体"/>
      <w:kern w:val="0"/>
      <w:sz w:val="28"/>
    </w:rPr>
  </w:style>
  <w:style w:type="paragraph" w:styleId="5">
    <w:name w:val="Body Text Indent"/>
    <w:basedOn w:val="1"/>
    <w:next w:val="6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customStyle="1" w:styleId="6">
    <w:name w:val="p16"/>
    <w:next w:val="7"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7">
    <w:name w:val="toc 2"/>
    <w:basedOn w:val="1"/>
    <w:next w:val="1"/>
    <w:qFormat/>
    <w:uiPriority w:val="39"/>
    <w:pPr>
      <w:ind w:left="210"/>
      <w:jc w:val="left"/>
    </w:pPr>
    <w:rPr>
      <w:smallCaps/>
      <w:sz w:val="20"/>
      <w:szCs w:val="20"/>
    </w:rPr>
  </w:style>
  <w:style w:type="paragraph" w:styleId="8">
    <w:name w:val="footer"/>
    <w:basedOn w:val="1"/>
    <w:next w:val="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9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10">
    <w:name w:val="Title"/>
    <w:basedOn w:val="1"/>
    <w:next w:val="1"/>
    <w:qFormat/>
    <w:uiPriority w:val="0"/>
    <w:pPr>
      <w:spacing w:before="240" w:after="60" w:line="460" w:lineRule="exact"/>
      <w:jc w:val="center"/>
      <w:outlineLvl w:val="0"/>
    </w:pPr>
    <w:rPr>
      <w:rFonts w:ascii="Arial" w:hAnsi="Arial"/>
      <w:b/>
      <w:spacing w:val="14"/>
      <w:kern w:val="24"/>
      <w:sz w:val="32"/>
      <w:szCs w:val="20"/>
    </w:rPr>
  </w:style>
  <w:style w:type="paragraph" w:styleId="11">
    <w:name w:val="Body Text First Indent 2"/>
    <w:basedOn w:val="5"/>
    <w:next w:val="1"/>
    <w:unhideWhenUsed/>
    <w:qFormat/>
    <w:uiPriority w:val="99"/>
    <w:pPr>
      <w:ind w:firstLine="420"/>
    </w:pPr>
  </w:style>
  <w:style w:type="paragraph" w:customStyle="1" w:styleId="14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5">
    <w:name w:val="_Style 6"/>
    <w:basedOn w:val="1"/>
    <w:next w:val="16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6">
    <w:name w:val="List Paragraph"/>
    <w:basedOn w:val="1"/>
    <w:qFormat/>
    <w:uiPriority w:val="0"/>
    <w:pPr>
      <w:ind w:left="720"/>
      <w:contextualSpacing/>
    </w:pPr>
    <w:rPr>
      <w:kern w:val="0"/>
      <w:sz w:val="2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1567</Words>
  <Characters>1702</Characters>
  <Lines>0</Lines>
  <Paragraphs>0</Paragraphs>
  <TotalTime>13</TotalTime>
  <ScaleCrop>false</ScaleCrop>
  <LinksUpToDate>false</LinksUpToDate>
  <CharactersWithSpaces>2332</CharactersWithSpaces>
  <Application>WPS Office_11.1.0.12970_F1E327BC-269C-435d-A152-05C5408002CA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2023-03-23T06:23:00Z</dcterms:created>
  <dc:creator>laystars</dc:creator>
  <cp:lastModifiedBy>laystars</cp:lastModifiedBy>
  <cp:lastPrinted>2023-03-24T02:14:56Z</cp:lastPrinted>
  <dcterms:modified xsi:type="dcterms:W3CDTF">2023-03-24T02:24:48Z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2052-11.1.0.12970</vt:lpwstr>
  </property>
  <property fmtid="{D5CDD505-2E9C-101B-9397-08002B2CF9AE}" pid="3" name="ICV">
    <vt:lpwstr>1ACF4C8154744C458B2AB685BC6997C6</vt:lpwstr>
  </property>
</Properties>
</file>