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内蒙古电力（集团）有限责任公司巴彦淖尔供电分公司2022年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第10次招标采购项目（货物类询比采购预审）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uto"/>
        <w:jc w:val="center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编号：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B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DGZ2022-10（1）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/>
          <w:sz w:val="21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32"/>
        </w:rPr>
        <w:t>变更内容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1、原截标开标地点变更如下：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开标地点：内蒙古电子招标投标交易平台开标室（包头）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地址：包头市稀土高新区软件园D座8楼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2、</w:t>
      </w:r>
      <w:r>
        <w:rPr>
          <w:rFonts w:hint="eastAsia" w:hAnsi="宋体" w:eastAsia="宋体" w:cs="宋体"/>
          <w:b/>
          <w:bCs/>
          <w:kern w:val="0"/>
          <w:sz w:val="24"/>
          <w:szCs w:val="24"/>
          <w:lang w:val="en-US" w:eastAsia="zh-CN"/>
        </w:rPr>
        <w:t>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电子交易场所服务费变更如下：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电子交易场所服务费：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每标段中标单位需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向内蒙古电子招投标交易平台缴纳平台使用服务费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，①场所服务费由中标人缴纳中标金额的千分之一，四舍五入到元，不足500元按照500元计取②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凡是没有实际金额的框架招标和资格入围的中标单位,平台使用服务费为1000元/标段/次。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电子交易服务费缴纳方式为现金或公对公转账。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eastAsia="zh-CN"/>
        </w:rPr>
        <w:t>注：内蒙古网佳电子交易平台汇款信息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单位名称：内蒙古网佳招标公共服务平台运营有限公司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账    号：0602004109200022157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开 户 行：中国工商银行股份有限公司呼和浩特市军区支行（汇款时请务必公对公转账并备注：代理机构名称及开标日期）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开票联系电话：0471-3261228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 xml:space="preserve">邮箱地址：wjzbcw@126.com </w:t>
      </w:r>
    </w:p>
    <w:p>
      <w:pPr>
        <w:keepNext w:val="0"/>
        <w:keepLines w:val="0"/>
        <w:pageBreakBefore w:val="0"/>
        <w:widowControl/>
        <w:tabs>
          <w:tab w:val="left" w:pos="2625"/>
        </w:tabs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3、原</w:t>
      </w:r>
      <w:r>
        <w:rPr>
          <w:rFonts w:hint="eastAsia" w:ascii="宋体" w:hAnsi="宋体" w:eastAsia="宋体" w:cs="宋体"/>
          <w:b/>
          <w:color w:val="000000"/>
          <w:highlight w:val="none"/>
          <w:lang w:val="en-US" w:eastAsia="zh-CN"/>
        </w:rPr>
        <w:t>截标及开标时间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变更为：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响应性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文件上传时间：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投标截止时间：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开标时间：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解密时间：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二、联系方式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采购人：内蒙古电力（集团）有限责任公司巴彦淖尔供电分公司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联系人：贾工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采购代理机构：永泽建设工程咨询有限公司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地    址：包头市青山区金融广场B座1201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联 系 人：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张佳宇、王玮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18648474544、18147286664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固定电话：0472-5889516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电子邮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箱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instrText xml:space="preserve"> HYPERLINK "mailto:117965270@qq.com" </w:instrTex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2219296681@qq.com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right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+DGaKd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486E6"/>
    <w:multiLevelType w:val="singleLevel"/>
    <w:tmpl w:val="027486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DhiYTRhYTdlN2VlYzI3MjdiNjk3Y2U1MjY4ODUifQ=="/>
  </w:docVars>
  <w:rsids>
    <w:rsidRoot w:val="05580D29"/>
    <w:rsid w:val="04BB336E"/>
    <w:rsid w:val="05580D29"/>
    <w:rsid w:val="0887776E"/>
    <w:rsid w:val="13225867"/>
    <w:rsid w:val="308E62A9"/>
    <w:rsid w:val="338359D6"/>
    <w:rsid w:val="3B831E7F"/>
    <w:rsid w:val="4C651E86"/>
    <w:rsid w:val="582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Body Text Indent"/>
    <w:basedOn w:val="1"/>
    <w:next w:val="5"/>
    <w:unhideWhenUsed/>
    <w:qFormat/>
    <w:uiPriority w:val="99"/>
    <w:pPr>
      <w:autoSpaceDE w:val="0"/>
      <w:autoSpaceDN w:val="0"/>
      <w:adjustRightInd w:val="0"/>
      <w:snapToGrid w:val="0"/>
      <w:spacing w:line="500" w:lineRule="atLeast"/>
      <w:ind w:firstLine="480"/>
    </w:pPr>
    <w:rPr>
      <w:rFonts w:ascii="宋体" w:hAnsi="CG Times"/>
      <w:kern w:val="0"/>
      <w:sz w:val="24"/>
      <w:lang w:val="zh-CN"/>
    </w:rPr>
  </w:style>
  <w:style w:type="paragraph" w:customStyle="1" w:styleId="5">
    <w:name w:val="p16"/>
    <w:basedOn w:val="1"/>
    <w:next w:val="6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6">
    <w:name w:val="toc 2"/>
    <w:basedOn w:val="1"/>
    <w:next w:val="1"/>
    <w:qFormat/>
    <w:uiPriority w:val="39"/>
    <w:pPr>
      <w:spacing w:line="272" w:lineRule="exact"/>
      <w:ind w:left="520"/>
    </w:pPr>
    <w:rPr>
      <w:sz w:val="21"/>
      <w:szCs w:val="21"/>
    </w:rPr>
  </w:style>
  <w:style w:type="paragraph" w:styleId="7">
    <w:name w:val="Body Text Indent 2"/>
    <w:basedOn w:val="1"/>
    <w:qFormat/>
    <w:uiPriority w:val="0"/>
    <w:pPr>
      <w:autoSpaceDE w:val="0"/>
      <w:autoSpaceDN w:val="0"/>
      <w:adjustRightInd w:val="0"/>
      <w:spacing w:line="360" w:lineRule="auto"/>
      <w:ind w:firstLine="560"/>
    </w:pPr>
    <w:rPr>
      <w:rFonts w:ascii="宋体" w:hAnsi="宋体"/>
      <w:kern w:val="0"/>
      <w:sz w:val="24"/>
      <w:szCs w:val="28"/>
      <w:lang w:val="zh-CN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ind w:firstLine="200" w:firstLineChars="200"/>
      <w:jc w:val="left"/>
    </w:pPr>
    <w:rPr>
      <w:rFonts w:eastAsia="华文仿宋"/>
      <w:sz w:val="18"/>
      <w:szCs w:val="20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Calibri" w:hAnsi="Calibri" w:cs="Times New Roman"/>
    </w:rPr>
  </w:style>
  <w:style w:type="paragraph" w:styleId="13">
    <w:name w:val="Body Text First Indent 2"/>
    <w:basedOn w:val="4"/>
    <w:next w:val="1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890</Characters>
  <Lines>0</Lines>
  <Paragraphs>0</Paragraphs>
  <TotalTime>1</TotalTime>
  <ScaleCrop>false</ScaleCrop>
  <LinksUpToDate>false</LinksUpToDate>
  <CharactersWithSpaces>914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2022-04-13T03:08:00Z</dcterms:created>
  <dc:creator>奔跑的月亮</dc:creator>
  <cp:lastModifiedBy>奔跑的月亮</cp:lastModifiedBy>
  <dcterms:modified xsi:type="dcterms:W3CDTF">2022-11-02T09:15:25Z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2838C1015EE8463D8D4AFD01C6207F2B</vt:lpwstr>
  </property>
</Properties>
</file>