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Times New Roman" w:hAnsi="Times New Roman" w:eastAsia="宋体" w:cs="Times New Roman"/>
          <w:b/>
          <w:spacing w:val="8"/>
          <w:kern w:val="0"/>
          <w:sz w:val="30"/>
          <w:szCs w:val="20"/>
          <w:lang w:val="en-US" w:eastAsia="zh-CN" w:bidi="ar-SA"/>
        </w:rPr>
      </w:pPr>
      <w:bookmarkStart w:id="0" w:name="_GoBack"/>
      <w:bookmarkEnd w:id="0"/>
      <w:r>
        <w:rPr>
          <w:rFonts w:hint="eastAsia" w:ascii="Times New Roman" w:hAnsi="Times New Roman" w:eastAsia="宋体" w:cs="Times New Roman"/>
          <w:b/>
          <w:spacing w:val="8"/>
          <w:kern w:val="0"/>
          <w:sz w:val="30"/>
          <w:szCs w:val="20"/>
          <w:lang w:val="en-US" w:eastAsia="zh-CN" w:bidi="ar-SA"/>
        </w:rPr>
        <w:t>标段划分表</w:t>
      </w:r>
    </w:p>
    <w:tbl>
      <w:tblPr>
        <w:tblStyle w:val="3"/>
        <w:tblpPr w:leftFromText="180" w:rightFromText="180" w:vertAnchor="text" w:horzAnchor="page" w:tblpXSpec="center" w:tblpY="303"/>
        <w:tblOverlap w:val="never"/>
        <w:tblW w:w="110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70"/>
        <w:gridCol w:w="1693"/>
        <w:gridCol w:w="1632"/>
        <w:gridCol w:w="65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1" w:hRule="atLeast"/>
          <w:jc w:val="center"/>
        </w:trPr>
        <w:tc>
          <w:tcPr>
            <w:tcW w:w="117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标段号</w:t>
            </w:r>
          </w:p>
        </w:tc>
        <w:tc>
          <w:tcPr>
            <w:tcW w:w="1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标段名称</w:t>
            </w:r>
          </w:p>
        </w:tc>
        <w:tc>
          <w:tcPr>
            <w:tcW w:w="16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主要内容</w:t>
            </w:r>
          </w:p>
        </w:tc>
        <w:tc>
          <w:tcPr>
            <w:tcW w:w="65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kern w:val="0"/>
                <w:sz w:val="20"/>
                <w:szCs w:val="20"/>
                <w:lang w:val="en-US" w:eastAsia="zh-CN" w:bidi="ar-SA"/>
              </w:rPr>
            </w:pPr>
            <w:r>
              <w:rPr>
                <w:rFonts w:hint="eastAsia" w:ascii="宋体" w:hAnsi="宋体" w:eastAsia="宋体" w:cs="宋体"/>
                <w:b/>
                <w:bCs/>
                <w:kern w:val="0"/>
                <w:sz w:val="20"/>
                <w:szCs w:val="20"/>
                <w:lang w:val="en-US" w:eastAsia="zh-CN" w:bidi="ar-SA"/>
              </w:rPr>
              <w:t>专用资格要求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90" w:hRule="atLeast"/>
          <w:jc w:val="center"/>
        </w:trPr>
        <w:tc>
          <w:tcPr>
            <w:tcW w:w="117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HG20220301-971</w:t>
            </w:r>
            <w:r>
              <w:rPr>
                <w:rFonts w:hint="eastAsia" w:ascii="宋体" w:hAnsi="宋体" w:cs="宋体"/>
                <w:i w:val="0"/>
                <w:color w:val="000000"/>
                <w:kern w:val="0"/>
                <w:sz w:val="21"/>
                <w:szCs w:val="21"/>
                <w:u w:val="none"/>
                <w:lang w:val="en-US" w:eastAsia="zh-CN" w:bidi="ar"/>
              </w:rPr>
              <w:t>-1</w:t>
            </w:r>
          </w:p>
        </w:tc>
        <w:tc>
          <w:tcPr>
            <w:tcW w:w="1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呼和浩特供电公司2023年配电网急修、抢修及大型集中检修业务外包框架招标</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新城供电分公司、回民供电分公司、玉泉供电分公司、赛罕供电分公司</w:t>
            </w:r>
            <w:r>
              <w:rPr>
                <w:rFonts w:hint="eastAsia" w:ascii="宋体" w:hAnsi="宋体" w:cs="宋体"/>
                <w:i w:val="0"/>
                <w:color w:val="000000"/>
                <w:kern w:val="0"/>
                <w:sz w:val="21"/>
                <w:szCs w:val="21"/>
                <w:u w:val="none"/>
                <w:lang w:val="en-US" w:eastAsia="zh-CN" w:bidi="ar"/>
              </w:rPr>
              <w:t>）</w:t>
            </w:r>
          </w:p>
        </w:tc>
        <w:tc>
          <w:tcPr>
            <w:tcW w:w="16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新城供电分公司、回民供电分公司、玉泉供电分公司、赛罕供电分公司配电线路的日常急修、抢修及大型集中检修业务</w:t>
            </w:r>
          </w:p>
        </w:tc>
        <w:tc>
          <w:tcPr>
            <w:tcW w:w="6509" w:type="dxa"/>
            <w:vMerge w:val="restart"/>
            <w:tcBorders>
              <w:top w:val="single" w:color="auto" w:sz="4" w:space="0"/>
              <w:left w:val="single" w:color="auto" w:sz="4" w:space="0"/>
              <w:right w:val="single" w:color="auto" w:sz="4" w:space="0"/>
            </w:tcBorders>
            <w:noWrap w:val="0"/>
            <w:vAlign w:val="top"/>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投标人具有建设主管部门颁发的施工综合资质或电力工程施工总承包乙级及以上或输变电工程专业承包乙级及以上资质,证书在有效期内；（以上资质为住建部最新资质要求（2020年11月30日建市〔2020〕94号《住房和城乡建设部关于印发建设工程企业资质管理制度改革方案的通知》）。如投标人还未申办以上资质，投标人须具有建设行政主管部门核发的电力施工总承包三级及以上资质或输变电工程专业承包三级及以上资质，且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r>
              <w:rPr>
                <w:rFonts w:hint="eastAsia" w:ascii="宋体" w:hAnsi="宋体" w:eastAsia="宋体" w:cs="宋体"/>
                <w:i w:val="0"/>
                <w:color w:val="000000"/>
                <w:kern w:val="0"/>
                <w:sz w:val="21"/>
                <w:szCs w:val="21"/>
                <w:u w:val="none"/>
                <w:lang w:val="en-US" w:eastAsia="zh-CN" w:bidi="ar"/>
              </w:rPr>
              <w:t>投标人具有有效的质量管理体系认证证书，证书在有效期内。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w:t>
            </w:r>
            <w:r>
              <w:rPr>
                <w:rFonts w:hint="eastAsia" w:ascii="宋体" w:hAnsi="宋体" w:eastAsia="宋体" w:cs="宋体"/>
                <w:i w:val="0"/>
                <w:color w:val="000000"/>
                <w:kern w:val="0"/>
                <w:sz w:val="21"/>
                <w:szCs w:val="21"/>
                <w:u w:val="none"/>
                <w:lang w:val="en-US" w:eastAsia="zh-CN" w:bidi="ar"/>
              </w:rPr>
              <w:t>投标人须具有有效期内的建设行政主管部门核发的安全生产许可证。</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4.</w:t>
            </w:r>
            <w:r>
              <w:rPr>
                <w:rFonts w:hint="eastAsia" w:ascii="宋体" w:hAnsi="宋体" w:eastAsia="宋体" w:cs="宋体"/>
                <w:i w:val="0"/>
                <w:color w:val="000000"/>
                <w:kern w:val="0"/>
                <w:sz w:val="21"/>
                <w:szCs w:val="21"/>
                <w:u w:val="none"/>
                <w:lang w:val="en-US" w:eastAsia="zh-CN" w:bidi="ar"/>
              </w:rPr>
              <w:t>投标人具有国家能源局颁发的承装（修、试）电力设施许可证承装类、承修类、承试类五级及以上资质，证书在有效期内。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w:t>
            </w:r>
            <w:r>
              <w:rPr>
                <w:rFonts w:hint="eastAsia" w:ascii="宋体" w:hAnsi="宋体" w:eastAsia="宋体" w:cs="宋体"/>
                <w:i w:val="0"/>
                <w:color w:val="000000"/>
                <w:kern w:val="0"/>
                <w:sz w:val="21"/>
                <w:szCs w:val="21"/>
                <w:u w:val="none"/>
                <w:lang w:val="en-US" w:eastAsia="zh-CN" w:bidi="ar"/>
              </w:rPr>
              <w:t>投标人拟派项目负责人具有二级及以上注册建造师证书及安全考核合格证书，注册专业为机电工程，证书在有效期内；并提供未担任其它在建工程项目负责人的承诺书</w:t>
            </w:r>
            <w:r>
              <w:rPr>
                <w:rFonts w:hint="eastAsia" w:ascii="宋体" w:hAnsi="宋体" w:eastAsia="宋体" w:cs="宋体"/>
                <w:b/>
                <w:bCs/>
                <w:i w:val="0"/>
                <w:color w:val="000000"/>
                <w:kern w:val="0"/>
                <w:sz w:val="21"/>
                <w:szCs w:val="21"/>
                <w:u w:val="none"/>
                <w:lang w:val="en-US" w:eastAsia="zh-CN" w:bidi="ar"/>
              </w:rPr>
              <w:t>（格式自拟）</w:t>
            </w:r>
            <w:r>
              <w:rPr>
                <w:rFonts w:hint="eastAsia" w:ascii="宋体" w:hAnsi="宋体" w:eastAsia="宋体" w:cs="宋体"/>
                <w:i w:val="0"/>
                <w:color w:val="000000"/>
                <w:kern w:val="0"/>
                <w:sz w:val="21"/>
                <w:szCs w:val="21"/>
                <w:u w:val="none"/>
                <w:lang w:val="en-US" w:eastAsia="zh-CN" w:bidi="ar"/>
              </w:rPr>
              <w:t>。</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w:t>
            </w:r>
            <w:r>
              <w:rPr>
                <w:rFonts w:hint="eastAsia" w:ascii="宋体" w:hAnsi="宋体" w:eastAsia="宋体" w:cs="宋体"/>
                <w:i w:val="0"/>
                <w:color w:val="000000"/>
                <w:kern w:val="0"/>
                <w:sz w:val="21"/>
                <w:szCs w:val="21"/>
                <w:u w:val="none"/>
                <w:lang w:val="en-US" w:eastAsia="zh-CN" w:bidi="ar"/>
              </w:rPr>
              <w:t>鉴于项目具有紧急抢修的特殊性，根据呼和浩特供电公司优化电力营商环境要求，故障发生后城区范围内45分钟内到达抢修现场，城镇范围内2小时内到达抢修现场，投标人针对此要求作出承诺，并提供相应证明材料。</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7.</w:t>
            </w:r>
            <w:r>
              <w:rPr>
                <w:rFonts w:hint="eastAsia" w:ascii="宋体" w:hAnsi="宋体" w:eastAsia="宋体" w:cs="宋体"/>
                <w:i w:val="0"/>
                <w:color w:val="000000"/>
                <w:kern w:val="0"/>
                <w:sz w:val="21"/>
                <w:szCs w:val="21"/>
                <w:u w:val="none"/>
                <w:lang w:val="en-US" w:eastAsia="zh-CN" w:bidi="ar"/>
              </w:rPr>
              <w:t>投标人须具有近三年（2019年11月至今，以签订合同时间为准）已完成的同类业绩（同类业绩是指配电网工程施工的相关业绩）1份（提供合同及配套发票扫描件，合同内容应包括合同首页、合同金额页、合同签订页等主要内容）。发票扫描件后需附国家税务总局发票查询截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17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HG20220301-971-2</w:t>
            </w:r>
          </w:p>
        </w:tc>
        <w:tc>
          <w:tcPr>
            <w:tcW w:w="1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呼和浩特供电公司2023年配电网急修、抢修及大型集中检修业务外包框架招标</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科技城园区供电分公司、金川供电分公司、金桥供电分公司</w:t>
            </w:r>
            <w:r>
              <w:rPr>
                <w:rFonts w:hint="eastAsia" w:ascii="宋体" w:hAnsi="宋体" w:cs="宋体"/>
                <w:i w:val="0"/>
                <w:color w:val="000000"/>
                <w:kern w:val="0"/>
                <w:sz w:val="21"/>
                <w:szCs w:val="21"/>
                <w:u w:val="none"/>
                <w:lang w:val="en-US" w:eastAsia="zh-CN" w:bidi="ar"/>
              </w:rPr>
              <w:t>）</w:t>
            </w:r>
          </w:p>
        </w:tc>
        <w:tc>
          <w:tcPr>
            <w:tcW w:w="16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科技城园区供电分公司、金川供电分公司、金桥供电分公司配电线路的日常急修、抢修及大型集中检修业务</w:t>
            </w:r>
          </w:p>
        </w:tc>
        <w:tc>
          <w:tcPr>
            <w:tcW w:w="6509"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17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HG20220301-97</w:t>
            </w:r>
            <w:r>
              <w:rPr>
                <w:rFonts w:hint="eastAsia" w:ascii="宋体" w:hAnsi="宋体" w:cs="宋体"/>
                <w:i w:val="0"/>
                <w:color w:val="000000"/>
                <w:kern w:val="0"/>
                <w:sz w:val="21"/>
                <w:szCs w:val="21"/>
                <w:u w:val="none"/>
                <w:lang w:val="en-US" w:eastAsia="zh-CN" w:bidi="ar"/>
              </w:rPr>
              <w:t>2</w:t>
            </w:r>
          </w:p>
        </w:tc>
        <w:tc>
          <w:tcPr>
            <w:tcW w:w="16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呼和浩特供电公司2023年生产工程施工框架招标</w:t>
            </w:r>
          </w:p>
        </w:tc>
        <w:tc>
          <w:tcPr>
            <w:tcW w:w="16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2023年呼和浩特供电公司工程施工框架招标，包括生产大修、生产日常检修、生产主配网技改（包括但不限于预计划项目、年度计划项目、应急技改项目）、输变配电设备检修试验、客户工程和市政工程。</w:t>
            </w:r>
          </w:p>
        </w:tc>
        <w:tc>
          <w:tcPr>
            <w:tcW w:w="65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w:t>
            </w:r>
            <w:r>
              <w:rPr>
                <w:rFonts w:hint="eastAsia" w:ascii="宋体" w:hAnsi="宋体" w:eastAsia="宋体" w:cs="宋体"/>
                <w:i w:val="0"/>
                <w:color w:val="000000"/>
                <w:kern w:val="0"/>
                <w:sz w:val="21"/>
                <w:szCs w:val="21"/>
                <w:u w:val="none"/>
                <w:lang w:val="en-US" w:eastAsia="zh-CN" w:bidi="ar"/>
              </w:rPr>
              <w:t>投标人具有建设主管部门颁发的施工综合资质或电力工程施工总承包乙级及以上或输变电工程专业承包乙级及以上资质,证书在有效期内；（以上资质为住建部最新资质要求（2020年11月30日建市〔2020〕94号《住房和城乡建设部关于印发建设工程企业资质管理制度改革方案的通知》）。如投标人还未申办以上资质，投标人须具有建设行政主管部门核发的电力施工总承包二级及以上资质或输变电工程专业承包二级及以上资质，且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2.</w:t>
            </w:r>
            <w:r>
              <w:rPr>
                <w:rFonts w:hint="eastAsia" w:ascii="宋体" w:hAnsi="宋体" w:eastAsia="宋体" w:cs="宋体"/>
                <w:i w:val="0"/>
                <w:color w:val="000000"/>
                <w:kern w:val="0"/>
                <w:sz w:val="21"/>
                <w:szCs w:val="21"/>
                <w:u w:val="none"/>
                <w:lang w:val="en-US" w:eastAsia="zh-CN" w:bidi="ar"/>
              </w:rPr>
              <w:t>投标人具有有效的质量管理体系认证证书，证书在有效期内。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3.</w:t>
            </w:r>
            <w:r>
              <w:rPr>
                <w:rFonts w:hint="eastAsia" w:ascii="宋体" w:hAnsi="宋体" w:eastAsia="宋体" w:cs="宋体"/>
                <w:i w:val="0"/>
                <w:color w:val="000000"/>
                <w:kern w:val="0"/>
                <w:sz w:val="21"/>
                <w:szCs w:val="21"/>
                <w:u w:val="none"/>
                <w:lang w:val="en-US" w:eastAsia="zh-CN" w:bidi="ar"/>
              </w:rPr>
              <w:t>投标人须具有有效期内的建设行政主管部门核发的安全生产许可证。</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4.</w:t>
            </w:r>
            <w:r>
              <w:rPr>
                <w:rFonts w:hint="eastAsia" w:ascii="宋体" w:hAnsi="宋体" w:eastAsia="宋体" w:cs="宋体"/>
                <w:i w:val="0"/>
                <w:color w:val="000000"/>
                <w:kern w:val="0"/>
                <w:sz w:val="21"/>
                <w:szCs w:val="21"/>
                <w:u w:val="none"/>
                <w:lang w:val="en-US" w:eastAsia="zh-CN" w:bidi="ar"/>
              </w:rPr>
              <w:t>投标人具有国家能源局颁发的承装（修、试）电力设施许可证承装类、承修类、承试类二级及以上资质，证书在有效期内。</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5.</w:t>
            </w:r>
            <w:r>
              <w:rPr>
                <w:rFonts w:hint="eastAsia" w:ascii="宋体" w:hAnsi="宋体" w:eastAsia="宋体" w:cs="宋体"/>
                <w:i w:val="0"/>
                <w:color w:val="000000"/>
                <w:kern w:val="0"/>
                <w:sz w:val="21"/>
                <w:szCs w:val="21"/>
                <w:u w:val="none"/>
                <w:lang w:val="en-US" w:eastAsia="zh-CN" w:bidi="ar"/>
              </w:rPr>
              <w:t>投标人拟派项目负责人具有二级及以上注册建造师证书及安全考核合格证书，注册专业为机电工程，证书在有效期内；并提供未担任其它在建工程项目负责人的承诺书</w:t>
            </w:r>
            <w:r>
              <w:rPr>
                <w:rFonts w:hint="eastAsia" w:ascii="宋体" w:hAnsi="宋体" w:eastAsia="宋体" w:cs="宋体"/>
                <w:b/>
                <w:bCs/>
                <w:i w:val="0"/>
                <w:color w:val="000000"/>
                <w:kern w:val="0"/>
                <w:sz w:val="21"/>
                <w:szCs w:val="21"/>
                <w:u w:val="none"/>
                <w:lang w:val="en-US" w:eastAsia="zh-CN" w:bidi="ar"/>
              </w:rPr>
              <w:t>（格式自拟）</w:t>
            </w:r>
            <w:r>
              <w:rPr>
                <w:rFonts w:hint="eastAsia" w:ascii="宋体" w:hAnsi="宋体" w:eastAsia="宋体" w:cs="宋体"/>
                <w:i w:val="0"/>
                <w:color w:val="000000"/>
                <w:kern w:val="0"/>
                <w:sz w:val="21"/>
                <w:szCs w:val="21"/>
                <w:u w:val="none"/>
                <w:lang w:val="en-US" w:eastAsia="zh-CN" w:bidi="ar"/>
              </w:rPr>
              <w:t>。</w:t>
            </w:r>
          </w:p>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6.</w:t>
            </w:r>
            <w:r>
              <w:rPr>
                <w:rFonts w:hint="eastAsia" w:ascii="宋体" w:hAnsi="宋体" w:eastAsia="宋体" w:cs="宋体"/>
                <w:i w:val="0"/>
                <w:color w:val="000000"/>
                <w:kern w:val="0"/>
                <w:sz w:val="21"/>
                <w:szCs w:val="21"/>
                <w:u w:val="none"/>
                <w:lang w:val="en-US" w:eastAsia="zh-CN" w:bidi="ar"/>
              </w:rPr>
              <w:t>投标人须具有近三年（2019年11月至今，以签订合同时间为准）已完成的同类业绩1份（提供合同及配套发票扫描件，合同内容应包括合同首页、合同金额页、合同签订页等主要内容。）发票扫描件后需附国家税务总局发票查询截图。</w:t>
            </w:r>
          </w:p>
        </w:tc>
      </w:tr>
    </w:tbl>
    <w:p/>
    <w:sectPr>
      <w:pgSz w:w="11906" w:h="16838"/>
      <w:pgMar w:top="986" w:right="1800" w:bottom="98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NjUyN2NmNjUwODY1ZGJkYzkzNWI3MjQyNGQyNGYifQ=="/>
  </w:docVars>
  <w:rsids>
    <w:rsidRoot w:val="34CB2EE9"/>
    <w:rsid w:val="34CB2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kern w:val="0"/>
      <w:sz w:val="28"/>
      <w:lang w:val="zh-CN"/>
    </w:rPr>
  </w:style>
  <w:style w:type="paragraph" w:customStyle="1" w:styleId="5">
    <w:name w:val="无间隔1"/>
    <w:qFormat/>
    <w:uiPriority w:val="0"/>
    <w:rPr>
      <w:rFonts w:ascii="Calibri" w:hAnsi="Calibri" w:eastAsia="Times New Roman" w:cs="Times New Roman"/>
      <w:sz w:val="2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2022-11-21T02:19:00Z</dcterms:created>
  <dc:creator>乱了夏天蓝了海</dc:creator>
  <cp:lastModifiedBy>乱了夏天蓝了海</cp:lastModifiedBy>
  <dcterms:modified xsi:type="dcterms:W3CDTF">2022-11-21T02:20:24Z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DF0500899F5646B2AF59CD31BF8E7375</vt:lpwstr>
  </property>
</Properties>
</file>