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cs="Times New Roman"/>
          <w:b/>
          <w:spacing w:val="8"/>
          <w:kern w:val="0"/>
          <w:sz w:val="30"/>
          <w:szCs w:val="20"/>
          <w:lang w:val="en-US" w:eastAsia="zh-CN" w:bidi="ar-SA"/>
        </w:rPr>
      </w:pPr>
      <w:r>
        <w:rPr>
          <w:rFonts w:hint="eastAsia" w:cs="Times New Roman"/>
          <w:b/>
          <w:spacing w:val="8"/>
          <w:kern w:val="0"/>
          <w:sz w:val="30"/>
          <w:szCs w:val="20"/>
          <w:lang w:val="en-US" w:eastAsia="zh-CN" w:bidi="ar-SA"/>
        </w:rPr>
        <w:t>分项明细表</w:t>
      </w:r>
    </w:p>
    <w:p>
      <w:pPr>
        <w:outlineLvl w:val="1"/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标段号：HG20220301-970-1（标段名称：</w:t>
      </w:r>
      <w:r>
        <w:rPr>
          <w:rFonts w:hint="default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输电管理处、新城供电分公司、赛罕供电分公司、鸿盛供电分公司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、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回民供电分公司、金桥供电分公司、玉泉供电分公司、金川供电分公司特种车辆机械台班框架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712"/>
        <w:gridCol w:w="2259"/>
        <w:gridCol w:w="1025"/>
        <w:gridCol w:w="2465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规格型号设备描述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最高投标限价单价（元）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8T-10T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12小时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/台班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自卸吊车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12T-16T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专用吊车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25T以下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装载机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挖掘机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中型货车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3T以上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小型货车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3T以下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叉车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5T、10T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947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最高投标限价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（单价合计）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10900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jc w:val="left"/>
        <w:outlineLvl w:val="9"/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</w:pPr>
    </w:p>
    <w:p>
      <w:pPr>
        <w:jc w:val="left"/>
        <w:outlineLvl w:val="1"/>
        <w:rPr>
          <w:rFonts w:hint="eastAsia" w:ascii="Times New Roman" w:hAnsi="Times New Roman" w:eastAsia="宋体" w:cs="Times New Roman"/>
          <w:b/>
          <w:spacing w:val="8"/>
          <w:kern w:val="0"/>
          <w:sz w:val="30"/>
          <w:szCs w:val="20"/>
          <w:lang w:val="en-US" w:eastAsia="zh-CN" w:bidi="ar-SA"/>
        </w:rPr>
      </w:pP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标段号：HG20220301-970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-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2（标段名称：和林供电分公司、和林新区供电分公司、土左旗供电分公司、托县供电分公司、托县园区供电分公司、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清水河供电分公司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、</w:t>
      </w:r>
      <w:r>
        <w:rPr>
          <w:rFonts w:hint="eastAsia" w:ascii="宋体" w:hAnsi="宋体" w:eastAsia="宋体" w:cs="仿宋"/>
          <w:b/>
          <w:kern w:val="0"/>
          <w:sz w:val="22"/>
          <w:szCs w:val="22"/>
          <w:highlight w:val="none"/>
          <w:lang w:val="en-US" w:eastAsia="zh-CN" w:bidi="ar-SA"/>
        </w:rPr>
        <w:t>武川供电分公司特种车辆机械台班框架</w:t>
      </w:r>
      <w:r>
        <w:rPr>
          <w:rFonts w:hint="eastAsia" w:ascii="宋体" w:hAnsi="宋体" w:cs="仿宋"/>
          <w:b/>
          <w:kern w:val="0"/>
          <w:sz w:val="22"/>
          <w:szCs w:val="22"/>
          <w:highlight w:val="none"/>
          <w:lang w:val="en-US" w:eastAsia="zh-CN" w:bidi="ar-SA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712"/>
        <w:gridCol w:w="2259"/>
        <w:gridCol w:w="1025"/>
        <w:gridCol w:w="2465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规格型号设备描述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最高投标限价单价（元）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自卸吊车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8T-10T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12小时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/台班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自卸吊车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12T-16T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专用吊车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25T以下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装载机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挖掘机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中型货车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3T以上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小型货车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3T以下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22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5T、10T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台班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947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最高投标限价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（单价合计）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2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10900</w:t>
            </w:r>
          </w:p>
        </w:tc>
        <w:tc>
          <w:tcPr>
            <w:tcW w:w="92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61E048AC"/>
    <w:rsid w:val="61E0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utoSpaceDE/>
      <w:autoSpaceDN/>
      <w:snapToGrid/>
      <w:spacing w:after="120" w:line="312" w:lineRule="atLeast"/>
      <w:ind w:left="420" w:firstLine="420"/>
      <w:textAlignment w:val="baseline"/>
    </w:pPr>
    <w:rPr>
      <w:rFonts w:asciiTheme="minorHAnsi" w:hAnsiTheme="minorHAnsi"/>
      <w:sz w:val="21"/>
      <w:szCs w:val="22"/>
      <w:lang w:val="en-US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napToGrid w:val="0"/>
      <w:spacing w:line="500" w:lineRule="atLeast"/>
      <w:ind w:firstLine="480"/>
    </w:pPr>
    <w:rPr>
      <w:rFonts w:ascii="宋体" w:hAnsi="CG Times" w:cstheme="minorBidi"/>
      <w:sz w:val="24"/>
      <w:lang w:val="zh-CN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2022-11-21T01:26:00Z</dcterms:created>
  <dc:creator>乱了夏天蓝了海</dc:creator>
  <cp:lastModifiedBy>乱了夏天蓝了海</cp:lastModifiedBy>
  <dcterms:modified xsi:type="dcterms:W3CDTF">2022-11-21T01:26:15Z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712608FB73F242B597161E0E61BBE154</vt:lpwstr>
  </property>
</Properties>
</file>