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napToGrid/>
        <w:spacing w:after="0" w:line="520" w:lineRule="exact"/>
        <w:ind w:left="-15" w:firstLine="15"/>
        <w:jc w:val="center"/>
        <w:textAlignment w:val="auto"/>
        <w:rPr>
          <w:rFonts w:hint="default" w:ascii="仿宋_GB2312" w:hAnsi="仿宋_GB2312" w:eastAsia="仿宋_GB2312" w:cs="仿宋_GB2312"/>
          <w:b/>
          <w:sz w:val="32"/>
          <w:szCs w:val="32"/>
          <w:highlight w:val="none"/>
          <w:lang w:val="en-US" w:eastAsia="zh-CN"/>
        </w:rPr>
      </w:pPr>
      <w:r>
        <w:rPr>
          <w:rFonts w:hint="eastAsia" w:ascii="仿宋_GB2312" w:hAnsi="仿宋_GB2312" w:eastAsia="仿宋_GB2312" w:cs="仿宋_GB2312"/>
          <w:b/>
          <w:sz w:val="32"/>
          <w:szCs w:val="32"/>
          <w:highlight w:val="none"/>
          <w:lang w:val="en-US" w:eastAsia="zh-CN"/>
        </w:rPr>
        <w:t>内蒙古电力（集团）有限责任公司乌兰察布供电公司2022年度各供电分公司汽车定点维修项目框架招标(四次)</w:t>
      </w:r>
    </w:p>
    <w:p>
      <w:pPr>
        <w:pageBreakBefore w:val="0"/>
        <w:kinsoku/>
        <w:wordWrap/>
        <w:overflowPunct/>
        <w:topLinePunct w:val="0"/>
        <w:bidi w:val="0"/>
        <w:snapToGrid/>
        <w:spacing w:after="0" w:line="520" w:lineRule="exact"/>
        <w:ind w:left="-15" w:firstLine="15"/>
        <w:jc w:val="center"/>
        <w:textAlignment w:val="auto"/>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询比采购公告</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b/>
          <w:sz w:val="24"/>
          <w:szCs w:val="24"/>
          <w:highlight w:val="none"/>
        </w:rPr>
      </w:pPr>
      <w:bookmarkStart w:id="0" w:name="_Toc495644242"/>
      <w:bookmarkStart w:id="1" w:name="_Toc1489"/>
      <w:r>
        <w:rPr>
          <w:rFonts w:hint="eastAsia" w:ascii="仿宋_GB2312" w:hAnsi="仿宋_GB2312" w:eastAsia="仿宋_GB2312" w:cs="仿宋_GB2312"/>
          <w:b/>
          <w:sz w:val="24"/>
          <w:szCs w:val="24"/>
          <w:highlight w:val="none"/>
        </w:rPr>
        <w:t>1. 采购条件</w:t>
      </w:r>
      <w:bookmarkEnd w:id="0"/>
      <w:bookmarkEnd w:id="1"/>
      <w:r>
        <w:rPr>
          <w:rFonts w:hint="eastAsia" w:ascii="仿宋_GB2312" w:hAnsi="仿宋_GB2312" w:eastAsia="仿宋_GB2312" w:cs="仿宋_GB2312"/>
          <w:b/>
          <w:sz w:val="24"/>
          <w:szCs w:val="24"/>
          <w:highlight w:val="none"/>
        </w:rPr>
        <w:t xml:space="preserve"> </w:t>
      </w:r>
    </w:p>
    <w:p>
      <w:pPr>
        <w:pageBreakBefore w:val="0"/>
        <w:kinsoku/>
        <w:wordWrap/>
        <w:overflowPunct/>
        <w:topLinePunct w:val="0"/>
        <w:bidi w:val="0"/>
        <w:snapToGrid/>
        <w:spacing w:after="0" w:line="520" w:lineRule="exact"/>
        <w:ind w:left="-15" w:right="-198" w:rightChars="-90" w:firstLine="420"/>
        <w:textAlignment w:val="auto"/>
        <w:rPr>
          <w:rFonts w:ascii="仿宋_GB2312" w:hAnsi="仿宋_GB2312" w:eastAsia="仿宋_GB2312" w:cs="仿宋_GB2312"/>
          <w:b/>
          <w:sz w:val="24"/>
          <w:szCs w:val="24"/>
          <w:highlight w:val="none"/>
          <w:u w:val="single"/>
        </w:rPr>
      </w:pPr>
      <w:r>
        <w:rPr>
          <w:rFonts w:hint="eastAsia" w:ascii="仿宋_GB2312" w:hAnsi="仿宋_GB2312" w:eastAsia="仿宋_GB2312" w:cs="仿宋_GB2312"/>
          <w:b/>
          <w:bCs/>
          <w:sz w:val="24"/>
          <w:szCs w:val="24"/>
          <w:highlight w:val="none"/>
          <w:u w:val="single"/>
          <w:lang w:val="en-US" w:eastAsia="zh-CN"/>
        </w:rPr>
        <w:fldChar w:fldCharType="begin"/>
      </w:r>
      <w:r>
        <w:rPr>
          <w:rFonts w:hint="eastAsia" w:ascii="仿宋_GB2312" w:hAnsi="仿宋_GB2312" w:eastAsia="仿宋_GB2312" w:cs="仿宋_GB2312"/>
          <w:b/>
          <w:bCs/>
          <w:sz w:val="24"/>
          <w:szCs w:val="24"/>
          <w:highlight w:val="none"/>
          <w:u w:val="single"/>
          <w:lang w:val="en-US" w:eastAsia="zh-CN"/>
        </w:rPr>
        <w:instrText xml:space="preserve"> HYPERLINK "http://impc.e-bidding.org/nmdzzb/claimProjectController.do?claimProjectList" </w:instrText>
      </w:r>
      <w:r>
        <w:rPr>
          <w:rFonts w:hint="eastAsia" w:ascii="仿宋_GB2312" w:hAnsi="仿宋_GB2312" w:eastAsia="仿宋_GB2312" w:cs="仿宋_GB2312"/>
          <w:b/>
          <w:bCs/>
          <w:sz w:val="24"/>
          <w:szCs w:val="24"/>
          <w:highlight w:val="none"/>
          <w:u w:val="single"/>
          <w:lang w:val="en-US" w:eastAsia="zh-CN"/>
        </w:rPr>
        <w:fldChar w:fldCharType="separate"/>
      </w:r>
      <w:r>
        <w:rPr>
          <w:rFonts w:hint="eastAsia" w:ascii="仿宋_GB2312" w:hAnsi="仿宋_GB2312" w:eastAsia="仿宋_GB2312" w:cs="仿宋_GB2312"/>
          <w:b/>
          <w:bCs/>
          <w:sz w:val="24"/>
          <w:szCs w:val="24"/>
          <w:highlight w:val="none"/>
          <w:u w:val="single"/>
          <w:lang w:val="en-US" w:eastAsia="zh-CN"/>
        </w:rPr>
        <w:t>内蒙古电力（集团）有限责任公司乌兰察布供电公司2022年度各供电分公司汽车定点维修项目框架招标</w:t>
      </w:r>
      <w:r>
        <w:rPr>
          <w:rFonts w:hint="eastAsia" w:ascii="仿宋_GB2312" w:hAnsi="仿宋_GB2312" w:eastAsia="仿宋_GB2312" w:cs="仿宋_GB2312"/>
          <w:b/>
          <w:bCs/>
          <w:sz w:val="24"/>
          <w:szCs w:val="24"/>
          <w:highlight w:val="none"/>
          <w:u w:val="single"/>
          <w:lang w:val="en-US" w:eastAsia="zh-CN"/>
        </w:rPr>
        <w:fldChar w:fldCharType="end"/>
      </w:r>
      <w:r>
        <w:rPr>
          <w:rFonts w:hint="eastAsia" w:ascii="仿宋_GB2312" w:hAnsi="仿宋_GB2312" w:eastAsia="仿宋_GB2312" w:cs="仿宋_GB2312"/>
          <w:b/>
          <w:bCs/>
          <w:sz w:val="24"/>
          <w:szCs w:val="24"/>
          <w:highlight w:val="none"/>
          <w:u w:val="single"/>
          <w:lang w:val="en-US" w:eastAsia="zh-CN"/>
        </w:rPr>
        <w:t>(四次)，</w:t>
      </w:r>
      <w:r>
        <w:rPr>
          <w:rFonts w:hint="eastAsia" w:ascii="仿宋_GB2312" w:hAnsi="仿宋_GB2312" w:eastAsia="仿宋_GB2312" w:cs="仿宋_GB2312"/>
          <w:sz w:val="24"/>
          <w:szCs w:val="24"/>
          <w:highlight w:val="none"/>
        </w:rPr>
        <w:t>采购人为</w:t>
      </w:r>
      <w:r>
        <w:rPr>
          <w:rFonts w:hint="eastAsia" w:ascii="仿宋_GB2312" w:hAnsi="仿宋_GB2312" w:eastAsia="仿宋_GB2312" w:cs="仿宋_GB2312"/>
          <w:b/>
          <w:sz w:val="24"/>
          <w:szCs w:val="24"/>
          <w:highlight w:val="none"/>
          <w:u w:val="single" w:color="000000"/>
        </w:rPr>
        <w:t>内蒙古电力（集团）有限责任公司</w:t>
      </w:r>
      <w:r>
        <w:rPr>
          <w:rFonts w:hint="eastAsia" w:ascii="仿宋_GB2312" w:hAnsi="仿宋_GB2312" w:eastAsia="仿宋_GB2312" w:cs="仿宋_GB2312"/>
          <w:b/>
          <w:bCs/>
          <w:sz w:val="24"/>
          <w:szCs w:val="24"/>
          <w:highlight w:val="none"/>
          <w:u w:val="single"/>
          <w:lang w:eastAsia="zh-CN"/>
        </w:rPr>
        <w:t>乌兰察布供电分公司</w:t>
      </w:r>
      <w:r>
        <w:rPr>
          <w:rFonts w:hint="eastAsia" w:ascii="仿宋_GB2312" w:hAnsi="仿宋_GB2312" w:eastAsia="仿宋_GB2312" w:cs="仿宋_GB2312"/>
          <w:sz w:val="24"/>
          <w:szCs w:val="24"/>
          <w:highlight w:val="none"/>
        </w:rPr>
        <w:t>，采购项目资金来源为</w:t>
      </w:r>
      <w:r>
        <w:rPr>
          <w:rFonts w:hint="eastAsia" w:ascii="仿宋_GB2312" w:hAnsi="仿宋_GB2312" w:eastAsia="仿宋_GB2312" w:cs="仿宋_GB2312"/>
          <w:sz w:val="24"/>
          <w:szCs w:val="24"/>
          <w:highlight w:val="none"/>
          <w:lang w:val="en-US" w:eastAsia="zh-CN"/>
        </w:rPr>
        <w:t>企业自筹</w:t>
      </w:r>
      <w:r>
        <w:rPr>
          <w:rFonts w:hint="eastAsia" w:ascii="仿宋_GB2312" w:hAnsi="仿宋_GB2312" w:eastAsia="仿宋_GB2312" w:cs="仿宋_GB2312"/>
          <w:sz w:val="24"/>
          <w:szCs w:val="24"/>
          <w:highlight w:val="none"/>
        </w:rPr>
        <w:t>，出资比例100%。</w:t>
      </w:r>
      <w:r>
        <w:rPr>
          <w:rFonts w:hint="default" w:ascii="仿宋_GB2312" w:hAnsi="Calibri" w:eastAsia="仿宋_GB2312" w:cs="仿宋_GB2312"/>
          <w:color w:val="000000"/>
          <w:kern w:val="2"/>
          <w:sz w:val="24"/>
          <w:szCs w:val="24"/>
          <w:highlight w:val="none"/>
          <w:lang w:val="en-US" w:eastAsia="zh-CN" w:bidi="ar"/>
        </w:rPr>
        <w:t>该项目已具备采购条件，现对本项目进行询比采购。</w:t>
      </w:r>
    </w:p>
    <w:p>
      <w:pPr>
        <w:pStyle w:val="3"/>
        <w:pageBreakBefore w:val="0"/>
        <w:kinsoku/>
        <w:wordWrap/>
        <w:overflowPunct/>
        <w:topLinePunct w:val="0"/>
        <w:bidi w:val="0"/>
        <w:snapToGrid/>
        <w:spacing w:after="0" w:line="520" w:lineRule="exact"/>
        <w:ind w:left="0" w:right="-198" w:rightChars="-90" w:firstLine="0"/>
        <w:textAlignment w:val="auto"/>
        <w:rPr>
          <w:rFonts w:ascii="仿宋_GB2312" w:hAnsi="仿宋_GB2312" w:eastAsia="仿宋_GB2312" w:cs="仿宋_GB2312"/>
          <w:b/>
          <w:sz w:val="24"/>
          <w:szCs w:val="24"/>
          <w:highlight w:val="none"/>
        </w:rPr>
      </w:pPr>
      <w:bookmarkStart w:id="2" w:name="_Toc495644243"/>
      <w:bookmarkStart w:id="3" w:name="_Toc13446"/>
      <w:r>
        <w:rPr>
          <w:rFonts w:hint="eastAsia" w:ascii="仿宋_GB2312" w:hAnsi="仿宋_GB2312" w:eastAsia="仿宋_GB2312" w:cs="仿宋_GB2312"/>
          <w:b/>
          <w:sz w:val="24"/>
          <w:szCs w:val="24"/>
          <w:highlight w:val="none"/>
        </w:rPr>
        <w:t>2. 项目概况与采购范围</w:t>
      </w:r>
      <w:bookmarkEnd w:id="2"/>
      <w:bookmarkEnd w:id="3"/>
      <w:r>
        <w:rPr>
          <w:rFonts w:hint="eastAsia" w:ascii="仿宋_GB2312" w:hAnsi="仿宋_GB2312" w:eastAsia="仿宋_GB2312" w:cs="仿宋_GB2312"/>
          <w:b/>
          <w:sz w:val="24"/>
          <w:szCs w:val="24"/>
          <w:highlight w:val="none"/>
        </w:rPr>
        <w:t xml:space="preserve"> </w:t>
      </w:r>
    </w:p>
    <w:p>
      <w:pPr>
        <w:pageBreakBefore w:val="0"/>
        <w:kinsoku/>
        <w:wordWrap/>
        <w:overflowPunct/>
        <w:topLinePunct w:val="0"/>
        <w:bidi w:val="0"/>
        <w:snapToGrid/>
        <w:spacing w:after="0" w:line="520" w:lineRule="exact"/>
        <w:ind w:left="-11" w:leftChars="-5" w:right="-198" w:rightChars="-90" w:firstLine="451" w:firstLineChars="188"/>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2.1</w:t>
      </w:r>
      <w:r>
        <w:rPr>
          <w:rFonts w:hint="eastAsia" w:ascii="仿宋_GB2312" w:hAnsi="仿宋_GB2312" w:eastAsia="仿宋_GB2312" w:cs="仿宋_GB2312"/>
          <w:color w:val="auto"/>
          <w:sz w:val="24"/>
          <w:szCs w:val="24"/>
          <w:highlight w:val="yellow"/>
        </w:rPr>
        <w:t>采购编号:</w:t>
      </w:r>
      <w:r>
        <w:rPr>
          <w:rFonts w:ascii="仿宋_GB2312" w:hAnsi="仿宋_GB2312" w:eastAsia="仿宋_GB2312" w:cs="仿宋_GB2312"/>
          <w:color w:val="auto"/>
          <w:sz w:val="24"/>
          <w:szCs w:val="24"/>
          <w:highlight w:val="yellow"/>
        </w:rPr>
        <w:t>wdcg-202</w:t>
      </w:r>
      <w:r>
        <w:rPr>
          <w:rFonts w:hint="eastAsia" w:ascii="仿宋_GB2312" w:hAnsi="仿宋_GB2312" w:eastAsia="仿宋_GB2312" w:cs="仿宋_GB2312"/>
          <w:color w:val="auto"/>
          <w:sz w:val="24"/>
          <w:szCs w:val="24"/>
          <w:highlight w:val="yellow"/>
          <w:lang w:val="en-US" w:eastAsia="zh-CN"/>
        </w:rPr>
        <w:t>2-109</w:t>
      </w:r>
    </w:p>
    <w:p>
      <w:pPr>
        <w:pageBreakBefore w:val="0"/>
        <w:kinsoku/>
        <w:wordWrap/>
        <w:overflowPunct/>
        <w:topLinePunct w:val="0"/>
        <w:bidi w:val="0"/>
        <w:snapToGrid/>
        <w:spacing w:after="0" w:line="520" w:lineRule="exact"/>
        <w:ind w:left="-11" w:leftChars="-5" w:right="-198" w:rightChars="-90" w:firstLine="451" w:firstLineChars="188"/>
        <w:textAlignment w:val="auto"/>
        <w:rPr>
          <w:rFonts w:hint="eastAsia" w:ascii="仿宋_GB2312" w:hAnsi="仿宋_GB2312" w:eastAsia="仿宋_GB2312" w:cs="仿宋_GB2312"/>
          <w:b/>
          <w:bCs/>
          <w:color w:val="000000" w:themeColor="text1"/>
          <w:sz w:val="24"/>
          <w:szCs w:val="24"/>
          <w:highlight w:val="none"/>
          <w:u w:val="singl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2.2采购项目名称：</w:t>
      </w:r>
      <w:r>
        <w:rPr>
          <w:rFonts w:hint="eastAsia" w:ascii="仿宋_GB2312" w:hAnsi="仿宋_GB2312" w:eastAsia="仿宋_GB2312" w:cs="仿宋_GB2312"/>
          <w:b/>
          <w:bCs/>
          <w:color w:val="000000" w:themeColor="text1"/>
          <w:sz w:val="24"/>
          <w:szCs w:val="24"/>
          <w:highlight w:val="none"/>
          <w:u w:val="single"/>
          <w:lang w:val="en-US" w:eastAsia="zh-CN"/>
          <w14:textFill>
            <w14:solidFill>
              <w14:schemeClr w14:val="tx1"/>
            </w14:solidFill>
          </w14:textFill>
        </w:rPr>
        <w:fldChar w:fldCharType="begin"/>
      </w:r>
      <w:r>
        <w:rPr>
          <w:rFonts w:hint="eastAsia" w:ascii="仿宋_GB2312" w:hAnsi="仿宋_GB2312" w:eastAsia="仿宋_GB2312" w:cs="仿宋_GB2312"/>
          <w:b/>
          <w:bCs/>
          <w:color w:val="000000" w:themeColor="text1"/>
          <w:sz w:val="24"/>
          <w:szCs w:val="24"/>
          <w:highlight w:val="none"/>
          <w:u w:val="single"/>
          <w:lang w:val="en-US" w:eastAsia="zh-CN"/>
          <w14:textFill>
            <w14:solidFill>
              <w14:schemeClr w14:val="tx1"/>
            </w14:solidFill>
          </w14:textFill>
        </w:rPr>
        <w:instrText xml:space="preserve"> HYPERLINK "http://impc.e-bidding.org/nmdzzb/claimProjectController.do?claimProjectList" </w:instrText>
      </w:r>
      <w:r>
        <w:rPr>
          <w:rFonts w:hint="eastAsia" w:ascii="仿宋_GB2312" w:hAnsi="仿宋_GB2312" w:eastAsia="仿宋_GB2312" w:cs="仿宋_GB2312"/>
          <w:b/>
          <w:bCs/>
          <w:color w:val="000000" w:themeColor="text1"/>
          <w:sz w:val="24"/>
          <w:szCs w:val="24"/>
          <w:highlight w:val="none"/>
          <w:u w:val="single"/>
          <w:lang w:val="en-US" w:eastAsia="zh-CN"/>
          <w14:textFill>
            <w14:solidFill>
              <w14:schemeClr w14:val="tx1"/>
            </w14:solidFill>
          </w14:textFill>
        </w:rPr>
        <w:fldChar w:fldCharType="separate"/>
      </w:r>
      <w:r>
        <w:rPr>
          <w:rFonts w:hint="eastAsia" w:ascii="仿宋_GB2312" w:hAnsi="仿宋_GB2312" w:eastAsia="仿宋_GB2312" w:cs="仿宋_GB2312"/>
          <w:b/>
          <w:bCs/>
          <w:color w:val="000000" w:themeColor="text1"/>
          <w:sz w:val="24"/>
          <w:szCs w:val="24"/>
          <w:highlight w:val="none"/>
          <w:u w:val="single"/>
          <w:lang w:val="en-US" w:eastAsia="zh-CN"/>
          <w14:textFill>
            <w14:solidFill>
              <w14:schemeClr w14:val="tx1"/>
            </w14:solidFill>
          </w14:textFill>
        </w:rPr>
        <w:t>内蒙古电力（集团）有限责任公司乌兰察布供电公司2022年度各供电分公司汽车定点维修项目框架招标(四次)</w:t>
      </w:r>
    </w:p>
    <w:p>
      <w:pPr>
        <w:pageBreakBefore w:val="0"/>
        <w:kinsoku/>
        <w:wordWrap/>
        <w:overflowPunct/>
        <w:topLinePunct w:val="0"/>
        <w:bidi w:val="0"/>
        <w:snapToGrid/>
        <w:spacing w:after="0" w:line="520" w:lineRule="exact"/>
        <w:ind w:left="-11" w:leftChars="-5" w:right="-198" w:rightChars="-90" w:firstLine="453" w:firstLineChars="188"/>
        <w:textAlignment w:val="auto"/>
        <w:rPr>
          <w:rFonts w:hint="eastAsia" w:ascii="仿宋_GB2312" w:hAnsi="Times New Roman" w:eastAsia="仿宋_GB2312" w:cs="宋体"/>
          <w:bCs/>
          <w:color w:val="auto"/>
          <w:kern w:val="0"/>
          <w:sz w:val="24"/>
          <w:szCs w:val="24"/>
          <w:highlight w:val="none"/>
          <w:lang w:eastAsia="zh-CN"/>
        </w:rPr>
      </w:pPr>
      <w:r>
        <w:rPr>
          <w:rFonts w:hint="eastAsia" w:ascii="仿宋_GB2312" w:hAnsi="仿宋_GB2312" w:eastAsia="仿宋_GB2312" w:cs="仿宋_GB2312"/>
          <w:b/>
          <w:bCs/>
          <w:color w:val="000000" w:themeColor="text1"/>
          <w:sz w:val="24"/>
          <w:szCs w:val="24"/>
          <w:highlight w:val="none"/>
          <w:u w:val="single"/>
          <w:lang w:val="en-US" w:eastAsia="zh-CN"/>
          <w14:textFill>
            <w14:solidFill>
              <w14:schemeClr w14:val="tx1"/>
            </w14:solidFill>
          </w14:textFill>
        </w:rPr>
        <w:fldChar w:fldCharType="end"/>
      </w:r>
      <w:r>
        <w:rPr>
          <w:rFonts w:hint="eastAsia" w:ascii="仿宋_GB2312" w:hAnsi="仿宋_GB2312" w:eastAsia="仿宋_GB2312" w:cs="仿宋_GB2312"/>
          <w:color w:val="auto"/>
          <w:sz w:val="24"/>
          <w:szCs w:val="24"/>
          <w:highlight w:val="none"/>
        </w:rPr>
        <w:t>2.3采购范围</w:t>
      </w:r>
      <w:r>
        <w:rPr>
          <w:rFonts w:hint="eastAsia" w:ascii="仿宋_GB2312" w:hAnsi="仿宋_GB2312" w:eastAsia="仿宋_GB2312" w:cs="仿宋_GB2312"/>
          <w:color w:val="auto"/>
          <w:sz w:val="24"/>
          <w:szCs w:val="24"/>
          <w:highlight w:val="none"/>
          <w:lang w:eastAsia="zh-CN"/>
        </w:rPr>
        <w:t>：</w:t>
      </w:r>
      <w:r>
        <w:rPr>
          <w:rFonts w:hint="eastAsia" w:ascii="仿宋_GB2312" w:hAnsi="Times New Roman" w:eastAsia="仿宋_GB2312" w:cs="宋体"/>
          <w:bCs/>
          <w:color w:val="auto"/>
          <w:kern w:val="0"/>
          <w:sz w:val="24"/>
          <w:szCs w:val="24"/>
          <w:highlight w:val="none"/>
        </w:rPr>
        <w:t>详见采购公告附件4</w:t>
      </w:r>
      <w:r>
        <w:rPr>
          <w:rFonts w:hint="eastAsia" w:ascii="仿宋_GB2312" w:hAnsi="Times New Roman" w:eastAsia="仿宋_GB2312" w:cs="宋体"/>
          <w:bCs/>
          <w:color w:val="auto"/>
          <w:kern w:val="0"/>
          <w:sz w:val="24"/>
          <w:szCs w:val="24"/>
          <w:highlight w:val="none"/>
          <w:lang w:eastAsia="zh-CN"/>
        </w:rPr>
        <w:t>：采购内容</w:t>
      </w:r>
      <w:r>
        <w:rPr>
          <w:rFonts w:hint="eastAsia" w:ascii="仿宋_GB2312" w:hAnsi="Times New Roman" w:eastAsia="仿宋_GB2312" w:cs="宋体"/>
          <w:bCs/>
          <w:color w:val="auto"/>
          <w:kern w:val="0"/>
          <w:sz w:val="24"/>
          <w:szCs w:val="24"/>
          <w:highlight w:val="none"/>
          <w:lang w:val="en-US" w:eastAsia="zh-CN"/>
        </w:rPr>
        <w:t>及限价明细</w:t>
      </w:r>
      <w:r>
        <w:rPr>
          <w:rFonts w:hint="eastAsia" w:ascii="仿宋_GB2312" w:hAnsi="Times New Roman" w:eastAsia="仿宋_GB2312" w:cs="宋体"/>
          <w:bCs/>
          <w:color w:val="auto"/>
          <w:kern w:val="0"/>
          <w:sz w:val="24"/>
          <w:szCs w:val="24"/>
          <w:highlight w:val="none"/>
          <w:lang w:eastAsia="zh-CN"/>
        </w:rPr>
        <w:t>表</w:t>
      </w:r>
    </w:p>
    <w:p>
      <w:pPr>
        <w:pageBreakBefore w:val="0"/>
        <w:kinsoku/>
        <w:wordWrap/>
        <w:overflowPunct/>
        <w:topLinePunct w:val="0"/>
        <w:bidi w:val="0"/>
        <w:snapToGrid/>
        <w:spacing w:after="0" w:line="520" w:lineRule="exact"/>
        <w:ind w:left="-11" w:leftChars="-5" w:right="-198" w:rightChars="-90" w:firstLine="451" w:firstLineChars="188"/>
        <w:textAlignment w:val="auto"/>
        <w:rPr>
          <w:rFonts w:hint="default" w:ascii="仿宋_GB2312" w:hAnsi="仿宋_GB2312" w:eastAsia="仿宋_GB2312" w:cs="仿宋_GB2312"/>
          <w:color w:val="auto"/>
          <w:sz w:val="24"/>
          <w:szCs w:val="24"/>
          <w:highlight w:val="none"/>
          <w:u w:val="single"/>
          <w:lang w:val="en-US" w:eastAsia="zh-CN"/>
        </w:rPr>
      </w:pPr>
      <w:r>
        <w:rPr>
          <w:rFonts w:hint="eastAsia" w:ascii="仿宋_GB2312" w:hAnsi="仿宋_GB2312" w:eastAsia="仿宋_GB2312" w:cs="仿宋_GB2312"/>
          <w:color w:val="auto"/>
          <w:sz w:val="24"/>
          <w:szCs w:val="24"/>
          <w:highlight w:val="none"/>
        </w:rPr>
        <w:t>2.4</w:t>
      </w:r>
      <w:r>
        <w:rPr>
          <w:rFonts w:hint="eastAsia" w:ascii="仿宋_GB2312" w:hAnsi="仿宋_GB2312" w:eastAsia="仿宋_GB2312" w:cs="仿宋_GB2312"/>
          <w:color w:val="auto"/>
          <w:sz w:val="24"/>
          <w:szCs w:val="24"/>
          <w:highlight w:val="none"/>
          <w:lang w:val="en-US" w:eastAsia="zh-CN"/>
        </w:rPr>
        <w:t>服务地点</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各分公司所在地</w:t>
      </w:r>
    </w:p>
    <w:p>
      <w:pPr>
        <w:pageBreakBefore w:val="0"/>
        <w:kinsoku/>
        <w:wordWrap/>
        <w:overflowPunct/>
        <w:topLinePunct w:val="0"/>
        <w:bidi w:val="0"/>
        <w:snapToGrid/>
        <w:spacing w:after="0" w:line="520" w:lineRule="exact"/>
        <w:ind w:left="-11" w:leftChars="-5" w:right="-198" w:rightChars="-90" w:firstLine="451" w:firstLineChars="188"/>
        <w:textAlignment w:val="auto"/>
        <w:rPr>
          <w:rFonts w:ascii="仿宋_GB2312" w:hAnsi="仿宋_GB2312" w:eastAsia="仿宋_GB2312" w:cs="仿宋_GB2312"/>
          <w:color w:val="auto"/>
          <w:sz w:val="24"/>
          <w:szCs w:val="24"/>
          <w:highlight w:val="none"/>
        </w:rPr>
      </w:pPr>
      <w:r>
        <w:rPr>
          <w:rFonts w:ascii="仿宋_GB2312" w:hAnsi="仿宋_GB2312" w:eastAsia="仿宋_GB2312" w:cs="仿宋_GB2312"/>
          <w:color w:val="auto"/>
          <w:sz w:val="24"/>
          <w:szCs w:val="24"/>
          <w:highlight w:val="none"/>
        </w:rPr>
        <w:t>2.</w:t>
      </w:r>
      <w:r>
        <w:rPr>
          <w:rFonts w:hint="eastAsia" w:ascii="仿宋_GB2312" w:hAnsi="仿宋_GB2312" w:eastAsia="仿宋_GB2312" w:cs="仿宋_GB2312"/>
          <w:color w:val="auto"/>
          <w:sz w:val="24"/>
          <w:szCs w:val="24"/>
          <w:highlight w:val="none"/>
        </w:rPr>
        <w:t>5</w:t>
      </w:r>
      <w:r>
        <w:rPr>
          <w:rFonts w:hint="eastAsia" w:ascii="仿宋_GB2312" w:hAnsi="仿宋_GB2312" w:eastAsia="仿宋_GB2312" w:cs="仿宋_GB2312"/>
          <w:color w:val="auto"/>
          <w:sz w:val="24"/>
          <w:szCs w:val="24"/>
          <w:highlight w:val="none"/>
          <w:lang w:val="en-US" w:eastAsia="zh-CN"/>
        </w:rPr>
        <w:t>服务期限</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合同签订之日起至2023年07月31日。</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b/>
          <w:sz w:val="24"/>
          <w:szCs w:val="24"/>
          <w:highlight w:val="none"/>
        </w:rPr>
      </w:pPr>
      <w:bookmarkStart w:id="4" w:name="_Toc495644244"/>
      <w:bookmarkStart w:id="5" w:name="_Toc529"/>
      <w:r>
        <w:rPr>
          <w:rFonts w:hint="eastAsia" w:ascii="仿宋_GB2312" w:hAnsi="仿宋_GB2312" w:eastAsia="仿宋_GB2312" w:cs="仿宋_GB2312"/>
          <w:b/>
          <w:sz w:val="24"/>
          <w:szCs w:val="24"/>
          <w:highlight w:val="none"/>
        </w:rPr>
        <w:t>3. 供应商资格要求</w:t>
      </w:r>
      <w:bookmarkEnd w:id="4"/>
      <w:bookmarkEnd w:id="5"/>
      <w:r>
        <w:rPr>
          <w:rFonts w:hint="eastAsia" w:ascii="仿宋_GB2312" w:hAnsi="仿宋_GB2312" w:eastAsia="仿宋_GB2312" w:cs="仿宋_GB2312"/>
          <w:b/>
          <w:sz w:val="24"/>
          <w:szCs w:val="24"/>
          <w:highlight w:val="none"/>
        </w:rPr>
        <w:t xml:space="preserve"> </w:t>
      </w:r>
    </w:p>
    <w:p>
      <w:pPr>
        <w:pStyle w:val="7"/>
        <w:pageBreakBefore w:val="0"/>
        <w:shd w:val="clear" w:color="auto" w:fill="FFFFFF"/>
        <w:kinsoku/>
        <w:wordWrap/>
        <w:overflowPunct/>
        <w:topLinePunct w:val="0"/>
        <w:bidi w:val="0"/>
        <w:snapToGrid/>
        <w:spacing w:before="0" w:beforeAutospacing="0" w:after="0" w:afterAutospacing="0" w:line="520" w:lineRule="exact"/>
        <w:ind w:right="-198" w:rightChars="-90" w:firstLine="424" w:firstLineChars="176"/>
        <w:textAlignment w:val="auto"/>
        <w:rPr>
          <w:rFonts w:ascii="仿宋_GB2312" w:hAnsi="仿宋_GB2312" w:eastAsia="仿宋_GB2312" w:cs="仿宋_GB2312"/>
          <w:b/>
          <w:kern w:val="2"/>
          <w:szCs w:val="24"/>
          <w:highlight w:val="none"/>
        </w:rPr>
      </w:pPr>
      <w:r>
        <w:rPr>
          <w:rFonts w:hint="eastAsia" w:ascii="仿宋_GB2312" w:hAnsi="仿宋_GB2312" w:eastAsia="仿宋_GB2312" w:cs="仿宋_GB2312"/>
          <w:b/>
          <w:kern w:val="2"/>
          <w:szCs w:val="24"/>
          <w:highlight w:val="none"/>
        </w:rPr>
        <w:t>3.1通用资格要求</w:t>
      </w:r>
    </w:p>
    <w:p>
      <w:pPr>
        <w:pageBreakBefore w:val="0"/>
        <w:kinsoku/>
        <w:wordWrap/>
        <w:overflowPunct/>
        <w:topLinePunct w:val="0"/>
        <w:bidi w:val="0"/>
        <w:snapToGrid/>
        <w:spacing w:after="0" w:line="520" w:lineRule="exact"/>
        <w:ind w:right="-198" w:rightChars="-90" w:firstLine="439" w:firstLineChars="183"/>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3.1.1供应商须为中华人民共和国独立法人资格或其他组织,具有有效的营业执照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并在人员、设备、资金等方面具有保障如期</w:t>
      </w:r>
      <w:r>
        <w:rPr>
          <w:rFonts w:hint="eastAsia" w:ascii="仿宋_GB2312" w:hAnsi="仿宋_GB2312" w:eastAsia="仿宋_GB2312" w:cs="仿宋_GB2312"/>
          <w:color w:val="auto"/>
          <w:sz w:val="24"/>
          <w:szCs w:val="24"/>
          <w:highlight w:val="none"/>
          <w:lang w:eastAsia="zh-CN"/>
        </w:rPr>
        <w:t>完工</w:t>
      </w:r>
      <w:r>
        <w:rPr>
          <w:rFonts w:hint="eastAsia" w:ascii="仿宋_GB2312" w:hAnsi="仿宋_GB2312" w:eastAsia="仿宋_GB2312" w:cs="仿宋_GB2312"/>
          <w:color w:val="auto"/>
          <w:sz w:val="24"/>
          <w:szCs w:val="24"/>
          <w:highlight w:val="none"/>
        </w:rPr>
        <w:t>等承担</w:t>
      </w:r>
      <w:r>
        <w:rPr>
          <w:rFonts w:hint="eastAsia" w:ascii="仿宋_GB2312" w:hAnsi="仿宋_GB2312" w:eastAsia="仿宋_GB2312" w:cs="仿宋_GB2312"/>
          <w:color w:val="auto"/>
          <w:sz w:val="24"/>
          <w:szCs w:val="24"/>
          <w:highlight w:val="none"/>
          <w:lang w:eastAsia="zh-CN"/>
        </w:rPr>
        <w:t>采购</w:t>
      </w:r>
      <w:r>
        <w:rPr>
          <w:rFonts w:hint="eastAsia" w:ascii="仿宋_GB2312" w:hAnsi="仿宋_GB2312" w:eastAsia="仿宋_GB2312" w:cs="仿宋_GB2312"/>
          <w:color w:val="auto"/>
          <w:sz w:val="24"/>
          <w:szCs w:val="24"/>
          <w:highlight w:val="none"/>
        </w:rPr>
        <w:t>项目的能力</w:t>
      </w:r>
      <w:r>
        <w:rPr>
          <w:rFonts w:hint="eastAsia" w:ascii="仿宋_GB2312" w:hAnsi="仿宋_GB2312" w:eastAsia="仿宋_GB2312" w:cs="仿宋_GB2312"/>
          <w:color w:val="auto"/>
          <w:sz w:val="24"/>
          <w:szCs w:val="24"/>
          <w:highlight w:val="none"/>
          <w:lang w:eastAsia="zh-CN"/>
        </w:rPr>
        <w:t>，能够开具增值税专用发票；</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3.1.2法定代表人为同一个人的两个及两个以上法人，母公司、全资子公司及其控股公司，只能有一家参加同一标段的投标,且母子关系之间不得相互借用任何资质；</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3.1.3</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未被工商行政管理机关在全国企业信用信息公示系统（www.gsxt.gov.cn）中列入“严重违法失信企业名单”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其他组织除外</w:t>
      </w:r>
      <w:r>
        <w:rPr>
          <w:rFonts w:hint="eastAsia" w:ascii="仿宋_GB2312" w:hAnsi="仿宋_GB2312" w:eastAsia="仿宋_GB2312" w:cs="仿宋_GB2312"/>
          <w:color w:val="auto"/>
          <w:sz w:val="24"/>
          <w:szCs w:val="24"/>
          <w:highlight w:val="none"/>
          <w:lang w:eastAsia="zh-CN"/>
        </w:rPr>
        <w:t>）；</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3.1.4</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未被“信用中国网站（www.creditchina.gov.cn）”列入失信被执行人名单中；</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3.1.5</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在中国裁判文书网（http://wenshu.court.gov.cn/）查询显示近</w:t>
      </w:r>
      <w:r>
        <w:rPr>
          <w:rFonts w:hint="eastAsia" w:ascii="仿宋_GB2312" w:hAnsi="仿宋_GB2312" w:eastAsia="仿宋_GB2312" w:cs="仿宋_GB2312"/>
          <w:color w:val="auto"/>
          <w:sz w:val="24"/>
          <w:szCs w:val="24"/>
          <w:highlight w:val="none"/>
          <w:lang w:val="en-US" w:eastAsia="zh-CN"/>
        </w:rPr>
        <w:t>三</w:t>
      </w:r>
      <w:r>
        <w:rPr>
          <w:rFonts w:hint="eastAsia" w:ascii="仿宋_GB2312" w:hAnsi="仿宋_GB2312" w:eastAsia="仿宋_GB2312" w:cs="仿宋_GB2312"/>
          <w:color w:val="auto"/>
          <w:sz w:val="24"/>
          <w:szCs w:val="24"/>
          <w:highlight w:val="none"/>
        </w:rPr>
        <w:t>年没有行贿犯罪记录；</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3.1.6</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未被上级部门（内蒙古电力（集团）有限责任公司）通报/披露取消投标资格，且目前不处于处罚期内。按照内蒙古电力（集团）有限责任公司《关于对供应商不良行业处理的通知》的规定，未列入最新发布的不良供应商名单；</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3.1.6</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未被列入中国电力企业联合会公布的“中电联关于公布涉电力领域重点关注对象名单”，且目前不处于重点关注对象名单内；</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3.1.7</w:t>
      </w:r>
      <w:r>
        <w:rPr>
          <w:rFonts w:hint="eastAsia" w:ascii="仿宋_GB2312" w:hAnsi="仿宋_GB2312" w:eastAsia="仿宋_GB2312" w:cs="仿宋_GB2312"/>
          <w:color w:val="auto"/>
          <w:sz w:val="24"/>
          <w:szCs w:val="24"/>
          <w:highlight w:val="none"/>
        </w:rPr>
        <w:t>本次招标不接受联合体投标；</w:t>
      </w:r>
    </w:p>
    <w:p>
      <w:pPr>
        <w:pageBreakBefore w:val="0"/>
        <w:kinsoku/>
        <w:wordWrap/>
        <w:overflowPunct/>
        <w:topLinePunct w:val="0"/>
        <w:bidi w:val="0"/>
        <w:snapToGrid/>
        <w:spacing w:after="0" w:line="520" w:lineRule="exact"/>
        <w:ind w:right="-198" w:rightChars="-90" w:firstLine="441" w:firstLineChars="183"/>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3.2．专用资格要求：</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3.2.1供应商</w:t>
      </w:r>
      <w:r>
        <w:rPr>
          <w:rFonts w:hint="eastAsia" w:ascii="仿宋_GB2312" w:hAnsi="仿宋_GB2312" w:eastAsia="仿宋_GB2312" w:cs="仿宋_GB2312"/>
          <w:color w:val="auto"/>
          <w:sz w:val="24"/>
          <w:szCs w:val="24"/>
          <w:highlight w:val="none"/>
        </w:rPr>
        <w:t>在服务地点</w:t>
      </w:r>
      <w:r>
        <w:rPr>
          <w:rFonts w:hint="eastAsia" w:ascii="仿宋_GB2312" w:hAnsi="仿宋_GB2312" w:eastAsia="仿宋_GB2312" w:cs="仿宋_GB2312"/>
          <w:color w:val="auto"/>
          <w:sz w:val="24"/>
          <w:szCs w:val="24"/>
          <w:highlight w:val="none"/>
          <w:lang w:val="en-US" w:eastAsia="zh-CN"/>
        </w:rPr>
        <w:t>(各分公司所在地)设</w:t>
      </w:r>
      <w:r>
        <w:rPr>
          <w:rFonts w:hint="eastAsia" w:ascii="仿宋_GB2312" w:hAnsi="仿宋_GB2312" w:eastAsia="仿宋_GB2312" w:cs="仿宋_GB2312"/>
          <w:color w:val="auto"/>
          <w:sz w:val="24"/>
          <w:szCs w:val="24"/>
          <w:highlight w:val="none"/>
        </w:rPr>
        <w:t>有固定</w:t>
      </w:r>
      <w:r>
        <w:rPr>
          <w:rFonts w:hint="eastAsia" w:ascii="仿宋_GB2312" w:hAnsi="仿宋_GB2312" w:eastAsia="仿宋_GB2312" w:cs="仿宋_GB2312"/>
          <w:color w:val="auto"/>
          <w:sz w:val="24"/>
          <w:szCs w:val="24"/>
          <w:highlight w:val="none"/>
          <w:lang w:val="en-US" w:eastAsia="zh-CN"/>
        </w:rPr>
        <w:t>经营/维修场所且有不少于2个维修（需安装举升机）工位</w:t>
      </w:r>
      <w:r>
        <w:rPr>
          <w:rFonts w:hint="eastAsia" w:ascii="仿宋_GB2312" w:hAnsi="仿宋_GB2312" w:eastAsia="仿宋_GB2312" w:cs="仿宋_GB2312"/>
          <w:color w:val="auto"/>
          <w:sz w:val="24"/>
          <w:szCs w:val="24"/>
          <w:highlight w:val="none"/>
        </w:rPr>
        <w:t>（提供房产证明或租房合同</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并提供场所照片；如现在未在服务地点设置固定经营/维修场所，需承诺在中标结果公告发出之日起30日内按照招标人要求在服务地点设置固定经营/维修场所，提供承诺书</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eastAsia="zh-CN"/>
        </w:rPr>
        <w:t>；</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3.2.2供应商提供</w:t>
      </w:r>
      <w:r>
        <w:rPr>
          <w:rFonts w:hint="eastAsia" w:ascii="仿宋_GB2312" w:hAnsi="仿宋_GB2312" w:eastAsia="仿宋_GB2312" w:cs="仿宋_GB2312"/>
          <w:color w:val="auto"/>
          <w:sz w:val="24"/>
          <w:szCs w:val="24"/>
          <w:highlight w:val="none"/>
        </w:rPr>
        <w:t>近三年（201</w:t>
      </w:r>
      <w:r>
        <w:rPr>
          <w:rFonts w:hint="eastAsia" w:ascii="仿宋_GB2312" w:hAnsi="仿宋_GB2312" w:eastAsia="仿宋_GB2312" w:cs="仿宋_GB2312"/>
          <w:color w:val="auto"/>
          <w:sz w:val="24"/>
          <w:szCs w:val="24"/>
          <w:highlight w:val="none"/>
          <w:lang w:val="en-US" w:eastAsia="zh-CN"/>
        </w:rPr>
        <w:t>9</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lang w:val="en-US" w:eastAsia="zh-CN"/>
        </w:rPr>
        <w:t>06</w:t>
      </w:r>
      <w:r>
        <w:rPr>
          <w:rFonts w:hint="eastAsia" w:ascii="仿宋_GB2312" w:hAnsi="仿宋_GB2312" w:eastAsia="仿宋_GB2312" w:cs="仿宋_GB2312"/>
          <w:color w:val="auto"/>
          <w:sz w:val="24"/>
          <w:szCs w:val="24"/>
          <w:highlight w:val="none"/>
        </w:rPr>
        <w:t>月至今）同类</w:t>
      </w:r>
      <w:r>
        <w:rPr>
          <w:rFonts w:hint="eastAsia" w:ascii="仿宋_GB2312" w:hAnsi="仿宋_GB2312" w:eastAsia="仿宋_GB2312" w:cs="仿宋_GB2312"/>
          <w:color w:val="auto"/>
          <w:sz w:val="24"/>
          <w:szCs w:val="24"/>
          <w:highlight w:val="none"/>
          <w:lang w:val="en-US" w:eastAsia="zh-CN"/>
        </w:rPr>
        <w:t>项目</w:t>
      </w:r>
      <w:r>
        <w:rPr>
          <w:rFonts w:hint="eastAsia" w:ascii="仿宋_GB2312" w:hAnsi="仿宋_GB2312" w:eastAsia="仿宋_GB2312" w:cs="仿宋_GB2312"/>
          <w:color w:val="auto"/>
          <w:sz w:val="24"/>
          <w:szCs w:val="24"/>
          <w:highlight w:val="none"/>
        </w:rPr>
        <w:t>业绩1份（提供</w:t>
      </w:r>
      <w:r>
        <w:rPr>
          <w:rFonts w:hint="eastAsia" w:ascii="仿宋_GB2312" w:hAnsi="仿宋_GB2312" w:eastAsia="仿宋_GB2312" w:cs="仿宋_GB2312"/>
          <w:color w:val="auto"/>
          <w:sz w:val="24"/>
          <w:szCs w:val="24"/>
          <w:highlight w:val="none"/>
          <w:lang w:val="en-US" w:eastAsia="zh-CN"/>
        </w:rPr>
        <w:t>服务合同及配套发票</w:t>
      </w:r>
      <w:r>
        <w:rPr>
          <w:rFonts w:hint="eastAsia" w:ascii="仿宋_GB2312" w:hAnsi="仿宋_GB2312" w:eastAsia="仿宋_GB2312" w:cs="仿宋_GB2312"/>
          <w:color w:val="auto"/>
          <w:sz w:val="24"/>
          <w:szCs w:val="24"/>
          <w:highlight w:val="none"/>
        </w:rPr>
        <w:t>扫描</w:t>
      </w:r>
      <w:r>
        <w:rPr>
          <w:rFonts w:hint="eastAsia" w:ascii="仿宋_GB2312" w:hAnsi="仿宋_GB2312" w:eastAsia="仿宋_GB2312" w:cs="仿宋_GB2312"/>
          <w:color w:val="auto"/>
          <w:sz w:val="24"/>
          <w:szCs w:val="24"/>
          <w:highlight w:val="none"/>
          <w:lang w:val="en-US" w:eastAsia="zh-CN"/>
        </w:rPr>
        <w:t>件</w:t>
      </w:r>
      <w:r>
        <w:rPr>
          <w:rFonts w:hint="eastAsia" w:ascii="仿宋_GB2312" w:hAnsi="仿宋_GB2312" w:eastAsia="仿宋_GB2312" w:cs="仿宋_GB2312"/>
          <w:color w:val="auto"/>
          <w:sz w:val="24"/>
          <w:szCs w:val="24"/>
          <w:highlight w:val="none"/>
        </w:rPr>
        <w:t>）；</w:t>
      </w:r>
    </w:p>
    <w:p>
      <w:pPr>
        <w:pStyle w:val="7"/>
        <w:pageBreakBefore w:val="0"/>
        <w:shd w:val="clear" w:color="auto" w:fill="FFFFFF"/>
        <w:kinsoku/>
        <w:wordWrap/>
        <w:overflowPunct/>
        <w:topLinePunct w:val="0"/>
        <w:bidi w:val="0"/>
        <w:snapToGrid/>
        <w:spacing w:before="0" w:beforeAutospacing="0" w:after="0" w:afterAutospacing="0" w:line="520" w:lineRule="exact"/>
        <w:ind w:right="-198" w:rightChars="-90"/>
        <w:textAlignment w:val="auto"/>
        <w:rPr>
          <w:rFonts w:ascii="仿宋_GB2312" w:hAnsi="仿宋_GB2312" w:eastAsia="仿宋_GB2312" w:cs="仿宋_GB2312"/>
          <w:b/>
          <w:kern w:val="2"/>
          <w:szCs w:val="24"/>
          <w:highlight w:val="none"/>
        </w:rPr>
      </w:pPr>
      <w:r>
        <w:rPr>
          <w:rFonts w:hint="eastAsia" w:ascii="仿宋_GB2312" w:hAnsi="仿宋_GB2312" w:eastAsia="仿宋_GB2312" w:cs="仿宋_GB2312"/>
          <w:b/>
          <w:kern w:val="2"/>
          <w:szCs w:val="24"/>
          <w:highlight w:val="none"/>
        </w:rPr>
        <w:t>4.报名及采购文件的获取</w:t>
      </w:r>
    </w:p>
    <w:p>
      <w:pPr>
        <w:pageBreakBefore w:val="0"/>
        <w:kinsoku/>
        <w:wordWrap/>
        <w:overflowPunct/>
        <w:topLinePunct w:val="0"/>
        <w:bidi w:val="0"/>
        <w:snapToGrid/>
        <w:spacing w:after="0" w:afterAutospacing="0" w:line="520" w:lineRule="exact"/>
        <w:ind w:right="-57" w:rightChars="-26" w:firstLine="480" w:firstLineChars="200"/>
        <w:textAlignment w:val="auto"/>
        <w:rPr>
          <w:rFonts w:hint="eastAsia" w:ascii="仿宋_GB2312" w:hAnsi="仿宋_GB2312" w:eastAsia="仿宋_GB2312" w:cs="仿宋_GB2312"/>
          <w:sz w:val="24"/>
          <w:szCs w:val="24"/>
          <w:highlight w:val="none"/>
        </w:rPr>
      </w:pPr>
      <w:bookmarkStart w:id="6" w:name="_Toc495644245"/>
      <w:r>
        <w:rPr>
          <w:rFonts w:hint="eastAsia" w:ascii="仿宋_GB2312" w:hAnsi="仿宋_GB2312" w:eastAsia="仿宋_GB2312" w:cs="仿宋_GB2312"/>
          <w:sz w:val="24"/>
          <w:szCs w:val="24"/>
          <w:highlight w:val="none"/>
        </w:rPr>
        <w:t>凡第一次参与内蒙古电力公司的各类招标采购项目的供应商，在投标报名前需要在内蒙古电力物资管理信息系统--“内蒙古电力（集团）有限责任公司电子商务平台（http://wzglb.impc.com.cn:82）”，先进行供应商基本信息注册，然后在招标采购项目挂网公告所在的电子采购交易平台（内蒙古电力集团电子采购系统）办理中招互连扫码签章，前述工作完成后方可开始投标报名。</w:t>
      </w:r>
    </w:p>
    <w:p>
      <w:pPr>
        <w:pageBreakBefore w:val="0"/>
        <w:kinsoku/>
        <w:wordWrap/>
        <w:overflowPunct/>
        <w:topLinePunct w:val="0"/>
        <w:bidi w:val="0"/>
        <w:snapToGrid/>
        <w:spacing w:beforeAutospacing="0" w:after="0" w:afterAutospacing="0" w:line="520" w:lineRule="exact"/>
        <w:ind w:firstLine="482" w:firstLineChars="200"/>
        <w:textAlignment w:val="auto"/>
        <w:rPr>
          <w:rFonts w:ascii="仿宋_GB2312" w:hAnsi="仿宋_GB2312" w:eastAsia="仿宋_GB2312" w:cs="仿宋_GB2312"/>
          <w:b/>
          <w:bCs w:val="0"/>
          <w:sz w:val="24"/>
          <w:szCs w:val="24"/>
          <w:highlight w:val="none"/>
        </w:rPr>
      </w:pPr>
      <w:r>
        <w:rPr>
          <w:rFonts w:hint="eastAsia" w:ascii="仿宋_GB2312" w:hAnsi="仿宋_GB2312" w:eastAsia="仿宋_GB2312" w:cs="仿宋_GB2312"/>
          <w:b/>
          <w:bCs w:val="0"/>
          <w:sz w:val="24"/>
          <w:szCs w:val="24"/>
          <w:highlight w:val="none"/>
        </w:rPr>
        <w:t>4.1本项目实行在线报名、线上下载采购文件，采购文件不收取费用。</w:t>
      </w:r>
    </w:p>
    <w:p>
      <w:pPr>
        <w:pageBreakBefore w:val="0"/>
        <w:kinsoku/>
        <w:wordWrap/>
        <w:overflowPunct/>
        <w:topLinePunct w:val="0"/>
        <w:bidi w:val="0"/>
        <w:snapToGrid/>
        <w:spacing w:beforeAutospacing="0" w:after="0" w:afterAutospacing="0" w:line="520" w:lineRule="exact"/>
        <w:ind w:firstLine="480" w:firstLineChars="200"/>
        <w:textAlignment w:val="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凡有意参加供应商，请于2022年0</w:t>
      </w:r>
      <w:r>
        <w:rPr>
          <w:rFonts w:hint="eastAsia" w:ascii="仿宋_GB2312" w:hAnsi="仿宋_GB2312" w:eastAsia="仿宋_GB2312" w:cs="仿宋_GB2312"/>
          <w:bCs/>
          <w:sz w:val="24"/>
          <w:szCs w:val="24"/>
          <w:highlight w:val="none"/>
          <w:lang w:val="en-US" w:eastAsia="zh-CN"/>
        </w:rPr>
        <w:t>8</w:t>
      </w:r>
      <w:r>
        <w:rPr>
          <w:rFonts w:hint="eastAsia" w:ascii="仿宋_GB2312" w:hAnsi="仿宋_GB2312" w:eastAsia="仿宋_GB2312" w:cs="仿宋_GB2312"/>
          <w:bCs/>
          <w:sz w:val="24"/>
          <w:szCs w:val="24"/>
          <w:highlight w:val="none"/>
        </w:rPr>
        <w:t>月</w:t>
      </w:r>
      <w:r>
        <w:rPr>
          <w:rFonts w:hint="eastAsia" w:ascii="仿宋_GB2312" w:hAnsi="仿宋_GB2312" w:eastAsia="仿宋_GB2312" w:cs="仿宋_GB2312"/>
          <w:bCs/>
          <w:sz w:val="24"/>
          <w:szCs w:val="24"/>
          <w:highlight w:val="none"/>
          <w:lang w:val="en-US" w:eastAsia="zh-CN"/>
        </w:rPr>
        <w:t>05</w:t>
      </w:r>
      <w:r>
        <w:rPr>
          <w:rFonts w:hint="eastAsia" w:ascii="仿宋_GB2312" w:hAnsi="仿宋_GB2312" w:eastAsia="仿宋_GB2312" w:cs="仿宋_GB2312"/>
          <w:bCs/>
          <w:sz w:val="24"/>
          <w:szCs w:val="24"/>
          <w:highlight w:val="none"/>
        </w:rPr>
        <w:t>日至2022年0</w:t>
      </w:r>
      <w:r>
        <w:rPr>
          <w:rFonts w:hint="eastAsia" w:ascii="仿宋_GB2312" w:hAnsi="仿宋_GB2312" w:eastAsia="仿宋_GB2312" w:cs="仿宋_GB2312"/>
          <w:bCs/>
          <w:sz w:val="24"/>
          <w:szCs w:val="24"/>
          <w:highlight w:val="none"/>
          <w:lang w:val="en-US" w:eastAsia="zh-CN"/>
        </w:rPr>
        <w:t>8</w:t>
      </w:r>
      <w:r>
        <w:rPr>
          <w:rFonts w:hint="eastAsia" w:ascii="仿宋_GB2312" w:hAnsi="仿宋_GB2312" w:eastAsia="仿宋_GB2312" w:cs="仿宋_GB2312"/>
          <w:bCs/>
          <w:sz w:val="24"/>
          <w:szCs w:val="24"/>
          <w:highlight w:val="none"/>
        </w:rPr>
        <w:t>月</w:t>
      </w:r>
      <w:r>
        <w:rPr>
          <w:rFonts w:hint="eastAsia" w:ascii="仿宋_GB2312" w:hAnsi="仿宋_GB2312" w:eastAsia="仿宋_GB2312" w:cs="仿宋_GB2312"/>
          <w:bCs/>
          <w:sz w:val="24"/>
          <w:szCs w:val="24"/>
          <w:highlight w:val="none"/>
          <w:lang w:val="en-US" w:eastAsia="zh-CN"/>
        </w:rPr>
        <w:t>10</w:t>
      </w:r>
      <w:r>
        <w:rPr>
          <w:rFonts w:hint="eastAsia" w:ascii="仿宋_GB2312" w:hAnsi="仿宋_GB2312" w:eastAsia="仿宋_GB2312" w:cs="仿宋_GB2312"/>
          <w:bCs/>
          <w:sz w:val="24"/>
          <w:szCs w:val="24"/>
          <w:highlight w:val="none"/>
        </w:rPr>
        <w:t>日17:30，进入《内蒙古电力集团电子采购系统》（http://guocai-impc.cppchina.cn/）在线报名 ，逾期不予受理。</w:t>
      </w:r>
      <w:r>
        <w:rPr>
          <w:rFonts w:hint="eastAsia" w:ascii="仿宋_GB2312" w:hAnsi="仿宋_GB2312" w:eastAsia="仿宋_GB2312" w:cs="仿宋_GB2312"/>
          <w:bCs/>
          <w:sz w:val="24"/>
          <w:szCs w:val="24"/>
          <w:highlight w:val="none"/>
          <w:lang w:val="en-US" w:eastAsia="zh-CN"/>
        </w:rPr>
        <w:t>获取采购</w:t>
      </w:r>
      <w:r>
        <w:rPr>
          <w:rFonts w:hint="eastAsia" w:ascii="仿宋_GB2312" w:hAnsi="仿宋_GB2312" w:eastAsia="仿宋_GB2312" w:cs="仿宋_GB2312"/>
          <w:bCs/>
          <w:sz w:val="24"/>
          <w:szCs w:val="24"/>
          <w:highlight w:val="none"/>
        </w:rPr>
        <w:t>文件时间同投标投标截止时间，逾期不予受理</w:t>
      </w:r>
      <w:r>
        <w:rPr>
          <w:rFonts w:hint="eastAsia" w:ascii="仿宋_GB2312" w:hAnsi="仿宋_GB2312" w:eastAsia="仿宋_GB2312" w:cs="仿宋_GB2312"/>
          <w:bCs/>
          <w:sz w:val="24"/>
          <w:szCs w:val="24"/>
          <w:highlight w:val="none"/>
          <w:lang w:eastAsia="zh-CN"/>
        </w:rPr>
        <w:t>。</w:t>
      </w:r>
    </w:p>
    <w:p>
      <w:pPr>
        <w:pageBreakBefore w:val="0"/>
        <w:kinsoku/>
        <w:wordWrap/>
        <w:overflowPunct/>
        <w:topLinePunct w:val="0"/>
        <w:bidi w:val="0"/>
        <w:snapToGrid/>
        <w:spacing w:after="0" w:line="520" w:lineRule="exact"/>
        <w:ind w:firstLine="424" w:firstLineChars="177"/>
        <w:jc w:val="both"/>
        <w:textAlignment w:val="auto"/>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（1）具体流程为：登录平台→在报名管理界面查看最新招标项目→供应商提交报名资料，通过资格查验的供应商报名后通过“文件下载”界面下载采购文件，平台联系电话：400-9913-966，平台QQ服务群：696541095。</w:t>
      </w:r>
    </w:p>
    <w:p>
      <w:pPr>
        <w:pageBreakBefore w:val="0"/>
        <w:kinsoku/>
        <w:wordWrap/>
        <w:overflowPunct/>
        <w:topLinePunct w:val="0"/>
        <w:bidi w:val="0"/>
        <w:snapToGrid/>
        <w:spacing w:after="0" w:line="520" w:lineRule="exact"/>
        <w:ind w:firstLine="424" w:firstLineChars="177"/>
        <w:jc w:val="both"/>
        <w:textAlignment w:val="auto"/>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报名单位须凭【中招互连】APP办理项目后续电子投标事宜，之前未进行注册【中招互连】APP的企业需要下载【中招互连】APP，根据提示即可在线办理相关事宜，后续所有流程全部扫码登录，扫码签章，扫码加密，扫码解密。</w:t>
      </w:r>
    </w:p>
    <w:p>
      <w:pPr>
        <w:pageBreakBefore w:val="0"/>
        <w:kinsoku/>
        <w:wordWrap/>
        <w:overflowPunct/>
        <w:topLinePunct w:val="0"/>
        <w:bidi w:val="0"/>
        <w:snapToGrid/>
        <w:spacing w:after="0" w:line="520" w:lineRule="exact"/>
        <w:ind w:firstLine="424" w:firstLineChars="177"/>
        <w:jc w:val="both"/>
        <w:textAlignment w:val="auto"/>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注：1、之前使用实体CA的企业可以继续使用，CA证书到期后在进行注册【中招互连】APP。</w:t>
      </w:r>
    </w:p>
    <w:p>
      <w:pPr>
        <w:pageBreakBefore w:val="0"/>
        <w:numPr>
          <w:ilvl w:val="0"/>
          <w:numId w:val="1"/>
        </w:numPr>
        <w:kinsoku/>
        <w:wordWrap/>
        <w:overflowPunct/>
        <w:topLinePunct w:val="0"/>
        <w:bidi w:val="0"/>
        <w:snapToGrid/>
        <w:spacing w:after="0" w:line="520" w:lineRule="exact"/>
        <w:ind w:firstLine="424" w:firstLineChars="177"/>
        <w:jc w:val="both"/>
        <w:textAlignment w:val="auto"/>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目前处于CA、扫码交替阶段，投标人需要注意以下事项：</w:t>
      </w:r>
    </w:p>
    <w:p>
      <w:pPr>
        <w:pageBreakBefore w:val="0"/>
        <w:numPr>
          <w:ilvl w:val="0"/>
          <w:numId w:val="2"/>
        </w:numPr>
        <w:kinsoku/>
        <w:wordWrap/>
        <w:overflowPunct/>
        <w:topLinePunct w:val="0"/>
        <w:bidi w:val="0"/>
        <w:snapToGrid/>
        <w:spacing w:after="0" w:line="520" w:lineRule="exact"/>
        <w:ind w:left="0" w:leftChars="0" w:firstLine="439" w:firstLineChars="183"/>
        <w:jc w:val="both"/>
        <w:textAlignment w:val="auto"/>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避免使用CA加密，而使用扫码解密。反之同理。</w:t>
      </w:r>
    </w:p>
    <w:p>
      <w:pPr>
        <w:pageBreakBefore w:val="0"/>
        <w:numPr>
          <w:ilvl w:val="0"/>
          <w:numId w:val="2"/>
        </w:numPr>
        <w:kinsoku/>
        <w:wordWrap/>
        <w:overflowPunct/>
        <w:topLinePunct w:val="0"/>
        <w:bidi w:val="0"/>
        <w:snapToGrid/>
        <w:spacing w:after="0" w:line="520" w:lineRule="exact"/>
        <w:ind w:left="0" w:leftChars="0" w:firstLine="439" w:firstLineChars="183"/>
        <w:jc w:val="both"/>
        <w:textAlignment w:val="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扫码登录，扫码签章，扫码加密，扫码解密， 登录APP的手机号必须保持一致。</w:t>
      </w:r>
    </w:p>
    <w:p>
      <w:pPr>
        <w:pStyle w:val="7"/>
        <w:pageBreakBefore w:val="0"/>
        <w:shd w:val="clear" w:color="auto" w:fill="FFFFFF"/>
        <w:kinsoku/>
        <w:wordWrap/>
        <w:overflowPunct/>
        <w:topLinePunct w:val="0"/>
        <w:bidi w:val="0"/>
        <w:snapToGrid/>
        <w:spacing w:before="0" w:beforeAutospacing="0" w:after="0" w:afterAutospacing="0" w:line="520" w:lineRule="exact"/>
        <w:ind w:right="-198" w:rightChars="-90" w:firstLine="482" w:firstLineChars="200"/>
        <w:textAlignment w:val="auto"/>
        <w:rPr>
          <w:rFonts w:ascii="仿宋_GB2312" w:hAnsi="仿宋_GB2312" w:eastAsia="仿宋_GB2312" w:cs="仿宋_GB2312"/>
          <w:b/>
          <w:bCs/>
          <w:szCs w:val="24"/>
          <w:highlight w:val="none"/>
        </w:rPr>
      </w:pPr>
      <w:r>
        <w:rPr>
          <w:rFonts w:hint="eastAsia" w:ascii="仿宋_GB2312" w:hAnsi="仿宋_GB2312" w:eastAsia="仿宋_GB2312" w:cs="仿宋_GB2312"/>
          <w:b/>
          <w:bCs/>
          <w:szCs w:val="24"/>
          <w:highlight w:val="none"/>
        </w:rPr>
        <w:t>4.2投标报名资料</w:t>
      </w:r>
    </w:p>
    <w:bookmarkEnd w:id="6"/>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600" w:firstLineChars="250"/>
        <w:textAlignment w:val="auto"/>
        <w:rPr>
          <w:rFonts w:ascii="仿宋_GB2312" w:hAnsi="仿宋_GB2312" w:eastAsia="仿宋_GB2312" w:cs="仿宋_GB2312"/>
          <w:color w:val="auto"/>
          <w:kern w:val="2"/>
          <w:szCs w:val="24"/>
          <w:highlight w:val="none"/>
        </w:rPr>
      </w:pPr>
      <w:r>
        <w:rPr>
          <w:rFonts w:hint="eastAsia" w:ascii="仿宋_GB2312" w:hAnsi="仿宋_GB2312" w:eastAsia="仿宋_GB2312" w:cs="仿宋_GB2312"/>
          <w:color w:val="auto"/>
          <w:kern w:val="2"/>
          <w:szCs w:val="24"/>
          <w:highlight w:val="none"/>
        </w:rPr>
        <w:t>符合供应商资格要求的潜在供应商，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采购人有权拒绝），具体如下：</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ascii="仿宋_GB2312" w:eastAsia="仿宋_GB2312"/>
          <w:color w:val="auto"/>
          <w:szCs w:val="24"/>
          <w:highlight w:val="none"/>
        </w:rPr>
      </w:pPr>
      <w:r>
        <w:rPr>
          <w:rFonts w:hint="eastAsia" w:ascii="仿宋_GB2312" w:eastAsia="仿宋_GB2312"/>
          <w:color w:val="auto"/>
          <w:szCs w:val="24"/>
          <w:highlight w:val="none"/>
        </w:rPr>
        <w:t>（1）报名表（详见附件1）；</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ascii="仿宋_GB2312" w:eastAsia="仿宋_GB2312"/>
          <w:color w:val="auto"/>
          <w:szCs w:val="24"/>
          <w:highlight w:val="none"/>
        </w:rPr>
      </w:pPr>
      <w:r>
        <w:rPr>
          <w:rFonts w:hint="eastAsia" w:ascii="仿宋_GB2312" w:hAnsi="宋体" w:eastAsia="仿宋_GB2312" w:cs="宋体"/>
          <w:color w:val="auto"/>
          <w:szCs w:val="24"/>
          <w:highlight w:val="none"/>
        </w:rPr>
        <w:t>（2）法定代表人授权委托书(授权书中须明确采购项目名称、</w:t>
      </w:r>
      <w:r>
        <w:rPr>
          <w:rFonts w:hint="eastAsia" w:ascii="仿宋_GB2312" w:eastAsia="仿宋_GB2312"/>
          <w:color w:val="auto"/>
          <w:szCs w:val="24"/>
          <w:highlight w:val="none"/>
        </w:rPr>
        <w:t xml:space="preserve">标段名称、采购/标段编号及联系方式；详见附件2）； </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ascii="仿宋_GB2312" w:eastAsia="仿宋_GB2312"/>
          <w:color w:val="auto"/>
          <w:szCs w:val="24"/>
          <w:highlight w:val="none"/>
        </w:rPr>
      </w:pPr>
      <w:r>
        <w:rPr>
          <w:rFonts w:hint="eastAsia" w:ascii="仿宋_GB2312" w:eastAsia="仿宋_GB2312"/>
          <w:color w:val="auto"/>
          <w:szCs w:val="24"/>
          <w:highlight w:val="none"/>
        </w:rPr>
        <w:t>（3）统一社会信用代码证（企业营业执照）；</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ascii="仿宋_GB2312" w:eastAsia="仿宋_GB2312"/>
          <w:color w:val="auto"/>
          <w:szCs w:val="24"/>
          <w:highlight w:val="none"/>
        </w:rPr>
      </w:pPr>
      <w:r>
        <w:rPr>
          <w:rFonts w:hint="eastAsia" w:ascii="仿宋_GB2312" w:eastAsia="仿宋_GB2312"/>
          <w:color w:val="auto"/>
          <w:szCs w:val="24"/>
          <w:highlight w:val="none"/>
        </w:rPr>
        <w:t xml:space="preserve">（4） </w:t>
      </w:r>
      <w:r>
        <w:rPr>
          <w:rFonts w:hint="eastAsia" w:ascii="仿宋_GB2312" w:eastAsia="仿宋_GB2312"/>
          <w:color w:val="auto"/>
          <w:szCs w:val="24"/>
          <w:highlight w:val="none"/>
          <w:lang w:val="en-US" w:eastAsia="zh-CN"/>
        </w:rPr>
        <w:t>提供已开具的增值税专用发票</w:t>
      </w:r>
      <w:r>
        <w:rPr>
          <w:rFonts w:ascii="仿宋_GB2312" w:eastAsia="仿宋_GB2312"/>
          <w:color w:val="auto"/>
          <w:szCs w:val="24"/>
          <w:highlight w:val="none"/>
        </w:rPr>
        <w:t>；</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ascii="仿宋_GB2312" w:eastAsia="仿宋_GB2312"/>
          <w:color w:val="auto"/>
          <w:szCs w:val="24"/>
          <w:highlight w:val="none"/>
        </w:rPr>
      </w:pPr>
      <w:r>
        <w:rPr>
          <w:rFonts w:hint="eastAsia" w:ascii="仿宋_GB2312" w:eastAsia="仿宋_GB2312"/>
          <w:color w:val="auto"/>
          <w:szCs w:val="24"/>
          <w:highlight w:val="none"/>
        </w:rPr>
        <w:t>（5）“全国企业信用信息公示系统（</w:t>
      </w:r>
      <w:r>
        <w:rPr>
          <w:highlight w:val="none"/>
        </w:rPr>
        <w:fldChar w:fldCharType="begin"/>
      </w:r>
      <w:r>
        <w:rPr>
          <w:highlight w:val="none"/>
        </w:rPr>
        <w:instrText xml:space="preserve"> HYPERLINK "http://www.gsxt.gov.cn）" </w:instrText>
      </w:r>
      <w:r>
        <w:rPr>
          <w:highlight w:val="none"/>
        </w:rPr>
        <w:fldChar w:fldCharType="separate"/>
      </w:r>
      <w:r>
        <w:rPr>
          <w:rFonts w:hint="eastAsia" w:ascii="仿宋_GB2312" w:eastAsia="仿宋_GB2312"/>
          <w:color w:val="auto"/>
          <w:szCs w:val="24"/>
          <w:highlight w:val="none"/>
        </w:rPr>
        <w:t>www.gsxt.gov.cn）”中未被列入经营异</w:t>
      </w:r>
      <w:r>
        <w:rPr>
          <w:rFonts w:ascii="仿宋_GB2312" w:eastAsia="仿宋_GB2312"/>
          <w:color w:val="auto"/>
          <w:szCs w:val="24"/>
          <w:highlight w:val="none"/>
        </w:rPr>
        <w:fldChar w:fldCharType="end"/>
      </w:r>
      <w:r>
        <w:rPr>
          <w:rFonts w:hint="eastAsia" w:ascii="仿宋_GB2312" w:eastAsia="仿宋_GB2312"/>
          <w:color w:val="auto"/>
          <w:szCs w:val="24"/>
          <w:highlight w:val="none"/>
        </w:rPr>
        <w:t>严重违法失信企业名单的查询结果证明；</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left="-142" w:right="-198" w:rightChars="-90" w:firstLine="598"/>
        <w:textAlignment w:val="auto"/>
        <w:rPr>
          <w:rFonts w:ascii="仿宋_GB2312" w:eastAsia="仿宋_GB2312"/>
          <w:color w:val="auto"/>
          <w:szCs w:val="24"/>
          <w:highlight w:val="none"/>
        </w:rPr>
      </w:pPr>
      <w:r>
        <w:rPr>
          <w:rFonts w:hint="eastAsia" w:ascii="仿宋_GB2312" w:eastAsia="仿宋_GB2312"/>
          <w:color w:val="auto"/>
          <w:szCs w:val="24"/>
          <w:highlight w:val="none"/>
        </w:rPr>
        <w:t>（6）“信用中国网站（www.creditchina.gov.cn ）”查询显示未被列入失信被执行人名单的查询结果证明；</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left="-142" w:right="-198" w:rightChars="-90" w:firstLine="598"/>
        <w:textAlignment w:val="auto"/>
        <w:rPr>
          <w:rFonts w:ascii="仿宋_GB2312" w:eastAsia="仿宋_GB2312"/>
          <w:color w:val="auto"/>
          <w:szCs w:val="24"/>
          <w:highlight w:val="none"/>
        </w:rPr>
      </w:pPr>
      <w:r>
        <w:rPr>
          <w:rFonts w:hint="eastAsia" w:ascii="仿宋_GB2312" w:eastAsia="仿宋_GB2312"/>
          <w:color w:val="auto"/>
          <w:szCs w:val="24"/>
          <w:highlight w:val="none"/>
        </w:rPr>
        <w:t>（7）“中国裁判文书网（http://www.wenshu.court.gov.cn）”查询显示近</w:t>
      </w:r>
      <w:r>
        <w:rPr>
          <w:rFonts w:hint="eastAsia" w:ascii="仿宋_GB2312" w:eastAsia="仿宋_GB2312"/>
          <w:color w:val="auto"/>
          <w:szCs w:val="24"/>
          <w:highlight w:val="none"/>
          <w:lang w:eastAsia="zh-CN"/>
        </w:rPr>
        <w:t>三</w:t>
      </w:r>
      <w:r>
        <w:rPr>
          <w:rFonts w:hint="eastAsia" w:ascii="仿宋_GB2312" w:eastAsia="仿宋_GB2312"/>
          <w:color w:val="auto"/>
          <w:szCs w:val="24"/>
          <w:highlight w:val="none"/>
        </w:rPr>
        <w:t>年内</w:t>
      </w:r>
      <w:r>
        <w:rPr>
          <w:rFonts w:hint="eastAsia" w:ascii="仿宋_GB2312" w:eastAsia="仿宋_GB2312"/>
          <w:color w:val="auto"/>
          <w:szCs w:val="24"/>
          <w:highlight w:val="none"/>
          <w:lang w:val="en-US" w:eastAsia="zh-CN"/>
        </w:rPr>
        <w:t>供应商</w:t>
      </w:r>
      <w:r>
        <w:rPr>
          <w:rFonts w:hint="eastAsia" w:ascii="仿宋_GB2312" w:eastAsia="仿宋_GB2312"/>
          <w:color w:val="auto"/>
          <w:szCs w:val="24"/>
          <w:highlight w:val="none"/>
        </w:rPr>
        <w:t xml:space="preserve">无行贿犯罪行为记录的查询结果证明； </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left="-142" w:right="-198" w:rightChars="-90" w:firstLine="598"/>
        <w:textAlignment w:val="auto"/>
        <w:rPr>
          <w:rFonts w:ascii="仿宋_GB2312" w:hAnsi="仿宋_GB2312" w:eastAsia="仿宋_GB2312" w:cs="仿宋_GB2312"/>
          <w:color w:val="auto"/>
          <w:szCs w:val="24"/>
          <w:highlight w:val="none"/>
        </w:rPr>
      </w:pPr>
      <w:r>
        <w:rPr>
          <w:rFonts w:hint="eastAsia" w:ascii="仿宋_GB2312" w:hAnsi="仿宋_GB2312" w:eastAsia="仿宋_GB2312" w:cs="仿宋_GB2312"/>
          <w:color w:val="auto"/>
          <w:szCs w:val="24"/>
          <w:highlight w:val="none"/>
        </w:rPr>
        <w:t>（8）供应商“专用资格要求”的相应证明材料;</w:t>
      </w:r>
    </w:p>
    <w:p>
      <w:pPr>
        <w:keepNext w:val="0"/>
        <w:keepLines w:val="0"/>
        <w:pageBreakBefore w:val="0"/>
        <w:widowControl/>
        <w:kinsoku/>
        <w:wordWrap/>
        <w:overflowPunct/>
        <w:topLinePunct w:val="0"/>
        <w:autoSpaceDE/>
        <w:autoSpaceDN/>
        <w:bidi w:val="0"/>
        <w:adjustRightInd/>
        <w:snapToGrid/>
        <w:spacing w:after="0" w:afterAutospacing="0" w:line="520" w:lineRule="exact"/>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（9）企业名称如有变更，需提供有关行政机关出具的变更证明复印件;</w:t>
      </w:r>
    </w:p>
    <w:p>
      <w:pPr>
        <w:keepNext w:val="0"/>
        <w:keepLines w:val="0"/>
        <w:pageBreakBefore w:val="0"/>
        <w:widowControl/>
        <w:kinsoku/>
        <w:wordWrap/>
        <w:overflowPunct/>
        <w:topLinePunct w:val="0"/>
        <w:autoSpaceDE/>
        <w:autoSpaceDN/>
        <w:bidi w:val="0"/>
        <w:adjustRightInd/>
        <w:snapToGrid/>
        <w:spacing w:after="0" w:afterAutospacing="0" w:line="520" w:lineRule="exact"/>
        <w:ind w:firstLine="480" w:firstLineChars="200"/>
        <w:textAlignment w:val="auto"/>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(10)提供《投标真实性承诺书》</w:t>
      </w:r>
      <w:r>
        <w:rPr>
          <w:rFonts w:hint="eastAsia" w:ascii="仿宋_GB2312" w:hAnsi="仿宋_GB2312" w:eastAsia="仿宋_GB2312" w:cs="仿宋_GB2312"/>
          <w:color w:val="auto"/>
          <w:kern w:val="0"/>
          <w:sz w:val="24"/>
          <w:szCs w:val="24"/>
          <w:highlight w:val="none"/>
          <w:lang w:eastAsia="zh-CN"/>
        </w:rPr>
        <w:t>及《</w:t>
      </w:r>
      <w:r>
        <w:rPr>
          <w:rFonts w:hint="eastAsia" w:ascii="仿宋_GB2312" w:hAnsi="仿宋_GB2312" w:eastAsia="仿宋_GB2312" w:cs="仿宋_GB2312"/>
          <w:color w:val="auto"/>
          <w:kern w:val="0"/>
          <w:sz w:val="24"/>
          <w:szCs w:val="24"/>
          <w:highlight w:val="none"/>
          <w:lang w:val="en-US" w:eastAsia="zh-CN"/>
        </w:rPr>
        <w:t>开具增值税专用发票的承诺</w:t>
      </w:r>
      <w:r>
        <w:rPr>
          <w:rFonts w:hint="eastAsia" w:ascii="仿宋_GB2312" w:hAnsi="仿宋_GB2312" w:eastAsia="仿宋_GB2312" w:cs="仿宋_GB2312"/>
          <w:color w:val="auto"/>
          <w:kern w:val="0"/>
          <w:sz w:val="24"/>
          <w:szCs w:val="24"/>
          <w:highlight w:val="none"/>
          <w:lang w:eastAsia="zh-CN"/>
        </w:rPr>
        <w:t>》</w:t>
      </w:r>
      <w:r>
        <w:rPr>
          <w:rFonts w:hint="eastAsia" w:ascii="仿宋_GB2312" w:hAnsi="仿宋_GB2312" w:eastAsia="仿宋_GB2312" w:cs="仿宋_GB2312"/>
          <w:color w:val="auto"/>
          <w:kern w:val="0"/>
          <w:sz w:val="24"/>
          <w:szCs w:val="24"/>
          <w:highlight w:val="none"/>
        </w:rPr>
        <w:t>，详见附件。</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ascii="仿宋_GB2312" w:hAnsi="仿宋_GB2312" w:eastAsia="仿宋_GB2312" w:cs="仿宋_GB2312"/>
          <w:color w:val="auto"/>
          <w:szCs w:val="24"/>
          <w:highlight w:val="none"/>
        </w:rPr>
      </w:pPr>
      <w:r>
        <w:rPr>
          <w:rFonts w:hint="eastAsia" w:ascii="仿宋_GB2312" w:hAnsi="仿宋_GB2312" w:eastAsia="仿宋_GB2312" w:cs="仿宋_GB2312"/>
          <w:color w:val="auto"/>
          <w:szCs w:val="24"/>
          <w:highlight w:val="none"/>
        </w:rPr>
        <w:t>说明:报名资料如无法查真，由供应商提供有效查询路径。</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598"/>
        <w:textAlignment w:val="auto"/>
        <w:rPr>
          <w:rFonts w:ascii="仿宋_GB2312" w:hAnsi="仿宋_GB2312" w:eastAsia="仿宋_GB2312" w:cs="仿宋_GB2312"/>
          <w:color w:val="auto"/>
          <w:szCs w:val="24"/>
          <w:highlight w:val="none"/>
        </w:rPr>
      </w:pPr>
      <w:r>
        <w:rPr>
          <w:rFonts w:hint="eastAsia" w:ascii="仿宋_GB2312" w:hAnsi="仿宋_GB2312" w:eastAsia="仿宋_GB2312" w:cs="仿宋_GB2312"/>
          <w:color w:val="auto"/>
          <w:szCs w:val="24"/>
          <w:highlight w:val="none"/>
        </w:rPr>
        <w:t>在投标报名阶段，对供应商资质、业绩等投标资格进行严格的真实性核查;经核实存在资格证明材料造假或信息不实的，采购人将按照公司&lt;物资供应商不良行为管理办法》的规定进行处罚。</w:t>
      </w:r>
    </w:p>
    <w:p>
      <w:pPr>
        <w:pageBreakBefore w:val="0"/>
        <w:kinsoku/>
        <w:wordWrap/>
        <w:overflowPunct/>
        <w:topLinePunct w:val="0"/>
        <w:bidi w:val="0"/>
        <w:snapToGrid/>
        <w:spacing w:after="0" w:afterAutospacing="0" w:line="520" w:lineRule="exact"/>
        <w:ind w:firstLine="480" w:firstLineChars="200"/>
        <w:textAlignment w:val="auto"/>
        <w:rPr>
          <w:rFonts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(11)以上所提供的资料，按标段制作、上传报名文件。</w:t>
      </w:r>
      <w:r>
        <w:rPr>
          <w:rFonts w:hint="eastAsia" w:ascii="仿宋_GB2312" w:hAnsi="仿宋_GB2312" w:eastAsia="仿宋_GB2312" w:cs="仿宋_GB2312"/>
          <w:b/>
          <w:szCs w:val="24"/>
          <w:highlight w:val="none"/>
        </w:rPr>
        <w:t xml:space="preserve"> </w:t>
      </w:r>
      <w:r>
        <w:rPr>
          <w:rFonts w:hint="eastAsia" w:ascii="仿宋_GB2312" w:hAnsi="仿宋_GB2312" w:eastAsia="仿宋_GB2312" w:cs="仿宋_GB2312"/>
          <w:b/>
          <w:color w:val="auto"/>
          <w:szCs w:val="24"/>
          <w:highlight w:val="none"/>
        </w:rPr>
        <w:t xml:space="preserve">  </w:t>
      </w:r>
      <w:r>
        <w:rPr>
          <w:rFonts w:hint="eastAsia" w:ascii="仿宋_GB2312" w:hAnsi="仿宋_GB2312" w:eastAsia="仿宋_GB2312" w:cs="仿宋_GB2312"/>
          <w:b/>
          <w:szCs w:val="24"/>
          <w:highlight w:val="none"/>
        </w:rPr>
        <w:t xml:space="preserve">                                                                                                                                                                                                                                                                                                                                                                     </w:t>
      </w:r>
    </w:p>
    <w:p>
      <w:pPr>
        <w:pStyle w:val="7"/>
        <w:pageBreakBefore w:val="0"/>
        <w:shd w:val="clear" w:color="auto" w:fill="FFFFFF"/>
        <w:kinsoku/>
        <w:wordWrap/>
        <w:overflowPunct/>
        <w:topLinePunct w:val="0"/>
        <w:bidi w:val="0"/>
        <w:snapToGrid/>
        <w:spacing w:before="0" w:beforeAutospacing="0" w:after="0" w:afterAutospacing="0" w:line="520" w:lineRule="exact"/>
        <w:ind w:right="-198" w:rightChars="-90" w:firstLine="482" w:firstLineChars="200"/>
        <w:textAlignment w:val="auto"/>
        <w:rPr>
          <w:rFonts w:ascii="仿宋_GB2312" w:hAnsi="仿宋_GB2312" w:eastAsia="仿宋_GB2312" w:cs="仿宋_GB2312"/>
          <w:b/>
          <w:szCs w:val="24"/>
          <w:highlight w:val="none"/>
        </w:rPr>
      </w:pPr>
      <w:r>
        <w:rPr>
          <w:rFonts w:hint="eastAsia" w:ascii="仿宋_GB2312" w:hAnsi="仿宋_GB2312" w:eastAsia="仿宋_GB2312" w:cs="仿宋_GB2312"/>
          <w:b/>
          <w:szCs w:val="24"/>
          <w:highlight w:val="none"/>
        </w:rPr>
        <w:t>注：A、上述要求是对供应商的基本要求，如按照行业及相关部门另有规定的遵循其规定，供应商应提供相应的证明或资信材料；</w:t>
      </w:r>
    </w:p>
    <w:p>
      <w:pPr>
        <w:pageBreakBefore w:val="0"/>
        <w:widowControl w:val="0"/>
        <w:numPr>
          <w:ilvl w:val="0"/>
          <w:numId w:val="3"/>
        </w:numPr>
        <w:kinsoku/>
        <w:wordWrap/>
        <w:overflowPunct/>
        <w:topLinePunct w:val="0"/>
        <w:autoSpaceDE w:val="0"/>
        <w:autoSpaceDN w:val="0"/>
        <w:bidi w:val="0"/>
        <w:adjustRightInd w:val="0"/>
        <w:snapToGrid/>
        <w:spacing w:after="0" w:line="520" w:lineRule="exact"/>
        <w:ind w:right="-198" w:rightChars="-90" w:firstLine="482" w:firstLineChars="200"/>
        <w:jc w:val="both"/>
        <w:textAlignment w:val="auto"/>
        <w:rPr>
          <w:rFonts w:ascii="仿宋_GB2312" w:hAnsi="仿宋_GB2312" w:eastAsia="仿宋_GB2312" w:cs="仿宋_GB2312"/>
          <w:b/>
          <w:sz w:val="24"/>
          <w:szCs w:val="24"/>
          <w:highlight w:val="none"/>
        </w:rPr>
      </w:pPr>
      <w:r>
        <w:rPr>
          <w:rFonts w:hint="eastAsia" w:ascii="仿宋_GB2312" w:hAnsi="仿宋_GB2312" w:eastAsia="仿宋_GB2312" w:cs="仿宋_GB2312"/>
          <w:b/>
          <w:kern w:val="0"/>
          <w:sz w:val="24"/>
          <w:szCs w:val="24"/>
          <w:highlight w:val="none"/>
        </w:rPr>
        <w:t>如发现存在虚假资料，采购人取消其投标/中标资格，由此造成的后果由投标/中标人自负，并承担相应的法律责任;</w:t>
      </w:r>
      <w:r>
        <w:rPr>
          <w:rFonts w:hint="eastAsia" w:ascii="仿宋_GB2312" w:hAnsi="宋体" w:eastAsia="仿宋_GB2312" w:cs="宋体"/>
          <w:sz w:val="24"/>
          <w:szCs w:val="24"/>
          <w:highlight w:val="none"/>
        </w:rPr>
        <w:t> </w:t>
      </w:r>
      <w:r>
        <w:rPr>
          <w:rFonts w:hint="eastAsia" w:ascii="仿宋_GB2312" w:hAnsi="仿宋_GB2312" w:eastAsia="仿宋_GB2312" w:cs="仿宋_GB2312"/>
          <w:sz w:val="24"/>
          <w:szCs w:val="24"/>
          <w:highlight w:val="none"/>
        </w:rPr>
        <w:t xml:space="preserve"> </w:t>
      </w:r>
    </w:p>
    <w:p>
      <w:pPr>
        <w:pageBreakBefore w:val="0"/>
        <w:widowControl w:val="0"/>
        <w:numPr>
          <w:ilvl w:val="0"/>
          <w:numId w:val="3"/>
        </w:numPr>
        <w:kinsoku/>
        <w:wordWrap/>
        <w:overflowPunct/>
        <w:topLinePunct w:val="0"/>
        <w:autoSpaceDE w:val="0"/>
        <w:autoSpaceDN w:val="0"/>
        <w:bidi w:val="0"/>
        <w:adjustRightInd w:val="0"/>
        <w:snapToGrid/>
        <w:spacing w:after="0" w:line="520" w:lineRule="exact"/>
        <w:ind w:right="-198" w:rightChars="-90" w:firstLine="482" w:firstLineChars="200"/>
        <w:jc w:val="both"/>
        <w:textAlignment w:val="auto"/>
        <w:rPr>
          <w:rFonts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kern w:val="0"/>
          <w:sz w:val="24"/>
          <w:szCs w:val="24"/>
          <w:highlight w:val="none"/>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pPr>
        <w:pageBreakBefore w:val="0"/>
        <w:widowControl w:val="0"/>
        <w:numPr>
          <w:ilvl w:val="0"/>
          <w:numId w:val="3"/>
        </w:numPr>
        <w:kinsoku/>
        <w:wordWrap/>
        <w:overflowPunct/>
        <w:topLinePunct w:val="0"/>
        <w:autoSpaceDE w:val="0"/>
        <w:autoSpaceDN w:val="0"/>
        <w:bidi w:val="0"/>
        <w:adjustRightInd w:val="0"/>
        <w:snapToGrid/>
        <w:spacing w:after="0" w:line="520" w:lineRule="exact"/>
        <w:ind w:right="-198" w:rightChars="-90" w:firstLine="482" w:firstLineChars="200"/>
        <w:jc w:val="both"/>
        <w:textAlignment w:val="auto"/>
        <w:rPr>
          <w:rFonts w:ascii="仿宋_GB2312" w:hAnsi="仿宋_GB2312" w:eastAsia="仿宋_GB2312" w:cs="仿宋_GB2312"/>
          <w:b/>
          <w:kern w:val="0"/>
          <w:sz w:val="24"/>
          <w:szCs w:val="24"/>
          <w:highlight w:val="none"/>
        </w:rPr>
      </w:pPr>
      <w:r>
        <w:rPr>
          <w:rFonts w:hint="eastAsia" w:ascii="仿宋_GB2312" w:hAnsi="仿宋_GB2312" w:eastAsia="仿宋_GB2312" w:cs="仿宋_GB2312"/>
          <w:b/>
          <w:kern w:val="0"/>
          <w:sz w:val="24"/>
          <w:szCs w:val="24"/>
          <w:highlight w:val="none"/>
        </w:rPr>
        <w:t>为提高报名工作效率，投多个标段的请供应商按标段分别对应上传相应报名资料，严禁上传与本标段无关资料，否则，采购人有权拒绝。</w:t>
      </w:r>
    </w:p>
    <w:p>
      <w:pPr>
        <w:pStyle w:val="2"/>
        <w:pageBreakBefore w:val="0"/>
        <w:numPr>
          <w:ilvl w:val="0"/>
          <w:numId w:val="3"/>
        </w:numPr>
        <w:kinsoku/>
        <w:wordWrap/>
        <w:overflowPunct/>
        <w:topLinePunct w:val="0"/>
        <w:bidi w:val="0"/>
        <w:snapToGrid/>
        <w:spacing w:after="0" w:line="520" w:lineRule="exact"/>
        <w:ind w:right="-198" w:rightChars="-90" w:firstLine="482" w:firstLineChars="0"/>
        <w:textAlignment w:val="auto"/>
        <w:rPr>
          <w:rFonts w:ascii="仿宋_GB2312" w:hAnsi="仿宋_GB2312" w:eastAsia="仿宋_GB2312" w:cs="仿宋_GB2312"/>
          <w:b/>
          <w:kern w:val="0"/>
          <w:sz w:val="24"/>
          <w:szCs w:val="24"/>
          <w:highlight w:val="none"/>
        </w:rPr>
      </w:pPr>
      <w:r>
        <w:rPr>
          <w:rFonts w:hint="eastAsia" w:ascii="仿宋_GB2312" w:hAnsi="仿宋_GB2312" w:eastAsia="仿宋_GB2312" w:cs="仿宋_GB2312"/>
          <w:b/>
          <w:kern w:val="0"/>
          <w:sz w:val="24"/>
          <w:szCs w:val="24"/>
          <w:highlight w:val="none"/>
        </w:rPr>
        <w:t>供应商上传的报名资料中，合同可以只附关键页，关键页是指能体现供应商名称、检验产品名称、结论、签订合同时间、签订金额等即可。</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sz w:val="24"/>
          <w:szCs w:val="24"/>
          <w:highlight w:val="none"/>
        </w:rPr>
      </w:pPr>
      <w:bookmarkStart w:id="7" w:name="_Toc11424"/>
      <w:bookmarkStart w:id="8" w:name="_Toc495645074"/>
      <w:r>
        <w:rPr>
          <w:rFonts w:hint="eastAsia" w:ascii="仿宋_GB2312" w:hAnsi="仿宋_GB2312" w:eastAsia="仿宋_GB2312" w:cs="仿宋_GB2312"/>
          <w:b/>
          <w:sz w:val="24"/>
          <w:szCs w:val="24"/>
          <w:highlight w:val="none"/>
        </w:rPr>
        <w:t>5. 响应文件的递交</w:t>
      </w:r>
      <w:bookmarkEnd w:id="7"/>
      <w:bookmarkEnd w:id="8"/>
      <w:r>
        <w:rPr>
          <w:rFonts w:hint="eastAsia" w:ascii="仿宋_GB2312" w:hAnsi="仿宋_GB2312" w:eastAsia="仿宋_GB2312" w:cs="仿宋_GB2312"/>
          <w:b/>
          <w:sz w:val="24"/>
          <w:szCs w:val="24"/>
          <w:highlight w:val="none"/>
        </w:rPr>
        <w:t xml:space="preserve"> </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bookmarkStart w:id="9" w:name="_Toc21201"/>
      <w:r>
        <w:rPr>
          <w:rFonts w:hint="eastAsia" w:ascii="仿宋_GB2312" w:hAnsi="仿宋_GB2312" w:eastAsia="仿宋_GB2312" w:cs="仿宋_GB2312"/>
          <w:sz w:val="24"/>
          <w:szCs w:val="24"/>
          <w:highlight w:val="none"/>
        </w:rPr>
        <w:t>5.1本项目属于电子标，响应文件采用网上递交方式，</w:t>
      </w:r>
      <w:r>
        <w:rPr>
          <w:rFonts w:ascii="仿宋_GB2312" w:hAnsi="仿宋_GB2312" w:eastAsia="仿宋_GB2312" w:cs="仿宋_GB2312"/>
          <w:sz w:val="24"/>
          <w:szCs w:val="24"/>
          <w:highlight w:val="none"/>
        </w:rPr>
        <w:t>电子响应文件请于投标截止时间之前上传到“</w:t>
      </w:r>
      <w:r>
        <w:rPr>
          <w:rFonts w:hint="eastAsia" w:ascii="仿宋_GB2312" w:hAnsi="仿宋_GB2312" w:eastAsia="仿宋_GB2312" w:cs="仿宋_GB2312"/>
          <w:sz w:val="24"/>
          <w:szCs w:val="24"/>
          <w:highlight w:val="none"/>
        </w:rPr>
        <w:t>内蒙古电力集团电子采购系统</w:t>
      </w:r>
      <w:r>
        <w:rPr>
          <w:rFonts w:ascii="仿宋_GB2312" w:hAnsi="仿宋_GB2312" w:eastAsia="仿宋_GB2312" w:cs="仿宋_GB2312"/>
          <w:sz w:val="24"/>
          <w:szCs w:val="24"/>
          <w:highlight w:val="none"/>
        </w:rPr>
        <w:t>”，投标截止时间后上传的响应文件恕不接收。</w:t>
      </w:r>
    </w:p>
    <w:p>
      <w:pPr>
        <w:keepLines w:val="0"/>
        <w:pageBreakBefore w:val="0"/>
        <w:widowControl/>
        <w:kinsoku/>
        <w:wordWrap/>
        <w:overflowPunct/>
        <w:topLinePunct w:val="0"/>
        <w:autoSpaceDE/>
        <w:autoSpaceDN/>
        <w:bidi w:val="0"/>
        <w:adjustRightInd/>
        <w:snapToGrid/>
        <w:spacing w:after="0" w:line="520" w:lineRule="exact"/>
        <w:ind w:right="-198" w:rightChars="-90" w:firstLine="480" w:firstLineChars="200"/>
        <w:textAlignment w:val="auto"/>
      </w:pPr>
      <w:r>
        <w:rPr>
          <w:rFonts w:hint="eastAsia" w:ascii="仿宋_GB2312" w:hAnsi="仿宋_GB2312" w:eastAsia="仿宋_GB2312" w:cs="仿宋_GB2312"/>
          <w:sz w:val="24"/>
          <w:szCs w:val="24"/>
          <w:highlight w:val="none"/>
        </w:rPr>
        <w:t>5.2供应商对网上递交的响应性文件应加密。投标时使用数字证书（CA）或登录【中招互连】APP对响应性文件进行加密。如果供应商使用某个数字证书（CA）或登录【中招互连】APP对响应性文件进行了数字证书（CA）或登录【中招互连】APP加密，需要在开标会上使用该数字证书（CA）或登录【中招互连】APP进行解密，才能读取或导入响应性文件。</w:t>
      </w:r>
    </w:p>
    <w:p>
      <w:pPr>
        <w:keepLines w:val="0"/>
        <w:pageBreakBefore w:val="0"/>
        <w:widowControl/>
        <w:kinsoku/>
        <w:wordWrap/>
        <w:overflowPunct/>
        <w:topLinePunct w:val="0"/>
        <w:autoSpaceDE/>
        <w:autoSpaceDN/>
        <w:bidi w:val="0"/>
        <w:adjustRightInd/>
        <w:snapToGrid/>
        <w:spacing w:after="0" w:line="520" w:lineRule="exact"/>
        <w:ind w:right="-198" w:rightChars="-90" w:firstLine="482" w:firstLineChars="200"/>
        <w:textAlignment w:val="auto"/>
        <w:rPr>
          <w:rFonts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6.资格审查：</w:t>
      </w:r>
      <w:bookmarkEnd w:id="9"/>
    </w:p>
    <w:p>
      <w:pPr>
        <w:keepNext w:val="0"/>
        <w:keepLines w:val="0"/>
        <w:pageBreakBefore w:val="0"/>
        <w:widowControl/>
        <w:kinsoku/>
        <w:wordWrap/>
        <w:overflowPunct/>
        <w:topLinePunct w:val="0"/>
        <w:autoSpaceDE/>
        <w:autoSpaceDN/>
        <w:bidi w:val="0"/>
        <w:adjustRightInd/>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本次采购采取资格后审方式，开标后由评标委员会统一进行资格审查，详见采购文件。资格审查时，供应商提供的资料不全或不合格的，均不能通过资格后审，其响应文件将被否决。</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b/>
          <w:sz w:val="24"/>
          <w:szCs w:val="24"/>
          <w:highlight w:val="none"/>
        </w:rPr>
      </w:pPr>
      <w:bookmarkStart w:id="10" w:name="_Toc4184"/>
      <w:r>
        <w:rPr>
          <w:rFonts w:hint="eastAsia" w:ascii="仿宋_GB2312" w:hAnsi="仿宋_GB2312" w:eastAsia="仿宋_GB2312" w:cs="仿宋_GB2312"/>
          <w:b/>
          <w:sz w:val="24"/>
          <w:szCs w:val="24"/>
          <w:highlight w:val="none"/>
        </w:rPr>
        <w:t>7.截标及开标时间：</w:t>
      </w:r>
      <w:bookmarkEnd w:id="10"/>
    </w:p>
    <w:p>
      <w:pPr>
        <w:pageBreakBefore w:val="0"/>
        <w:tabs>
          <w:tab w:val="left" w:pos="2625"/>
        </w:tabs>
        <w:kinsoku/>
        <w:wordWrap/>
        <w:overflowPunct/>
        <w:topLinePunct w:val="0"/>
        <w:bidi w:val="0"/>
        <w:snapToGrid/>
        <w:spacing w:after="0" w:afterAutospacing="0" w:line="520" w:lineRule="exact"/>
        <w:ind w:firstLine="480" w:firstLineChars="200"/>
        <w:textAlignment w:val="auto"/>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响应文件上传时间：2022年0</w:t>
      </w:r>
      <w:r>
        <w:rPr>
          <w:rFonts w:hint="eastAsia" w:ascii="仿宋_GB2312" w:hAnsi="宋体" w:eastAsia="仿宋_GB2312" w:cs="宋体"/>
          <w:color w:val="auto"/>
          <w:kern w:val="0"/>
          <w:sz w:val="24"/>
          <w:szCs w:val="24"/>
          <w:highlight w:val="none"/>
          <w:lang w:val="en-US" w:eastAsia="zh-CN"/>
        </w:rPr>
        <w:t>8</w:t>
      </w:r>
      <w:r>
        <w:rPr>
          <w:rFonts w:hint="eastAsia" w:ascii="仿宋_GB2312" w:hAnsi="宋体" w:eastAsia="仿宋_GB2312" w:cs="宋体"/>
          <w:color w:val="auto"/>
          <w:kern w:val="0"/>
          <w:sz w:val="24"/>
          <w:szCs w:val="24"/>
          <w:highlight w:val="none"/>
        </w:rPr>
        <w:t>月</w:t>
      </w:r>
      <w:r>
        <w:rPr>
          <w:rFonts w:hint="eastAsia" w:ascii="仿宋_GB2312" w:hAnsi="宋体" w:eastAsia="仿宋_GB2312" w:cs="宋体"/>
          <w:color w:val="auto"/>
          <w:kern w:val="0"/>
          <w:sz w:val="24"/>
          <w:szCs w:val="24"/>
          <w:highlight w:val="none"/>
          <w:lang w:val="en-US" w:eastAsia="zh-CN"/>
        </w:rPr>
        <w:t>05</w:t>
      </w:r>
      <w:r>
        <w:rPr>
          <w:rFonts w:hint="eastAsia" w:ascii="仿宋_GB2312" w:hAnsi="宋体" w:eastAsia="仿宋_GB2312" w:cs="宋体"/>
          <w:color w:val="auto"/>
          <w:kern w:val="0"/>
          <w:sz w:val="24"/>
          <w:szCs w:val="24"/>
          <w:highlight w:val="none"/>
        </w:rPr>
        <w:t>日～2022年0</w:t>
      </w:r>
      <w:r>
        <w:rPr>
          <w:rFonts w:hint="eastAsia" w:ascii="仿宋_GB2312" w:hAnsi="宋体" w:eastAsia="仿宋_GB2312" w:cs="宋体"/>
          <w:color w:val="auto"/>
          <w:kern w:val="0"/>
          <w:sz w:val="24"/>
          <w:szCs w:val="24"/>
          <w:highlight w:val="none"/>
          <w:lang w:val="en-US" w:eastAsia="zh-CN"/>
        </w:rPr>
        <w:t>8</w:t>
      </w:r>
      <w:r>
        <w:rPr>
          <w:rFonts w:hint="eastAsia" w:ascii="仿宋_GB2312" w:hAnsi="宋体" w:eastAsia="仿宋_GB2312" w:cs="宋体"/>
          <w:color w:val="auto"/>
          <w:kern w:val="0"/>
          <w:sz w:val="24"/>
          <w:szCs w:val="24"/>
          <w:highlight w:val="none"/>
        </w:rPr>
        <w:t>月</w:t>
      </w:r>
      <w:r>
        <w:rPr>
          <w:rFonts w:hint="eastAsia" w:ascii="仿宋_GB2312" w:hAnsi="宋体" w:eastAsia="仿宋_GB2312" w:cs="宋体"/>
          <w:color w:val="auto"/>
          <w:kern w:val="0"/>
          <w:sz w:val="24"/>
          <w:szCs w:val="24"/>
          <w:highlight w:val="none"/>
          <w:lang w:val="en-US" w:eastAsia="zh-CN"/>
        </w:rPr>
        <w:t>16</w:t>
      </w:r>
      <w:r>
        <w:rPr>
          <w:rFonts w:hint="eastAsia" w:ascii="仿宋_GB2312" w:hAnsi="宋体" w:eastAsia="仿宋_GB2312" w:cs="宋体"/>
          <w:color w:val="auto"/>
          <w:kern w:val="0"/>
          <w:sz w:val="24"/>
          <w:szCs w:val="24"/>
          <w:highlight w:val="none"/>
        </w:rPr>
        <w:t>日</w:t>
      </w:r>
      <w:r>
        <w:rPr>
          <w:rFonts w:hint="eastAsia" w:ascii="仿宋_GB2312" w:hAnsi="宋体" w:eastAsia="仿宋_GB2312" w:cs="宋体"/>
          <w:color w:val="auto"/>
          <w:kern w:val="0"/>
          <w:sz w:val="24"/>
          <w:szCs w:val="24"/>
          <w:highlight w:val="none"/>
          <w:lang w:val="en-US" w:eastAsia="zh-CN"/>
        </w:rPr>
        <w:t>9</w:t>
      </w:r>
      <w:r>
        <w:rPr>
          <w:rFonts w:hint="eastAsia" w:ascii="仿宋_GB2312" w:hAnsi="宋体" w:eastAsia="仿宋_GB2312" w:cs="宋体"/>
          <w:color w:val="auto"/>
          <w:kern w:val="0"/>
          <w:sz w:val="24"/>
          <w:szCs w:val="24"/>
          <w:highlight w:val="none"/>
        </w:rPr>
        <w:t>:00</w:t>
      </w:r>
    </w:p>
    <w:p>
      <w:pPr>
        <w:pageBreakBefore w:val="0"/>
        <w:tabs>
          <w:tab w:val="left" w:pos="2625"/>
        </w:tabs>
        <w:kinsoku/>
        <w:wordWrap/>
        <w:overflowPunct/>
        <w:topLinePunct w:val="0"/>
        <w:bidi w:val="0"/>
        <w:snapToGrid/>
        <w:spacing w:beforeAutospacing="0" w:after="0" w:afterAutospacing="0" w:line="520" w:lineRule="exact"/>
        <w:ind w:firstLine="480" w:firstLineChars="200"/>
        <w:textAlignment w:val="auto"/>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竞标截止时间：：2022年0</w:t>
      </w:r>
      <w:r>
        <w:rPr>
          <w:rFonts w:hint="eastAsia" w:ascii="仿宋_GB2312" w:hAnsi="宋体" w:eastAsia="仿宋_GB2312" w:cs="宋体"/>
          <w:color w:val="auto"/>
          <w:kern w:val="0"/>
          <w:sz w:val="24"/>
          <w:szCs w:val="24"/>
          <w:highlight w:val="none"/>
          <w:lang w:val="en-US" w:eastAsia="zh-CN"/>
        </w:rPr>
        <w:t>8</w:t>
      </w:r>
      <w:r>
        <w:rPr>
          <w:rFonts w:hint="eastAsia" w:ascii="仿宋_GB2312" w:hAnsi="宋体" w:eastAsia="仿宋_GB2312" w:cs="宋体"/>
          <w:color w:val="auto"/>
          <w:kern w:val="0"/>
          <w:sz w:val="24"/>
          <w:szCs w:val="24"/>
          <w:highlight w:val="none"/>
        </w:rPr>
        <w:t>月</w:t>
      </w:r>
      <w:r>
        <w:rPr>
          <w:rFonts w:hint="eastAsia" w:ascii="仿宋_GB2312" w:hAnsi="宋体" w:eastAsia="仿宋_GB2312" w:cs="宋体"/>
          <w:color w:val="auto"/>
          <w:kern w:val="0"/>
          <w:sz w:val="24"/>
          <w:szCs w:val="24"/>
          <w:highlight w:val="none"/>
          <w:lang w:val="en-US" w:eastAsia="zh-CN"/>
        </w:rPr>
        <w:t>16</w:t>
      </w:r>
      <w:r>
        <w:rPr>
          <w:rFonts w:hint="eastAsia" w:ascii="仿宋_GB2312" w:hAnsi="宋体" w:eastAsia="仿宋_GB2312" w:cs="宋体"/>
          <w:color w:val="auto"/>
          <w:kern w:val="0"/>
          <w:sz w:val="24"/>
          <w:szCs w:val="24"/>
          <w:highlight w:val="none"/>
        </w:rPr>
        <w:t>日</w:t>
      </w:r>
      <w:r>
        <w:rPr>
          <w:rFonts w:hint="eastAsia" w:ascii="仿宋_GB2312" w:hAnsi="宋体" w:eastAsia="仿宋_GB2312" w:cs="宋体"/>
          <w:color w:val="auto"/>
          <w:kern w:val="0"/>
          <w:sz w:val="24"/>
          <w:szCs w:val="24"/>
          <w:highlight w:val="none"/>
          <w:lang w:val="en-US" w:eastAsia="zh-CN"/>
        </w:rPr>
        <w:t>9</w:t>
      </w:r>
      <w:r>
        <w:rPr>
          <w:rFonts w:hint="eastAsia" w:ascii="仿宋_GB2312" w:hAnsi="宋体" w:eastAsia="仿宋_GB2312" w:cs="宋体"/>
          <w:color w:val="auto"/>
          <w:kern w:val="0"/>
          <w:sz w:val="24"/>
          <w:szCs w:val="24"/>
          <w:highlight w:val="none"/>
        </w:rPr>
        <w:t>:00</w:t>
      </w:r>
    </w:p>
    <w:p>
      <w:pPr>
        <w:pageBreakBefore w:val="0"/>
        <w:kinsoku/>
        <w:wordWrap/>
        <w:overflowPunct/>
        <w:topLinePunct w:val="0"/>
        <w:bidi w:val="0"/>
        <w:snapToGrid/>
        <w:spacing w:beforeAutospacing="0" w:after="0" w:line="520" w:lineRule="exact"/>
        <w:ind w:right="-198" w:rightChars="-90" w:firstLine="480" w:firstLineChars="200"/>
        <w:textAlignment w:val="auto"/>
        <w:rPr>
          <w:rFonts w:ascii="仿宋_GB2312" w:hAnsi="仿宋_GB2312" w:eastAsia="仿宋_GB2312" w:cs="仿宋_GB2312"/>
          <w:color w:val="auto"/>
          <w:sz w:val="24"/>
          <w:szCs w:val="24"/>
          <w:highlight w:val="none"/>
        </w:rPr>
      </w:pPr>
      <w:bookmarkStart w:id="11" w:name="_Toc8804"/>
      <w:r>
        <w:rPr>
          <w:rFonts w:hint="eastAsia" w:ascii="仿宋_GB2312" w:hAnsi="仿宋_GB2312" w:eastAsia="仿宋_GB2312" w:cs="仿宋_GB2312"/>
          <w:color w:val="auto"/>
          <w:sz w:val="24"/>
          <w:szCs w:val="24"/>
          <w:highlight w:val="none"/>
        </w:rPr>
        <w:t>商务技术经济标开标时间：2022年0</w:t>
      </w:r>
      <w:r>
        <w:rPr>
          <w:rFonts w:hint="eastAsia" w:ascii="仿宋_GB2312" w:hAnsi="仿宋_GB2312" w:eastAsia="仿宋_GB2312" w:cs="仿宋_GB2312"/>
          <w:color w:val="auto"/>
          <w:sz w:val="24"/>
          <w:szCs w:val="24"/>
          <w:highlight w:val="none"/>
          <w:lang w:val="en-US" w:eastAsia="zh-CN"/>
        </w:rPr>
        <w:t>8</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lang w:val="en-US" w:eastAsia="zh-CN"/>
        </w:rPr>
        <w:t>16</w:t>
      </w: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9</w:t>
      </w:r>
      <w:r>
        <w:rPr>
          <w:rFonts w:hint="eastAsia" w:ascii="仿宋_GB2312" w:hAnsi="仿宋_GB2312" w:eastAsia="仿宋_GB2312" w:cs="仿宋_GB2312"/>
          <w:color w:val="auto"/>
          <w:sz w:val="24"/>
          <w:szCs w:val="24"/>
          <w:highlight w:val="none"/>
        </w:rPr>
        <w:t>:00</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商务技术经济标签到、解密时间：2022年0</w:t>
      </w:r>
      <w:r>
        <w:rPr>
          <w:rFonts w:hint="eastAsia" w:ascii="仿宋_GB2312" w:hAnsi="仿宋_GB2312" w:eastAsia="仿宋_GB2312" w:cs="仿宋_GB2312"/>
          <w:color w:val="auto"/>
          <w:sz w:val="24"/>
          <w:szCs w:val="24"/>
          <w:highlight w:val="none"/>
          <w:lang w:val="en-US" w:eastAsia="zh-CN"/>
        </w:rPr>
        <w:t>8</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lang w:val="en-US" w:eastAsia="zh-CN"/>
        </w:rPr>
        <w:t>16</w:t>
      </w:r>
      <w:bookmarkStart w:id="15" w:name="_GoBack"/>
      <w:bookmarkEnd w:id="15"/>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9</w:t>
      </w:r>
      <w:r>
        <w:rPr>
          <w:rFonts w:hint="eastAsia" w:ascii="仿宋_GB2312" w:hAnsi="仿宋_GB2312" w:eastAsia="仿宋_GB2312" w:cs="仿宋_GB2312"/>
          <w:color w:val="auto"/>
          <w:sz w:val="24"/>
          <w:szCs w:val="24"/>
          <w:highlight w:val="none"/>
        </w:rPr>
        <w:t>:00～</w:t>
      </w:r>
      <w:r>
        <w:rPr>
          <w:rFonts w:hint="eastAsia" w:ascii="仿宋_GB2312" w:hAnsi="仿宋_GB2312" w:eastAsia="仿宋_GB2312" w:cs="仿宋_GB2312"/>
          <w:color w:val="auto"/>
          <w:sz w:val="24"/>
          <w:szCs w:val="24"/>
          <w:highlight w:val="none"/>
          <w:lang w:val="en-US" w:eastAsia="zh-CN"/>
        </w:rPr>
        <w:t>9</w:t>
      </w:r>
      <w:r>
        <w:rPr>
          <w:rFonts w:hint="eastAsia" w:ascii="仿宋_GB2312" w:hAnsi="仿宋_GB2312" w:eastAsia="仿宋_GB2312" w:cs="仿宋_GB2312"/>
          <w:color w:val="auto"/>
          <w:sz w:val="24"/>
          <w:szCs w:val="24"/>
          <w:highlight w:val="none"/>
        </w:rPr>
        <w:t>:30</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8.解密方式及截标开标地点：</w:t>
      </w:r>
      <w:bookmarkEnd w:id="11"/>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bookmarkStart w:id="12" w:name="_Toc15241"/>
      <w:r>
        <w:rPr>
          <w:rFonts w:hint="eastAsia" w:ascii="仿宋_GB2312" w:hAnsi="仿宋_GB2312" w:eastAsia="仿宋_GB2312" w:cs="仿宋_GB2312"/>
          <w:sz w:val="24"/>
          <w:szCs w:val="24"/>
          <w:highlight w:val="none"/>
        </w:rPr>
        <w:t>电脑环境要求：（1）操作系统：Windows 7 、10；（2）浏览器：Internet Explorer 11、10（以管理员身份运行）或360安全浏览器；（3）办公软件：Microsoft Office 2007或WPS2019个人版；（4）PDF软件推荐： Adobe Reader。</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非以上环境可能出现错误影响其投标，登录交易平台时如提示更新插件则必须更新，否则影响其电子投标。</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1、开标前签到流程：</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进入【网上开标】菜单→进入开标厅→点击“点此签到”按钮→点击右上角“签到”按钮→自动在签到表加盖法人章→最后点击“保存”按钮。</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2、远程解密流程：</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供应商于递交响应性文件截止时间在原单位使用原上传文件电脑在“网上开标”界面，点击“进开标厅”按钮，在该界面进行响应性文件的远程解密。届时请持上传文件时所使用的数字证书（CA证书）或登录【中招互连】APP提前30分钟等候在电脑前准备参加文件解密（供应商需保持电脑网络通畅）。</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3、解密后报价确认流程：</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进入【网上开标】菜单→进入开标厅→点击“点此签字”按钮→点击右上角“签字“按钮→自动在签到表加盖法人章→最后点击“保存”按钮。</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4、二次报价流程：</w:t>
      </w:r>
    </w:p>
    <w:p>
      <w:pPr>
        <w:pageBreakBefore w:val="0"/>
        <w:kinsoku/>
        <w:wordWrap/>
        <w:overflowPunct/>
        <w:topLinePunct w:val="0"/>
        <w:bidi w:val="0"/>
        <w:snapToGrid/>
        <w:spacing w:after="0" w:line="520" w:lineRule="exact"/>
        <w:ind w:right="-198" w:rightChars="-90" w:firstLine="439" w:firstLineChars="183"/>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进入【网上评标】菜单→进入“应答室”→“点此报价”按钮→填写报价→提交报价确认表签字→进入“应答室”→“点此签字”按钮→点击右上角“签字”按钮→自动在最终报价记录表加盖法人章→最后点击“保存”按钮。</w:t>
      </w:r>
    </w:p>
    <w:p>
      <w:pPr>
        <w:pageBreakBefore w:val="0"/>
        <w:kinsoku/>
        <w:wordWrap/>
        <w:overflowPunct/>
        <w:topLinePunct w:val="0"/>
        <w:bidi w:val="0"/>
        <w:snapToGrid/>
        <w:spacing w:after="0" w:line="520" w:lineRule="exact"/>
        <w:ind w:right="-198" w:rightChars="-90" w:firstLine="439" w:firstLineChars="183"/>
        <w:textAlignment w:val="auto"/>
      </w:pPr>
      <w:r>
        <w:rPr>
          <w:rFonts w:hint="eastAsia" w:ascii="仿宋_GB2312" w:hAnsi="仿宋_GB2312" w:eastAsia="仿宋_GB2312" w:cs="仿宋_GB2312"/>
          <w:sz w:val="24"/>
          <w:szCs w:val="24"/>
          <w:highlight w:val="none"/>
        </w:rPr>
        <w:t>请供应商按公告时间及时参与相关签到、解密及确认等工作，签到、解密及确认过程中有任何问题请及时联系技术支持解决（QQ群：696541095，周一至周五，8：30-20：30），因供应商原因未在规定时间内解密、确认响应性文件的，视为供应商撤销其响应性文件。</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开标地点：内蒙古招标投标公共服务平台</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color w:val="FF0000"/>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详细地址：</w:t>
      </w:r>
      <w:r>
        <w:rPr>
          <w:rFonts w:ascii="仿宋_GB2312" w:hAnsi="仿宋_GB2312" w:eastAsia="仿宋_GB2312" w:cs="仿宋_GB2312"/>
          <w:color w:val="000000" w:themeColor="text1"/>
          <w:sz w:val="24"/>
          <w:szCs w:val="24"/>
          <w:highlight w:val="none"/>
          <w14:textFill>
            <w14:solidFill>
              <w14:schemeClr w14:val="tx1"/>
            </w14:solidFill>
          </w14:textFill>
        </w:rPr>
        <w:t>呼和浩特市新城区兴安北路与爱民街交叉口（内蒙古卫生职业技术学校北楼）三楼开标室</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如果截标或开标时间及地点有改变，采购机构将提前通知，逾期提交的响应文件将不予受理，不接受邮寄方式提交响应文件。</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9.投标保证金及采购费用：</w:t>
      </w:r>
      <w:bookmarkEnd w:id="12"/>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bookmarkStart w:id="13" w:name="_Toc495645075"/>
      <w:bookmarkStart w:id="14" w:name="_Toc13484"/>
      <w:r>
        <w:rPr>
          <w:rFonts w:hint="eastAsia" w:ascii="仿宋_GB2312" w:hAnsi="仿宋_GB2312" w:eastAsia="仿宋_GB2312" w:cs="仿宋_GB2312"/>
          <w:sz w:val="24"/>
          <w:szCs w:val="24"/>
          <w:highlight w:val="none"/>
        </w:rPr>
        <w:t>9.1投标保证金：所有供应商都须交纳投标保证金，</w:t>
      </w:r>
      <w:r>
        <w:rPr>
          <w:rFonts w:ascii="仿宋_GB2312" w:hAnsi="仿宋_GB2312" w:eastAsia="仿宋_GB2312" w:cs="仿宋_GB2312"/>
          <w:sz w:val="24"/>
          <w:szCs w:val="24"/>
          <w:highlight w:val="none"/>
        </w:rPr>
        <w:t>投标保证金的形式：现金、银行汇票、保兑支票、银行保函、现金支票、电汇等形式从</w:t>
      </w:r>
      <w:r>
        <w:rPr>
          <w:rFonts w:hint="eastAsia" w:ascii="仿宋_GB2312" w:hAnsi="仿宋_GB2312" w:eastAsia="仿宋_GB2312" w:cs="仿宋_GB2312"/>
          <w:sz w:val="24"/>
          <w:szCs w:val="24"/>
          <w:highlight w:val="none"/>
          <w:lang w:eastAsia="zh-CN"/>
        </w:rPr>
        <w:t>供应商</w:t>
      </w:r>
      <w:r>
        <w:rPr>
          <w:rFonts w:ascii="仿宋_GB2312" w:hAnsi="仿宋_GB2312" w:eastAsia="仿宋_GB2312" w:cs="仿宋_GB2312"/>
          <w:sz w:val="24"/>
          <w:szCs w:val="24"/>
          <w:highlight w:val="none"/>
        </w:rPr>
        <w:t>的基本账户转出，且投标截止时间前需到账，以银行到账时间为准。</w:t>
      </w:r>
      <w:r>
        <w:rPr>
          <w:rFonts w:hint="eastAsia" w:ascii="仿宋_GB2312" w:hAnsi="仿宋_GB2312" w:eastAsia="仿宋_GB2312" w:cs="仿宋_GB2312"/>
          <w:sz w:val="24"/>
          <w:szCs w:val="24"/>
          <w:highlight w:val="none"/>
        </w:rPr>
        <w:t>投标保证金金额详见采购文件对投标保证金的相关要求。没有提交投标保证金或投标保证金不符合要求的，响应文件将被拒绝。</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9.2平台使用费：本项目采用全流程电子招投标，每标段每家供应商需上传响应文件前在线向电子交易平台缴纳电子投标服务费。</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按照中央施行降税减费的精神，贯彻国家关于优化营商环境的工作部署，结合近年应用情况，现将电子交易系统（国信、国采）投标服务费收费方案调整如下：</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收费标准   收费金额 </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采购项目 400元/包段/次 </w:t>
      </w:r>
    </w:p>
    <w:p>
      <w:pPr>
        <w:pageBreakBefore w:val="0"/>
        <w:kinsoku/>
        <w:wordWrap/>
        <w:overflowPunct/>
        <w:topLinePunct w:val="0"/>
        <w:bidi w:val="0"/>
        <w:snapToGrid/>
        <w:spacing w:after="0" w:line="520" w:lineRule="exact"/>
        <w:ind w:right="102" w:firstLine="480" w:firstLineChars="20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采购项目 300元/包段/次</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9.3场所服务费：每标段中标人需向内蒙古电子招标投标交易平台缴纳中标/成交金额千分之一的场所服务费，四舍五入到元（不足500按500元收取），凡是没有实际金额的框架招标和资格入围的中标单位,场所服务费为1000元/标段/次，服务费缴纳方式为现金或公对公转账，场所服务费缴费账户信息如下：        </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户   名：内蒙古网佳招标公共服务平台运营有限公司</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账    号：0602004109200022157</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 户 行：中国工商银行股份有限公司呼和浩特市军区支行</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开票联系电话：0471-3261228</w:t>
      </w:r>
    </w:p>
    <w:p>
      <w:pPr>
        <w:pageBreakBefore w:val="0"/>
        <w:kinsoku/>
        <w:wordWrap/>
        <w:overflowPunct/>
        <w:topLinePunct w:val="0"/>
        <w:bidi w:val="0"/>
        <w:snapToGrid/>
        <w:spacing w:after="0" w:line="520" w:lineRule="exact"/>
        <w:ind w:left="0" w:leftChars="0" w:right="-198" w:rightChars="-90" w:firstLine="660" w:firstLineChars="275"/>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邮箱地址：wjzbcw@126.com（中标单位汇款时请务必公对公转账并备注：代理机构名称及开标日期）</w:t>
      </w:r>
    </w:p>
    <w:p>
      <w:pPr>
        <w:pageBreakBefore w:val="0"/>
        <w:kinsoku/>
        <w:wordWrap/>
        <w:overflowPunct/>
        <w:topLinePunct w:val="0"/>
        <w:bidi w:val="0"/>
        <w:snapToGrid/>
        <w:spacing w:after="0" w:line="520" w:lineRule="exact"/>
        <w:ind w:right="-198" w:rightChars="-90" w:firstLine="600" w:firstLineChars="2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9.4中标服务费：中标服务费由中标人支付，中标人须向采购代理机构按如下标准和规定交纳中标服务费。</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（1）成交服务费金额：以中标单位的中标价为基数，参照内蒙古自治区工程建设协会《关于印发内蒙古自治区工程建设采购代理服务收费指导意见(试行）的通知》（内工建协</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2016</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17号）文件规定的标准收费。详见采购文件附件1；</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（2）中标服务费支付方式：采购完成，发出中标通知书前一次性支付。</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（3）中标服务费交纳形式：电汇、银行转账、现金均可。</w:t>
      </w:r>
    </w:p>
    <w:p>
      <w:pPr>
        <w:pStyle w:val="3"/>
        <w:pageBreakBefore w:val="0"/>
        <w:kinsoku/>
        <w:wordWrap/>
        <w:overflowPunct/>
        <w:topLinePunct w:val="0"/>
        <w:bidi w:val="0"/>
        <w:snapToGrid/>
        <w:spacing w:after="0" w:line="520" w:lineRule="exact"/>
        <w:ind w:left="-5" w:right="-198" w:rightChars="-90"/>
        <w:textAlignment w:val="auto"/>
        <w:rPr>
          <w:rFonts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10. 发布公告的媒介</w:t>
      </w:r>
      <w:bookmarkEnd w:id="13"/>
      <w:bookmarkEnd w:id="14"/>
      <w:r>
        <w:rPr>
          <w:rFonts w:hint="eastAsia" w:ascii="仿宋_GB2312" w:hAnsi="仿宋_GB2312" w:eastAsia="仿宋_GB2312" w:cs="仿宋_GB2312"/>
          <w:b/>
          <w:color w:val="auto"/>
          <w:sz w:val="24"/>
          <w:szCs w:val="24"/>
          <w:highlight w:val="none"/>
        </w:rPr>
        <w:t xml:space="preserve"> </w:t>
      </w:r>
    </w:p>
    <w:p>
      <w:pPr>
        <w:pageBreakBefore w:val="0"/>
        <w:kinsoku/>
        <w:wordWrap/>
        <w:overflowPunct/>
        <w:topLinePunct w:val="0"/>
        <w:bidi w:val="0"/>
        <w:snapToGrid/>
        <w:spacing w:after="0" w:line="520" w:lineRule="exact"/>
        <w:ind w:right="-198" w:rightChars="-90" w:firstLine="420"/>
        <w:textAlignment w:val="auto"/>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sz w:val="24"/>
          <w:szCs w:val="24"/>
          <w:highlight w:val="none"/>
        </w:rPr>
        <w:t>本次采购公告同时在中国招标投标公共服务平台（www.cebpubservice.com）、内蒙古招标投标公共服务平台（http://zbgg.nmgztb.com.cn）、内蒙古电力集团电子采购系统（http://guocai-impc.cppchina.cn）上发布。其它媒介转发无效。</w:t>
      </w:r>
      <w:r>
        <w:rPr>
          <w:rFonts w:hint="eastAsia" w:ascii="仿宋_GB2312" w:hAnsi="仿宋_GB2312" w:eastAsia="仿宋_GB2312" w:cs="仿宋_GB2312"/>
          <w:color w:val="auto"/>
          <w:sz w:val="24"/>
          <w:szCs w:val="24"/>
          <w:highlight w:val="none"/>
        </w:rPr>
        <w:t xml:space="preserve"> </w:t>
      </w:r>
    </w:p>
    <w:p>
      <w:pPr>
        <w:pageBreakBefore w:val="0"/>
        <w:kinsoku/>
        <w:wordWrap/>
        <w:overflowPunct/>
        <w:topLinePunct w:val="0"/>
        <w:bidi w:val="0"/>
        <w:snapToGrid/>
        <w:spacing w:after="0" w:line="520" w:lineRule="exact"/>
        <w:ind w:right="-198" w:rightChars="-9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11.联系方式</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hint="eastAsia" w:ascii="仿宋_GB2312" w:hAnsi="仿宋_GB2312" w:eastAsia="仿宋_GB2312" w:cs="仿宋_GB2312"/>
          <w:color w:val="auto"/>
          <w:szCs w:val="24"/>
          <w:highlight w:val="none"/>
          <w:lang w:eastAsia="zh-CN"/>
        </w:rPr>
      </w:pPr>
      <w:r>
        <w:rPr>
          <w:rFonts w:hint="eastAsia" w:ascii="仿宋_GB2312" w:hAnsi="仿宋_GB2312" w:eastAsia="仿宋_GB2312" w:cs="仿宋_GB2312"/>
          <w:color w:val="auto"/>
          <w:szCs w:val="24"/>
          <w:highlight w:val="none"/>
        </w:rPr>
        <w:t>采购单位：内蒙古电力（集团）有限责任公司</w:t>
      </w:r>
      <w:r>
        <w:rPr>
          <w:rFonts w:hint="eastAsia" w:ascii="仿宋_GB2312" w:hAnsi="仿宋_GB2312" w:eastAsia="仿宋_GB2312" w:cs="仿宋_GB2312"/>
          <w:color w:val="auto"/>
          <w:szCs w:val="24"/>
          <w:highlight w:val="none"/>
          <w:lang w:eastAsia="zh-CN"/>
        </w:rPr>
        <w:t>乌兰察布供电分公司</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hint="eastAsia" w:ascii="仿宋_GB2312" w:hAnsi="仿宋_GB2312" w:eastAsia="仿宋_GB2312" w:cs="仿宋_GB2312"/>
          <w:color w:val="auto"/>
          <w:szCs w:val="24"/>
          <w:highlight w:val="none"/>
          <w:lang w:val="en-US" w:eastAsia="zh-CN"/>
        </w:rPr>
      </w:pPr>
      <w:r>
        <w:rPr>
          <w:rFonts w:hint="eastAsia" w:ascii="仿宋_GB2312" w:hAnsi="仿宋_GB2312" w:eastAsia="仿宋_GB2312" w:cs="仿宋_GB2312"/>
          <w:color w:val="auto"/>
          <w:szCs w:val="24"/>
          <w:highlight w:val="none"/>
        </w:rPr>
        <w:t>联 系 人：</w:t>
      </w:r>
      <w:r>
        <w:rPr>
          <w:rFonts w:hint="eastAsia" w:ascii="仿宋_GB2312" w:hAnsi="仿宋_GB2312" w:eastAsia="仿宋_GB2312" w:cs="仿宋_GB2312"/>
          <w:color w:val="auto"/>
          <w:szCs w:val="24"/>
          <w:highlight w:val="none"/>
          <w:lang w:eastAsia="zh-CN"/>
        </w:rPr>
        <w:t>马茜</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hint="default" w:ascii="仿宋_GB2312" w:hAnsi="仿宋_GB2312" w:eastAsia="仿宋_GB2312" w:cs="仿宋_GB2312"/>
          <w:color w:val="auto"/>
          <w:szCs w:val="24"/>
          <w:highlight w:val="none"/>
          <w:lang w:val="en-US" w:eastAsia="zh-CN"/>
        </w:rPr>
      </w:pP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ascii="仿宋_GB2312" w:hAnsi="仿宋_GB2312" w:eastAsia="仿宋_GB2312" w:cs="仿宋_GB2312"/>
          <w:color w:val="auto"/>
          <w:szCs w:val="24"/>
          <w:highlight w:val="none"/>
        </w:rPr>
      </w:pPr>
      <w:r>
        <w:rPr>
          <w:rFonts w:hint="eastAsia" w:ascii="仿宋_GB2312" w:hAnsi="仿宋_GB2312" w:eastAsia="仿宋_GB2312" w:cs="仿宋_GB2312"/>
          <w:color w:val="auto"/>
          <w:szCs w:val="24"/>
          <w:highlight w:val="none"/>
        </w:rPr>
        <w:t>采购代理机构：正源信通项目管理有限公司</w:t>
      </w:r>
      <w:r>
        <w:rPr>
          <w:rFonts w:hint="eastAsia" w:eastAsia="宋体"/>
          <w:color w:val="auto"/>
          <w:szCs w:val="24"/>
          <w:highlight w:val="none"/>
        </w:rPr>
        <w:t> </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ascii="仿宋_GB2312" w:hAnsi="仿宋_GB2312" w:eastAsia="仿宋_GB2312" w:cs="仿宋_GB2312"/>
          <w:szCs w:val="24"/>
          <w:highlight w:val="none"/>
        </w:rPr>
      </w:pPr>
      <w:r>
        <w:rPr>
          <w:rFonts w:hint="eastAsia" w:ascii="仿宋_GB2312" w:hAnsi="仿宋_GB2312" w:eastAsia="仿宋_GB2312" w:cs="仿宋_GB2312"/>
          <w:szCs w:val="24"/>
          <w:highlight w:val="none"/>
        </w:rPr>
        <w:t>本项目联系地址：呼和浩特市赛罕区东影南路1号朗德国际九层</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ascii="仿宋_GB2312" w:hAnsi="仿宋_GB2312" w:eastAsia="仿宋_GB2312" w:cs="仿宋_GB2312"/>
          <w:szCs w:val="24"/>
          <w:highlight w:val="none"/>
        </w:rPr>
      </w:pPr>
      <w:r>
        <w:rPr>
          <w:rFonts w:hint="eastAsia" w:ascii="仿宋_GB2312" w:hAnsi="仿宋_GB2312" w:eastAsia="仿宋_GB2312" w:cs="仿宋_GB2312"/>
          <w:szCs w:val="24"/>
          <w:highlight w:val="none"/>
        </w:rPr>
        <w:t>联 系 人：</w:t>
      </w:r>
      <w:r>
        <w:rPr>
          <w:rFonts w:hint="eastAsia" w:ascii="仿宋_GB2312" w:hAnsi="仿宋_GB2312" w:eastAsia="仿宋_GB2312" w:cs="仿宋_GB2312"/>
          <w:szCs w:val="24"/>
          <w:highlight w:val="none"/>
          <w:lang w:val="en-US" w:eastAsia="zh-CN"/>
        </w:rPr>
        <w:t>何磊</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Fonts w:hint="default" w:ascii="仿宋_GB2312" w:hAnsi="仿宋_GB2312" w:eastAsia="仿宋_GB2312" w:cs="仿宋_GB2312"/>
          <w:szCs w:val="24"/>
          <w:highlight w:val="none"/>
          <w:lang w:val="en-US" w:eastAsia="zh-CN"/>
        </w:rPr>
      </w:pPr>
      <w:r>
        <w:rPr>
          <w:rFonts w:hint="eastAsia" w:ascii="仿宋_GB2312" w:hAnsi="仿宋_GB2312" w:eastAsia="仿宋_GB2312" w:cs="仿宋_GB2312"/>
          <w:szCs w:val="24"/>
          <w:highlight w:val="none"/>
        </w:rPr>
        <w:t>电话： 0471-</w:t>
      </w:r>
      <w:r>
        <w:rPr>
          <w:rFonts w:hint="eastAsia" w:ascii="仿宋_GB2312" w:hAnsi="仿宋_GB2312" w:eastAsia="仿宋_GB2312" w:cs="仿宋_GB2312"/>
          <w:szCs w:val="24"/>
          <w:highlight w:val="none"/>
          <w:lang w:val="en-US" w:eastAsia="zh-CN"/>
        </w:rPr>
        <w:t>6676523/6676707</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Style w:val="11"/>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rPr>
        <w:t>电子邮件：</w:t>
      </w:r>
      <w:r>
        <w:rPr>
          <w:highlight w:val="none"/>
        </w:rPr>
        <w:fldChar w:fldCharType="begin"/>
      </w:r>
      <w:r>
        <w:rPr>
          <w:highlight w:val="none"/>
        </w:rPr>
        <w:instrText xml:space="preserve"> HYPERLINK "mailto:nmgzyxt@163.com" </w:instrText>
      </w:r>
      <w:r>
        <w:rPr>
          <w:highlight w:val="none"/>
        </w:rPr>
        <w:fldChar w:fldCharType="separate"/>
      </w:r>
      <w:r>
        <w:rPr>
          <w:rStyle w:val="11"/>
          <w:rFonts w:hint="eastAsia" w:ascii="仿宋_GB2312" w:hAnsi="仿宋_GB2312" w:eastAsia="仿宋_GB2312" w:cs="仿宋_GB2312"/>
          <w:szCs w:val="24"/>
          <w:highlight w:val="none"/>
        </w:rPr>
        <w:t>nmgzyxt@163.com</w:t>
      </w:r>
      <w:r>
        <w:rPr>
          <w:rStyle w:val="11"/>
          <w:rFonts w:hint="eastAsia" w:ascii="仿宋_GB2312" w:hAnsi="仿宋_GB2312" w:eastAsia="仿宋_GB2312" w:cs="仿宋_GB2312"/>
          <w:szCs w:val="24"/>
          <w:highlight w:val="none"/>
        </w:rPr>
        <w:fldChar w:fldCharType="end"/>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Style w:val="11"/>
          <w:rFonts w:hint="eastAsia" w:ascii="仿宋_GB2312" w:hAnsi="仿宋_GB2312" w:eastAsia="仿宋_GB2312" w:cs="仿宋_GB2312"/>
          <w:szCs w:val="24"/>
          <w:highlight w:val="none"/>
        </w:rPr>
      </w:pPr>
    </w:p>
    <w:p>
      <w:pPr>
        <w:pageBreakBefore w:val="0"/>
        <w:kinsoku/>
        <w:wordWrap/>
        <w:overflowPunct/>
        <w:topLinePunct w:val="0"/>
        <w:bidi w:val="0"/>
        <w:snapToGrid/>
        <w:spacing w:after="0" w:line="520" w:lineRule="exact"/>
        <w:ind w:right="-198" w:rightChars="-90" w:firstLine="420"/>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rPr>
        <w:t>监督单位：内蒙古电力（集团）有限责任公司乌兰察布</w:t>
      </w:r>
      <w:r>
        <w:rPr>
          <w:rFonts w:hint="eastAsia" w:ascii="仿宋_GB2312" w:hAnsi="仿宋_GB2312" w:eastAsia="仿宋_GB2312" w:cs="仿宋_GB2312"/>
          <w:sz w:val="24"/>
          <w:szCs w:val="24"/>
          <w:highlight w:val="none"/>
          <w:lang w:val="en-US" w:eastAsia="zh-CN"/>
        </w:rPr>
        <w:t>供电分公司</w:t>
      </w:r>
    </w:p>
    <w:p>
      <w:pPr>
        <w:pStyle w:val="7"/>
        <w:pageBreakBefore w:val="0"/>
        <w:shd w:val="clear" w:color="auto" w:fill="FFFFFF"/>
        <w:kinsoku/>
        <w:wordWrap/>
        <w:overflowPunct/>
        <w:topLinePunct w:val="0"/>
        <w:bidi w:val="0"/>
        <w:snapToGrid/>
        <w:spacing w:before="0" w:beforeAutospacing="0" w:after="0" w:afterAutospacing="0" w:line="520" w:lineRule="exact"/>
        <w:ind w:left="142" w:right="-198" w:rightChars="-90" w:firstLine="283" w:firstLineChars="118"/>
        <w:textAlignment w:val="auto"/>
        <w:rPr>
          <w:rStyle w:val="11"/>
          <w:rFonts w:hint="eastAsia" w:ascii="仿宋_GB2312" w:hAnsi="仿宋_GB2312" w:eastAsia="仿宋_GB2312" w:cs="仿宋_GB2312"/>
          <w:szCs w:val="24"/>
          <w:highlight w:val="none"/>
        </w:rPr>
      </w:pPr>
      <w:r>
        <w:rPr>
          <w:rFonts w:hint="eastAsia" w:ascii="仿宋_GB2312" w:hAnsi="仿宋_GB2312" w:eastAsia="仿宋_GB2312" w:cs="仿宋_GB2312"/>
          <w:color w:val="auto"/>
          <w:szCs w:val="24"/>
          <w:highlight w:val="none"/>
        </w:rPr>
        <w:t>联系电话：0474-8855203</w:t>
      </w: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EE4CEC"/>
    <w:multiLevelType w:val="singleLevel"/>
    <w:tmpl w:val="98EE4CEC"/>
    <w:lvl w:ilvl="0" w:tentative="0">
      <w:start w:val="2"/>
      <w:numFmt w:val="decimal"/>
      <w:suff w:val="nothing"/>
      <w:lvlText w:val="%1、"/>
      <w:lvlJc w:val="left"/>
    </w:lvl>
  </w:abstractNum>
  <w:abstractNum w:abstractNumId="1">
    <w:nsid w:val="FB890080"/>
    <w:multiLevelType w:val="singleLevel"/>
    <w:tmpl w:val="FB890080"/>
    <w:lvl w:ilvl="0" w:tentative="0">
      <w:start w:val="1"/>
      <w:numFmt w:val="decimal"/>
      <w:suff w:val="nothing"/>
      <w:lvlText w:val="（%1）"/>
      <w:lvlJc w:val="left"/>
    </w:lvl>
  </w:abstractNum>
  <w:abstractNum w:abstractNumId="2">
    <w:nsid w:val="5A4DAF5F"/>
    <w:multiLevelType w:val="singleLevel"/>
    <w:tmpl w:val="5A4DAF5F"/>
    <w:lvl w:ilvl="0" w:tentative="0">
      <w:start w:val="2"/>
      <w:numFmt w:val="upperLetter"/>
      <w:suff w:val="nothing"/>
      <w:lvlText w:val="%1、"/>
      <w:lvlJc w:val="left"/>
    </w:lvl>
  </w:abstractNum>
  <w:num w:numId="1">
    <w:abstractNumId w:val="0"/>
  </w:num>
  <w:num w:numId="2">
    <w:abstractNumId w:val="1"/>
  </w:num>
  <w:num w:numId="3">
    <w:abstractNumId w:val="2"/>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iOWJjN2YxM2RjOGViYTg2NTBkZWRkYTMzMWFhYjIifQ=="/>
  </w:docVars>
  <w:rsids>
    <w:rsidRoot w:val="00E7602C"/>
    <w:rsid w:val="00012424"/>
    <w:rsid w:val="000213D9"/>
    <w:rsid w:val="00026AAC"/>
    <w:rsid w:val="00036710"/>
    <w:rsid w:val="00037692"/>
    <w:rsid w:val="00056DC4"/>
    <w:rsid w:val="00065B8A"/>
    <w:rsid w:val="00085D10"/>
    <w:rsid w:val="000D5F11"/>
    <w:rsid w:val="0010271E"/>
    <w:rsid w:val="00114A19"/>
    <w:rsid w:val="00137757"/>
    <w:rsid w:val="001B3886"/>
    <w:rsid w:val="00237A7B"/>
    <w:rsid w:val="00255DB2"/>
    <w:rsid w:val="00273D39"/>
    <w:rsid w:val="002A7B58"/>
    <w:rsid w:val="002B3487"/>
    <w:rsid w:val="002D0AB3"/>
    <w:rsid w:val="002D6D4B"/>
    <w:rsid w:val="002F079D"/>
    <w:rsid w:val="0031486D"/>
    <w:rsid w:val="00331FFD"/>
    <w:rsid w:val="0035375F"/>
    <w:rsid w:val="003565C4"/>
    <w:rsid w:val="003A011F"/>
    <w:rsid w:val="003A794B"/>
    <w:rsid w:val="003B03FB"/>
    <w:rsid w:val="003B13BA"/>
    <w:rsid w:val="003C2739"/>
    <w:rsid w:val="003C7E8B"/>
    <w:rsid w:val="003D1AAE"/>
    <w:rsid w:val="003E7E9F"/>
    <w:rsid w:val="00402687"/>
    <w:rsid w:val="00424396"/>
    <w:rsid w:val="00446C87"/>
    <w:rsid w:val="00447AD4"/>
    <w:rsid w:val="0047338C"/>
    <w:rsid w:val="00477C14"/>
    <w:rsid w:val="004C4210"/>
    <w:rsid w:val="004C762C"/>
    <w:rsid w:val="005B4D4C"/>
    <w:rsid w:val="005E1ACA"/>
    <w:rsid w:val="005F166A"/>
    <w:rsid w:val="006F13DC"/>
    <w:rsid w:val="006F665F"/>
    <w:rsid w:val="00706214"/>
    <w:rsid w:val="00815075"/>
    <w:rsid w:val="00872C58"/>
    <w:rsid w:val="008D5ACC"/>
    <w:rsid w:val="0097120B"/>
    <w:rsid w:val="00995D3C"/>
    <w:rsid w:val="009B03E3"/>
    <w:rsid w:val="009E448F"/>
    <w:rsid w:val="00A145C3"/>
    <w:rsid w:val="00A517FA"/>
    <w:rsid w:val="00A838E8"/>
    <w:rsid w:val="00AC3222"/>
    <w:rsid w:val="00AC5817"/>
    <w:rsid w:val="00B07C9D"/>
    <w:rsid w:val="00B17701"/>
    <w:rsid w:val="00BF2760"/>
    <w:rsid w:val="00C41FD8"/>
    <w:rsid w:val="00C4689E"/>
    <w:rsid w:val="00C565A2"/>
    <w:rsid w:val="00C87C23"/>
    <w:rsid w:val="00CA281D"/>
    <w:rsid w:val="00CB65A9"/>
    <w:rsid w:val="00CC4440"/>
    <w:rsid w:val="00CF7D85"/>
    <w:rsid w:val="00D03E02"/>
    <w:rsid w:val="00D10513"/>
    <w:rsid w:val="00D15763"/>
    <w:rsid w:val="00D71059"/>
    <w:rsid w:val="00D94BE7"/>
    <w:rsid w:val="00D9631A"/>
    <w:rsid w:val="00DB3E0C"/>
    <w:rsid w:val="00DD112E"/>
    <w:rsid w:val="00E23493"/>
    <w:rsid w:val="00E35DC3"/>
    <w:rsid w:val="00E60305"/>
    <w:rsid w:val="00E7602C"/>
    <w:rsid w:val="00E82EB0"/>
    <w:rsid w:val="00E847F3"/>
    <w:rsid w:val="00EA2534"/>
    <w:rsid w:val="00EA74D2"/>
    <w:rsid w:val="00F11F5A"/>
    <w:rsid w:val="00F3233B"/>
    <w:rsid w:val="00F349DA"/>
    <w:rsid w:val="00F53E3E"/>
    <w:rsid w:val="00F75957"/>
    <w:rsid w:val="00F77D9B"/>
    <w:rsid w:val="04474C21"/>
    <w:rsid w:val="07DD5F85"/>
    <w:rsid w:val="080952C5"/>
    <w:rsid w:val="0DAD711E"/>
    <w:rsid w:val="117D1D87"/>
    <w:rsid w:val="1DBB15DE"/>
    <w:rsid w:val="1FBF62EF"/>
    <w:rsid w:val="29EE6124"/>
    <w:rsid w:val="2EF37F67"/>
    <w:rsid w:val="4ADB6EBE"/>
    <w:rsid w:val="5901024B"/>
    <w:rsid w:val="5BA8711F"/>
    <w:rsid w:val="5D4C0834"/>
    <w:rsid w:val="61E30D56"/>
    <w:rsid w:val="680A4377"/>
    <w:rsid w:val="6B8A2745"/>
    <w:rsid w:val="7497372D"/>
    <w:rsid w:val="751C00CB"/>
    <w:rsid w:val="7D714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2"/>
    <w:unhideWhenUsed/>
    <w:qFormat/>
    <w:uiPriority w:val="0"/>
    <w:pPr>
      <w:keepNext/>
      <w:keepLines/>
      <w:spacing w:after="503" w:line="265" w:lineRule="auto"/>
      <w:ind w:left="10" w:right="56" w:hanging="10"/>
      <w:outlineLvl w:val="1"/>
    </w:pPr>
    <w:rPr>
      <w:rFonts w:ascii="黑体" w:hAnsi="黑体" w:eastAsia="黑体" w:cs="黑体"/>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Body Text Indent"/>
    <w:basedOn w:val="1"/>
    <w:qFormat/>
    <w:uiPriority w:val="0"/>
    <w:pPr>
      <w:ind w:firstLine="360" w:firstLineChars="200"/>
    </w:pPr>
    <w:rPr>
      <w:sz w:val="18"/>
    </w:rPr>
  </w:style>
  <w:style w:type="paragraph" w:styleId="5">
    <w:name w:val="footer"/>
    <w:basedOn w:val="1"/>
    <w:link w:val="14"/>
    <w:unhideWhenUsed/>
    <w:qFormat/>
    <w:uiPriority w:val="99"/>
    <w:pPr>
      <w:tabs>
        <w:tab w:val="center" w:pos="4153"/>
        <w:tab w:val="right" w:pos="8306"/>
      </w:tabs>
      <w:snapToGrid w:val="0"/>
      <w:spacing w:line="240" w:lineRule="auto"/>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unhideWhenUsed/>
    <w:qFormat/>
    <w:uiPriority w:val="99"/>
    <w:pPr>
      <w:spacing w:before="100" w:beforeAutospacing="1" w:after="100" w:afterAutospacing="1"/>
    </w:pPr>
    <w:rPr>
      <w:rFonts w:ascii="宋体" w:hAnsi="宋体" w:cs="宋体"/>
      <w:kern w:val="0"/>
      <w:sz w:val="24"/>
    </w:rPr>
  </w:style>
  <w:style w:type="paragraph" w:styleId="8">
    <w:name w:val="Body Text First Indent 2"/>
    <w:basedOn w:val="4"/>
    <w:unhideWhenUsed/>
    <w:qFormat/>
    <w:uiPriority w:val="99"/>
    <w:pPr>
      <w:ind w:firstLine="420"/>
    </w:p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character" w:customStyle="1" w:styleId="12">
    <w:name w:val="标题 2 Char"/>
    <w:basedOn w:val="10"/>
    <w:link w:val="3"/>
    <w:qFormat/>
    <w:uiPriority w:val="0"/>
    <w:rPr>
      <w:rFonts w:ascii="黑体" w:hAnsi="黑体" w:eastAsia="黑体" w:cs="黑体"/>
      <w:color w:val="000000"/>
      <w:sz w:val="32"/>
    </w:rPr>
  </w:style>
  <w:style w:type="character" w:customStyle="1" w:styleId="13">
    <w:name w:val="页眉 Char"/>
    <w:basedOn w:val="10"/>
    <w:link w:val="6"/>
    <w:qFormat/>
    <w:uiPriority w:val="99"/>
    <w:rPr>
      <w:rFonts w:ascii="Calibri" w:hAnsi="Calibri" w:eastAsia="Calibri" w:cs="Calibri"/>
      <w:color w:val="000000"/>
      <w:sz w:val="18"/>
      <w:szCs w:val="18"/>
    </w:rPr>
  </w:style>
  <w:style w:type="character" w:customStyle="1" w:styleId="14">
    <w:name w:val="页脚 Char"/>
    <w:basedOn w:val="10"/>
    <w:link w:val="5"/>
    <w:qFormat/>
    <w:uiPriority w:val="99"/>
    <w:rPr>
      <w:rFonts w:ascii="Calibri" w:hAnsi="Calibri" w:eastAsia="Calibri" w:cs="Calibri"/>
      <w:color w:val="000000"/>
      <w:sz w:val="18"/>
      <w:szCs w:val="18"/>
    </w:rPr>
  </w:style>
  <w:style w:type="paragraph" w:styleId="15">
    <w:name w:val="List Paragraph"/>
    <w:basedOn w:val="1"/>
    <w:unhideWhenUsed/>
    <w:qFormat/>
    <w:uiPriority w:val="99"/>
    <w:pPr>
      <w:ind w:firstLine="420" w:firstLineChars="200"/>
    </w:pPr>
  </w:style>
  <w:style w:type="paragraph" w:customStyle="1" w:styleId="16">
    <w:name w:val="无间隔1"/>
    <w:qFormat/>
    <w:uiPriority w:val="99"/>
    <w:rPr>
      <w:rFonts w:ascii="Times New Roman" w:hAnsi="Times New Roman"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4627</Words>
  <Characters>5287</Characters>
  <Lines>10</Lines>
  <Paragraphs>11</Paragraphs>
  <TotalTime>12</TotalTime>
  <ScaleCrop>false</ScaleCrop>
  <LinksUpToDate>false</LinksUpToDate>
  <CharactersWithSpaces>5704</CharactersWithSpaces>
  <Application>WPS Office_11.1.0.12300_F1E327BC-269C-435d-A152-05C5408002CA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Administrator</cp:lastModifiedBy>
  <dcterms:modified xsi:type="dcterms:W3CDTF">2022-08-05T08:57:14Z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2052-11.1.0.12300</vt:lpwstr>
  </property>
  <property fmtid="{D5CDD505-2E9C-101B-9397-08002B2CF9AE}" pid="3" name="ICV">
    <vt:lpwstr>4681935842A4453DBA8D731D304E7A8B</vt:lpwstr>
  </property>
</Properties>
</file>