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80" w:lineRule="atLeas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1</w:t>
      </w:r>
    </w:p>
    <w:p>
      <w:pPr>
        <w:spacing w:line="463" w:lineRule="exact"/>
        <w:ind w:right="12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2"/>
          <w:sz w:val="28"/>
          <w:szCs w:val="28"/>
          <w:highlight w:val="none"/>
        </w:rPr>
        <w:t>授权委托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书</w:t>
      </w:r>
    </w:p>
    <w:p>
      <w:pPr>
        <w:pStyle w:val="7"/>
        <w:tabs>
          <w:tab w:val="left" w:pos="3158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姓</w:t>
      </w:r>
      <w:r>
        <w:rPr>
          <w:rFonts w:hint="eastAsia" w:ascii="宋体" w:hAnsi="宋体" w:eastAsia="宋体" w:cs="宋体"/>
          <w:sz w:val="24"/>
          <w:highlight w:val="none"/>
        </w:rPr>
        <w:t>名）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系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名</w:t>
      </w:r>
      <w:r>
        <w:rPr>
          <w:rFonts w:hint="eastAsia" w:ascii="宋体" w:hAnsi="宋体" w:eastAsia="宋体" w:cs="宋体"/>
          <w:sz w:val="24"/>
          <w:highlight w:val="none"/>
        </w:rPr>
        <w:t>称）的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法定</w:t>
      </w:r>
      <w:r>
        <w:rPr>
          <w:rFonts w:hint="eastAsia" w:ascii="宋体" w:hAnsi="宋体" w:eastAsia="宋体" w:cs="宋体"/>
          <w:sz w:val="24"/>
          <w:highlight w:val="none"/>
        </w:rPr>
        <w:t>代表人，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现</w:t>
      </w:r>
      <w:r>
        <w:rPr>
          <w:rFonts w:hint="eastAsia" w:ascii="宋体" w:hAnsi="宋体" w:eastAsia="宋体" w:cs="宋体"/>
          <w:sz w:val="24"/>
          <w:highlight w:val="none"/>
        </w:rPr>
        <w:t>委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托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（姓名）为我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方代</w:t>
      </w:r>
      <w:r>
        <w:rPr>
          <w:rFonts w:hint="eastAsia" w:ascii="宋体" w:hAnsi="宋体" w:eastAsia="宋体" w:cs="宋体"/>
          <w:sz w:val="24"/>
          <w:highlight w:val="none"/>
        </w:rPr>
        <w:t>理人。代理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根据授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权，</w:t>
      </w:r>
      <w:r>
        <w:rPr>
          <w:rFonts w:hint="eastAsia" w:ascii="宋体" w:hAnsi="宋体" w:eastAsia="宋体" w:cs="宋体"/>
          <w:sz w:val="24"/>
          <w:highlight w:val="none"/>
        </w:rPr>
        <w:t>以我方名义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highlight w:val="none"/>
        </w:rPr>
        <w:t>署、澄清确认、递交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撤回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（项目名称）</w:t>
      </w:r>
      <w:r>
        <w:rPr>
          <w:rFonts w:hint="eastAsia" w:ascii="宋体" w:hAnsi="宋体" w:eastAsia="宋体" w:cs="宋体"/>
          <w:sz w:val="24"/>
          <w:highlight w:val="none"/>
        </w:rPr>
        <w:t>项目（包件号：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响应性文件</w:t>
      </w:r>
      <w:r>
        <w:rPr>
          <w:rFonts w:hint="eastAsia" w:ascii="宋体" w:hAnsi="宋体" w:eastAsia="宋体" w:cs="宋体"/>
          <w:sz w:val="24"/>
          <w:highlight w:val="none"/>
        </w:rPr>
        <w:t>、签订合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同</w:t>
      </w:r>
      <w:r>
        <w:rPr>
          <w:rFonts w:hint="eastAsia" w:ascii="宋体" w:hAnsi="宋体" w:eastAsia="宋体" w:cs="宋体"/>
          <w:sz w:val="24"/>
          <w:highlight w:val="none"/>
        </w:rPr>
        <w:t>和处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理</w:t>
      </w:r>
      <w:r>
        <w:rPr>
          <w:rFonts w:hint="eastAsia" w:ascii="宋体" w:hAnsi="宋体" w:eastAsia="宋体" w:cs="宋体"/>
          <w:sz w:val="24"/>
          <w:highlight w:val="none"/>
        </w:rPr>
        <w:t>有关事宜，其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</w:t>
      </w:r>
      <w:r>
        <w:rPr>
          <w:rFonts w:hint="eastAsia" w:ascii="宋体" w:hAnsi="宋体" w:eastAsia="宋体" w:cs="宋体"/>
          <w:sz w:val="24"/>
          <w:highlight w:val="none"/>
        </w:rPr>
        <w:t>律后果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由</w:t>
      </w:r>
      <w:r>
        <w:rPr>
          <w:rFonts w:hint="eastAsia" w:ascii="宋体" w:hAnsi="宋体" w:eastAsia="宋体" w:cs="宋体"/>
          <w:sz w:val="24"/>
          <w:highlight w:val="none"/>
        </w:rPr>
        <w:t>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</w:t>
      </w:r>
      <w:r>
        <w:rPr>
          <w:rFonts w:hint="eastAsia" w:ascii="宋体" w:hAnsi="宋体" w:eastAsia="宋体" w:cs="宋体"/>
          <w:sz w:val="24"/>
          <w:highlight w:val="none"/>
        </w:rPr>
        <w:t>承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担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7"/>
        <w:tabs>
          <w:tab w:val="left" w:pos="3566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期</w:t>
      </w:r>
      <w:r>
        <w:rPr>
          <w:rFonts w:hint="eastAsia" w:ascii="宋体" w:hAnsi="宋体" w:eastAsia="宋体" w:cs="宋体"/>
          <w:sz w:val="24"/>
          <w:highlight w:val="none"/>
        </w:rPr>
        <w:t>限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7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代理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无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转</w:t>
      </w:r>
      <w:r>
        <w:rPr>
          <w:rFonts w:hint="eastAsia" w:ascii="宋体" w:hAnsi="宋体" w:eastAsia="宋体" w:cs="宋体"/>
          <w:sz w:val="24"/>
          <w:highlight w:val="none"/>
        </w:rPr>
        <w:t>委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托</w:t>
      </w:r>
      <w:r>
        <w:rPr>
          <w:rFonts w:hint="eastAsia" w:ascii="宋体" w:hAnsi="宋体" w:eastAsia="宋体" w:cs="宋体"/>
          <w:sz w:val="24"/>
          <w:highlight w:val="none"/>
        </w:rPr>
        <w:t>权。</w:t>
      </w:r>
    </w:p>
    <w:p>
      <w:pPr>
        <w:pStyle w:val="7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Cs w:val="21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highlight w:val="none"/>
        </w:rPr>
        <w:t>附：法定代表人身份证复印件及委托代理人身份证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扫描件</w:t>
      </w:r>
      <w:r>
        <w:rPr>
          <w:rFonts w:hint="eastAsia" w:ascii="宋体" w:hAnsi="宋体" w:eastAsia="宋体" w:cs="宋体"/>
          <w:spacing w:val="-3"/>
          <w:szCs w:val="21"/>
          <w:highlight w:val="none"/>
        </w:rPr>
        <w:t xml:space="preserve"> </w:t>
      </w:r>
    </w:p>
    <w:tbl>
      <w:tblPr>
        <w:tblStyle w:val="9"/>
        <w:tblpPr w:leftFromText="180" w:rightFromText="180" w:vertAnchor="text" w:horzAnchor="page" w:tblpXSpec="center" w:tblpY="504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7"/>
        <w:gridCol w:w="5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代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正面）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正面）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代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反面）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反面）</w:t>
            </w:r>
          </w:p>
        </w:tc>
      </w:tr>
    </w:tbl>
    <w:p>
      <w:pPr>
        <w:pStyle w:val="7"/>
        <w:tabs>
          <w:tab w:val="left" w:pos="3158"/>
        </w:tabs>
        <w:spacing w:after="0" w:line="360" w:lineRule="auto"/>
        <w:ind w:firstLine="388" w:firstLineChars="200"/>
        <w:jc w:val="left"/>
        <w:rPr>
          <w:rFonts w:hint="eastAsia" w:ascii="宋体" w:hAnsi="宋体" w:eastAsia="宋体" w:cs="宋体"/>
          <w:spacing w:val="-3"/>
          <w:szCs w:val="21"/>
          <w:highlight w:val="none"/>
        </w:rPr>
      </w:pPr>
    </w:p>
    <w:p>
      <w:pPr>
        <w:pStyle w:val="7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highlight w:val="none"/>
        </w:rPr>
        <w:t>注：本授权委托书需由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加盖单位公章并由其法定代表人和委托代理</w:t>
      </w:r>
      <w:bookmarkStart w:id="0" w:name="_GoBack"/>
      <w:bookmarkEnd w:id="0"/>
      <w:r>
        <w:rPr>
          <w:rFonts w:hint="eastAsia" w:ascii="宋体" w:hAnsi="宋体" w:eastAsia="宋体" w:cs="宋体"/>
          <w:spacing w:val="-3"/>
          <w:sz w:val="24"/>
          <w:highlight w:val="none"/>
        </w:rPr>
        <w:t>人签字。</w:t>
      </w:r>
    </w:p>
    <w:p>
      <w:pPr>
        <w:spacing w:before="10" w:line="110" w:lineRule="exact"/>
        <w:rPr>
          <w:rFonts w:hint="eastAsia" w:ascii="宋体" w:hAnsi="宋体" w:eastAsia="宋体" w:cs="宋体"/>
          <w:highlight w:val="none"/>
        </w:rPr>
      </w:pPr>
    </w:p>
    <w:p>
      <w:pPr>
        <w:pStyle w:val="7"/>
        <w:tabs>
          <w:tab w:val="left" w:pos="3216"/>
          <w:tab w:val="left" w:pos="3636"/>
          <w:tab w:val="left" w:pos="7241"/>
        </w:tabs>
        <w:ind w:left="2793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（单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位</w:t>
      </w:r>
      <w:r>
        <w:rPr>
          <w:rFonts w:hint="eastAsia" w:ascii="宋体" w:hAnsi="宋体" w:eastAsia="宋体" w:cs="宋体"/>
          <w:sz w:val="24"/>
          <w:highlight w:val="none"/>
        </w:rPr>
        <w:t>公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>
      <w:pPr>
        <w:pStyle w:val="7"/>
        <w:tabs>
          <w:tab w:val="left" w:pos="7661"/>
        </w:tabs>
        <w:spacing w:line="335" w:lineRule="exact"/>
        <w:ind w:left="2791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代</w:t>
      </w:r>
      <w:r>
        <w:rPr>
          <w:rFonts w:hint="eastAsia" w:ascii="宋体" w:hAnsi="宋体" w:eastAsia="宋体" w:cs="宋体"/>
          <w:sz w:val="24"/>
          <w:highlight w:val="none"/>
        </w:rPr>
        <w:t>表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（签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字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>
      <w:pPr>
        <w:pStyle w:val="7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</w:rPr>
        <w:t>身份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证</w:t>
      </w:r>
      <w:r>
        <w:rPr>
          <w:rFonts w:hint="eastAsia" w:ascii="宋体" w:hAnsi="宋体" w:eastAsia="宋体" w:cs="宋体"/>
          <w:sz w:val="24"/>
          <w:highlight w:val="none"/>
        </w:rPr>
        <w:t>号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码：</w:t>
      </w:r>
      <w:r>
        <w:rPr>
          <w:rFonts w:hint="eastAsia" w:ascii="宋体" w:hAnsi="宋体" w:eastAsia="宋体" w:cs="宋体"/>
          <w:w w:val="201"/>
          <w:sz w:val="24"/>
          <w:highlight w:val="none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</w:p>
    <w:p>
      <w:pPr>
        <w:pStyle w:val="7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  <w:u w:val="none" w:color="auto"/>
        </w:rPr>
        <w:t>联系电话：___________________________</w:t>
      </w:r>
    </w:p>
    <w:p>
      <w:pPr>
        <w:pStyle w:val="7"/>
        <w:tabs>
          <w:tab w:val="left" w:pos="766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代</w:t>
      </w:r>
      <w:r>
        <w:rPr>
          <w:rFonts w:hint="eastAsia" w:ascii="宋体" w:hAnsi="宋体" w:eastAsia="宋体" w:cs="宋体"/>
          <w:sz w:val="24"/>
          <w:highlight w:val="none"/>
        </w:rPr>
        <w:t>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（签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字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>
      <w:pPr>
        <w:pStyle w:val="7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</w:rPr>
        <w:t>身份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证</w:t>
      </w:r>
      <w:r>
        <w:rPr>
          <w:rFonts w:hint="eastAsia" w:ascii="宋体" w:hAnsi="宋体" w:eastAsia="宋体" w:cs="宋体"/>
          <w:sz w:val="24"/>
          <w:highlight w:val="none"/>
        </w:rPr>
        <w:t>号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码：</w:t>
      </w:r>
      <w:r>
        <w:rPr>
          <w:rFonts w:hint="eastAsia" w:ascii="宋体" w:hAnsi="宋体" w:eastAsia="宋体" w:cs="宋体"/>
          <w:w w:val="201"/>
          <w:sz w:val="24"/>
          <w:highlight w:val="none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</w:p>
    <w:p>
      <w:pPr>
        <w:pStyle w:val="7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  <w:u w:val="none" w:color="auto"/>
        </w:rPr>
        <w:t>联系电话：___________________________</w:t>
      </w:r>
    </w:p>
    <w:p>
      <w:pPr>
        <w:pStyle w:val="7"/>
        <w:tabs>
          <w:tab w:val="left" w:pos="6643"/>
          <w:tab w:val="left" w:pos="7589"/>
          <w:tab w:val="left" w:pos="8533"/>
        </w:tabs>
        <w:spacing w:line="335" w:lineRule="exact"/>
        <w:ind w:left="5907"/>
        <w:jc w:val="left"/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  <w:lang w:eastAsia="zh-CN"/>
        </w:rPr>
        <w:sectPr>
          <w:pgSz w:w="11906" w:h="16838"/>
          <w:pgMar w:top="1440" w:right="1080" w:bottom="1440" w:left="108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w w:val="201"/>
          <w:sz w:val="24"/>
          <w:highlight w:val="none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月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  <w:lang w:eastAsia="zh-CN"/>
        </w:rPr>
        <w:t>日</w:t>
      </w:r>
    </w:p>
    <w:p>
      <w:pPr>
        <w:spacing w:line="480" w:lineRule="auto"/>
        <w:ind w:right="560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：</w:t>
      </w:r>
    </w:p>
    <w:p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投标真实性承诺书</w:t>
      </w:r>
    </w:p>
    <w:p>
      <w:pPr>
        <w:pStyle w:val="2"/>
        <w:rPr>
          <w:rFonts w:hint="eastAsia"/>
          <w:highlight w:val="none"/>
          <w:lang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内蒙古电力（集团）有限责任公司鄂尔多斯供电分公司物资供应处：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正源信通项目管理有限公司： </w:t>
      </w:r>
    </w:p>
    <w:p>
      <w:pPr>
        <w:numPr>
          <w:ilvl w:val="0"/>
          <w:numId w:val="0"/>
        </w:num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我公司自愿参加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项目的投标，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且公司资格条件符合本次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项目的要求，同时具备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如期供货的能力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并在此承诺所递交的响应文件中所有关于投标的资格文件、证明文件、陈述内容、资料等均真实可信，未弄虚作假。</w:t>
      </w:r>
    </w:p>
    <w:p>
      <w:pPr>
        <w:numPr>
          <w:ilvl w:val="0"/>
          <w:numId w:val="0"/>
        </w:num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我方在此声明，所递交的响应文件（包括有关资料、澄清）真实可信，不存在虚假隐瞒，也不存在第二章“供应商须知第1.4.3”项规定的任何一种情形。</w:t>
      </w:r>
    </w:p>
    <w:p>
      <w:pPr>
        <w:numPr>
          <w:ilvl w:val="0"/>
          <w:numId w:val="0"/>
        </w:num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若我方中标，经查实我方所提供的报名资料及响应文件内容不真实，存在伪造、虚假、隐瞒、欺诈等行为的，我方愿意按相关规定承担相应责任。</w:t>
      </w:r>
    </w:p>
    <w:p>
      <w:p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（其他补充说明）。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（盖单位章）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（签字）</w:t>
      </w:r>
    </w:p>
    <w:p>
      <w:pPr>
        <w:bidi w:val="0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</w:p>
    <w:p>
      <w:pPr>
        <w:bidi w:val="0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                        </w:t>
      </w:r>
    </w:p>
    <w:p>
      <w:pP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                           </w:t>
      </w:r>
    </w:p>
    <w:p>
      <w:pPr>
        <w:ind w:firstLine="3360" w:firstLineChars="1400"/>
        <w:jc w:val="right"/>
        <w:rPr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年        月        日</w:t>
      </w:r>
    </w:p>
    <w:p>
      <w:pPr>
        <w:pStyle w:val="2"/>
        <w:rPr>
          <w:rFonts w:hint="eastAsia"/>
          <w:highlight w:val="none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  <w:lang w:eastAsia="zh-CN"/>
        </w:rPr>
        <w:sectPr>
          <w:pgSz w:w="11906" w:h="16838"/>
          <w:pgMar w:top="1440" w:right="1080" w:bottom="1440" w:left="108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24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后附表：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576"/>
        <w:gridCol w:w="563"/>
        <w:gridCol w:w="1340"/>
        <w:gridCol w:w="685"/>
        <w:gridCol w:w="371"/>
        <w:gridCol w:w="545"/>
        <w:gridCol w:w="638"/>
        <w:gridCol w:w="731"/>
        <w:gridCol w:w="499"/>
        <w:gridCol w:w="631"/>
        <w:gridCol w:w="302"/>
        <w:gridCol w:w="466"/>
        <w:gridCol w:w="302"/>
        <w:gridCol w:w="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34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</w:t>
            </w:r>
          </w:p>
        </w:tc>
        <w:tc>
          <w:tcPr>
            <w:tcW w:w="338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330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786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401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217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19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374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428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292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370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177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273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177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77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包件1(35KV及以下电缆附件)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3700055576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10kV电缆中间接头,3×50,直通接头,绕包,铜铝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88800.00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员工职业发展中心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2022年10月20日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职工教育经费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3700055576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电力电缆,AC10kV,YJLV,50,3,22,ZC,Z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千米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32500.00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员工职业发展中心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2022年10月20日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职工教育经费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08" w:type="pct"/>
            <w:gridSpan w:val="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121300.00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包件2（10KV变压器（S13立体卷铁芯）)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3600013801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10kV变压器,30kVA,普通,硅钢片,油浸,S13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42500.00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鄂托克供电公司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鄂局2022年零购-机动费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2022年10月20日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零购-机动费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3600013801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10kV变压器,50kVA,普通,硅钢片,油浸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10260.00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20520.00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鄂托克供电公司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鄂局2022年零购-机动费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2022年10月20日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零购-机动费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08" w:type="pct"/>
            <w:gridSpan w:val="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63020.00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3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包件3（电脑、操作系统等）</w:t>
            </w: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3600013893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中端便携型笔记本电脑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3600013879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高端台式计算机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党委宣传部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3600013893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3600013892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神州网信政府版操作系统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3600013892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神州网信政府版操作系统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3600013892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神州网信政府版操作系统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34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3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3600013892</w:t>
            </w:r>
          </w:p>
        </w:tc>
        <w:tc>
          <w:tcPr>
            <w:tcW w:w="33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8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神州网信政府版操作系统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1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37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37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27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408" w:type="pct"/>
            <w:gridSpan w:val="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56800.00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408" w:type="pct"/>
            <w:gridSpan w:val="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1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241120.00</w:t>
            </w:r>
          </w:p>
        </w:tc>
        <w:tc>
          <w:tcPr>
            <w:tcW w:w="29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jc0ZjJiMDE0NDcyZDE3MDFlY2VhNmI5ZTliMTEifQ=="/>
  </w:docVars>
  <w:rsids>
    <w:rsidRoot w:val="3C115615"/>
    <w:rsid w:val="3C1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semiHidden/>
    <w:qFormat/>
    <w:uiPriority w:val="0"/>
    <w:pPr>
      <w:ind w:leftChars="0" w:firstLine="420"/>
    </w:pPr>
    <w:rPr>
      <w:szCs w:val="24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spacing w:before="120"/>
      <w:ind w:left="210"/>
      <w:jc w:val="left"/>
    </w:pPr>
    <w:rPr>
      <w:rFonts w:ascii="Calibri" w:hAnsi="Calibri"/>
      <w:bCs/>
      <w:sz w:val="22"/>
      <w:szCs w:val="22"/>
    </w:rPr>
  </w:style>
  <w:style w:type="paragraph" w:styleId="7">
    <w:name w:val="Body Text"/>
    <w:basedOn w:val="1"/>
    <w:unhideWhenUsed/>
    <w:uiPriority w:val="99"/>
    <w:pPr>
      <w:spacing w:after="120"/>
    </w:pPr>
    <w:rPr>
      <w:kern w:val="0"/>
      <w:sz w:val="20"/>
      <w:szCs w:val="24"/>
    </w:rPr>
  </w:style>
  <w:style w:type="paragraph" w:styleId="8">
    <w:name w:val="footer"/>
    <w:basedOn w:val="1"/>
    <w:next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11">
    <w:name w:val="p0"/>
    <w:basedOn w:val="1"/>
    <w:qFormat/>
    <w:uiPriority w:val="0"/>
    <w:pPr>
      <w:widowControl/>
      <w:jc w:val="left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wuzi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2022-08-31T07:52:00Z</dcterms:created>
  <dc:creator>露c</dc:creator>
  <cp:lastModifiedBy>露c</cp:lastModifiedBy>
  <dcterms:modified xsi:type="dcterms:W3CDTF">2022-08-31T07:53:02Z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2052-11.1.0.12349</vt:lpwstr>
  </property>
  <property fmtid="{D5CDD505-2E9C-101B-9397-08002B2CF9AE}" pid="3" name="ICV">
    <vt:lpwstr>CAD31A04B5044DB99E38B491A532C326</vt:lpwstr>
  </property>
</Properties>
</file>