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szCs w:val="28"/>
        </w:rPr>
      </w:pPr>
      <w:bookmarkStart w:id="0" w:name="_Toc155151641"/>
    </w:p>
    <w:p>
      <w:pPr>
        <w:spacing w:line="360" w:lineRule="auto"/>
        <w:jc w:val="center"/>
        <w:rPr>
          <w:b/>
          <w:sz w:val="52"/>
          <w:szCs w:val="52"/>
        </w:rPr>
      </w:pPr>
    </w:p>
    <w:p>
      <w:pPr>
        <w:pStyle w:val="151"/>
        <w:spacing w:before="156" w:beforeLines="50" w:after="156" w:afterLines="50" w:line="360" w:lineRule="auto"/>
        <w:jc w:val="center"/>
        <w:rPr>
          <w:sz w:val="44"/>
          <w:szCs w:val="44"/>
          <w:lang w:eastAsia="zh-CN"/>
        </w:rPr>
      </w:pPr>
      <w:r>
        <w:rPr>
          <w:rFonts w:hint="eastAsia"/>
          <w:sz w:val="44"/>
          <w:szCs w:val="44"/>
          <w:lang w:eastAsia="zh-CN"/>
        </w:rPr>
        <w:t>内蒙古电力(集团)有限责任公司</w:t>
      </w:r>
    </w:p>
    <w:p>
      <w:pPr>
        <w:pStyle w:val="151"/>
        <w:spacing w:before="156" w:beforeLines="50" w:after="156" w:afterLines="50" w:line="360" w:lineRule="auto"/>
        <w:jc w:val="center"/>
        <w:rPr>
          <w:sz w:val="44"/>
          <w:szCs w:val="44"/>
          <w:lang w:eastAsia="zh-CN"/>
        </w:rPr>
      </w:pPr>
      <w:r>
        <w:rPr>
          <w:rFonts w:hint="eastAsia"/>
          <w:sz w:val="44"/>
          <w:szCs w:val="44"/>
          <w:lang w:eastAsia="zh-CN"/>
        </w:rPr>
        <w:t>信息通信分公司2022年应急电缆采购</w:t>
      </w:r>
    </w:p>
    <w:p>
      <w:pPr>
        <w:pStyle w:val="151"/>
        <w:spacing w:before="156" w:beforeLines="50" w:after="156" w:afterLines="50" w:line="360" w:lineRule="auto"/>
        <w:jc w:val="center"/>
        <w:rPr>
          <w:sz w:val="44"/>
          <w:szCs w:val="44"/>
          <w:lang w:eastAsia="zh-CN"/>
        </w:rPr>
      </w:pPr>
    </w:p>
    <w:p>
      <w:pPr>
        <w:pStyle w:val="151"/>
        <w:spacing w:before="156" w:beforeLines="50" w:after="156" w:afterLines="50" w:line="360" w:lineRule="auto"/>
        <w:jc w:val="center"/>
        <w:rPr>
          <w:sz w:val="44"/>
          <w:szCs w:val="44"/>
          <w:lang w:eastAsia="zh-CN"/>
        </w:rPr>
      </w:pPr>
      <w:r>
        <w:rPr>
          <w:rFonts w:hint="eastAsia"/>
          <w:sz w:val="44"/>
          <w:szCs w:val="44"/>
          <w:lang w:eastAsia="zh-CN"/>
        </w:rPr>
        <w:t>技术规范书</w:t>
      </w:r>
    </w:p>
    <w:p>
      <w:pPr>
        <w:spacing w:before="156" w:beforeLines="50" w:after="156" w:afterLines="50"/>
        <w:rPr>
          <w:sz w:val="24"/>
        </w:rPr>
      </w:pPr>
    </w:p>
    <w:p>
      <w:pPr>
        <w:pStyle w:val="152"/>
        <w:spacing w:before="156" w:beforeLines="50" w:after="156" w:afterLines="50"/>
        <w:rPr>
          <w:szCs w:val="24"/>
        </w:rPr>
      </w:pPr>
    </w:p>
    <w:p>
      <w:pPr>
        <w:pStyle w:val="152"/>
        <w:spacing w:before="156" w:beforeLines="50" w:after="156" w:afterLines="50"/>
        <w:rPr>
          <w:szCs w:val="24"/>
        </w:rPr>
      </w:pPr>
    </w:p>
    <w:p>
      <w:pPr>
        <w:pStyle w:val="152"/>
        <w:spacing w:before="156" w:beforeLines="50" w:after="156" w:afterLines="50"/>
        <w:rPr>
          <w:szCs w:val="24"/>
        </w:rPr>
      </w:pPr>
    </w:p>
    <w:p>
      <w:pPr>
        <w:pStyle w:val="152"/>
        <w:spacing w:before="156" w:beforeLines="50" w:after="156" w:afterLines="50"/>
        <w:rPr>
          <w:szCs w:val="24"/>
        </w:rPr>
      </w:pPr>
    </w:p>
    <w:p>
      <w:pPr>
        <w:pStyle w:val="152"/>
        <w:spacing w:before="156" w:beforeLines="50" w:after="156" w:afterLines="50"/>
        <w:rPr>
          <w:szCs w:val="24"/>
        </w:rPr>
      </w:pPr>
    </w:p>
    <w:p>
      <w:pPr>
        <w:pStyle w:val="152"/>
        <w:spacing w:before="156" w:beforeLines="50" w:after="156" w:afterLines="50"/>
        <w:rPr>
          <w:szCs w:val="24"/>
        </w:rPr>
      </w:pPr>
    </w:p>
    <w:p>
      <w:pPr>
        <w:pStyle w:val="152"/>
        <w:spacing w:before="156" w:beforeLines="50" w:after="156" w:afterLines="50"/>
        <w:rPr>
          <w:szCs w:val="24"/>
        </w:rPr>
      </w:pPr>
    </w:p>
    <w:p>
      <w:pPr>
        <w:pStyle w:val="152"/>
        <w:spacing w:before="156" w:beforeLines="50" w:after="156" w:afterLines="50"/>
        <w:rPr>
          <w:szCs w:val="24"/>
        </w:rPr>
      </w:pPr>
    </w:p>
    <w:p>
      <w:pPr>
        <w:pStyle w:val="152"/>
        <w:rPr>
          <w:sz w:val="32"/>
          <w:szCs w:val="32"/>
        </w:rPr>
      </w:pPr>
      <w:r>
        <w:rPr>
          <w:rFonts w:hint="eastAsia"/>
          <w:sz w:val="32"/>
          <w:szCs w:val="32"/>
        </w:rPr>
        <w:t>内蒙古电力（集团）有限责任公司信息通信分公司</w:t>
      </w:r>
    </w:p>
    <w:p>
      <w:pPr>
        <w:pStyle w:val="152"/>
        <w:spacing w:before="156" w:beforeLines="50" w:after="156" w:afterLines="50"/>
        <w:rPr>
          <w:sz w:val="32"/>
          <w:szCs w:val="32"/>
        </w:rPr>
      </w:pPr>
    </w:p>
    <w:p>
      <w:pPr>
        <w:pStyle w:val="152"/>
        <w:spacing w:before="156" w:beforeLines="50" w:after="156" w:afterLines="50"/>
        <w:rPr>
          <w:sz w:val="32"/>
          <w:szCs w:val="32"/>
        </w:rPr>
      </w:pPr>
      <w:r>
        <w:rPr>
          <w:rFonts w:hint="eastAsia"/>
          <w:sz w:val="32"/>
          <w:szCs w:val="32"/>
        </w:rPr>
        <w:t>2022年8月</w:t>
      </w:r>
    </w:p>
    <w:p>
      <w:pPr>
        <w:widowControl/>
        <w:jc w:val="left"/>
        <w:rPr>
          <w:sz w:val="32"/>
          <w:szCs w:val="32"/>
        </w:rPr>
      </w:pPr>
      <w:r>
        <w:rPr>
          <w:sz w:val="32"/>
          <w:szCs w:val="32"/>
        </w:rPr>
        <w:br w:type="page"/>
      </w:r>
    </w:p>
    <w:p>
      <w:pPr>
        <w:jc w:val="center"/>
        <w:rPr>
          <w:rFonts w:ascii="黑体" w:hAnsi="黑体" w:eastAsia="黑体" w:cs="黑体"/>
          <w:sz w:val="32"/>
          <w:szCs w:val="32"/>
        </w:rPr>
      </w:pPr>
      <w:r>
        <w:rPr>
          <w:rFonts w:hint="eastAsia" w:ascii="黑体" w:hAnsi="黑体" w:eastAsia="黑体" w:cs="黑体"/>
          <w:sz w:val="32"/>
          <w:szCs w:val="32"/>
        </w:rPr>
        <w:t>目  录</w:t>
      </w:r>
    </w:p>
    <w:p>
      <w:pPr>
        <w:jc w:val="center"/>
        <w:rPr>
          <w:rFonts w:ascii="黑体" w:hAnsi="黑体" w:eastAsia="黑体" w:cs="黑体"/>
        </w:rPr>
      </w:pPr>
    </w:p>
    <w:p>
      <w:pPr>
        <w:pStyle w:val="44"/>
        <w:tabs>
          <w:tab w:val="right" w:leader="dot" w:pos="8312"/>
        </w:tabs>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TOC \o "1-3" \h \z \u</w:instrText>
      </w:r>
      <w:r>
        <w:rPr>
          <w:rFonts w:hint="eastAsia" w:ascii="黑体" w:hAnsi="黑体" w:eastAsia="黑体" w:cs="黑体"/>
        </w:rPr>
        <w:fldChar w:fldCharType="separate"/>
      </w:r>
      <w:r>
        <w:fldChar w:fldCharType="begin"/>
      </w:r>
      <w:r>
        <w:instrText xml:space="preserve"> HYPERLINK \l "_Toc2516" </w:instrText>
      </w:r>
      <w:r>
        <w:fldChar w:fldCharType="separate"/>
      </w:r>
      <w:r>
        <w:rPr>
          <w:rFonts w:hint="eastAsia" w:ascii="黑体" w:hAnsi="黑体" w:eastAsia="黑体" w:cs="黑体"/>
        </w:rPr>
        <w:t>1总则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_Toc2516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"_Toc13158" </w:instrText>
      </w:r>
      <w:r>
        <w:fldChar w:fldCharType="separate"/>
      </w:r>
      <w:r>
        <w:rPr>
          <w:rFonts w:hint="eastAsia" w:ascii="黑体" w:hAnsi="黑体" w:eastAsia="黑体" w:cs="黑体"/>
          <w:szCs w:val="21"/>
        </w:rPr>
        <w:t>1.1  一般规定</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_Toc13158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"_Toc16624" </w:instrText>
      </w:r>
      <w:r>
        <w:fldChar w:fldCharType="separate"/>
      </w:r>
      <w:r>
        <w:rPr>
          <w:rFonts w:hint="eastAsia" w:ascii="黑体" w:hAnsi="黑体" w:eastAsia="黑体" w:cs="黑体"/>
          <w:szCs w:val="21"/>
        </w:rPr>
        <w:t>1.2  投标人应提供的资质文件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_Toc16624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"_Toc10428" </w:instrText>
      </w:r>
      <w:r>
        <w:fldChar w:fldCharType="separate"/>
      </w:r>
      <w:r>
        <w:rPr>
          <w:rFonts w:hint="eastAsia" w:ascii="黑体" w:hAnsi="黑体" w:eastAsia="黑体" w:cs="黑体"/>
          <w:szCs w:val="21"/>
        </w:rPr>
        <w:t>1.3  工作范围和进度要求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_Toc10428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"_Toc29323" </w:instrText>
      </w:r>
      <w:r>
        <w:fldChar w:fldCharType="separate"/>
      </w:r>
      <w:r>
        <w:rPr>
          <w:rFonts w:hint="eastAsia" w:ascii="黑体" w:hAnsi="黑体" w:eastAsia="黑体" w:cs="黑体"/>
          <w:szCs w:val="21"/>
        </w:rPr>
        <w:t>1.4  标准和规范</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_Toc29323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"_Toc14904" </w:instrText>
      </w:r>
      <w:r>
        <w:fldChar w:fldCharType="separate"/>
      </w:r>
      <w:r>
        <w:rPr>
          <w:rFonts w:hint="eastAsia" w:ascii="黑体" w:hAnsi="黑体" w:eastAsia="黑体" w:cs="黑体"/>
          <w:szCs w:val="21"/>
        </w:rPr>
        <w:t>1.5  需随应急电缆提供的资料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_Toc14904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"_Toc14807" </w:instrText>
      </w:r>
      <w:r>
        <w:fldChar w:fldCharType="separate"/>
      </w:r>
      <w:r>
        <w:rPr>
          <w:rFonts w:hint="eastAsia" w:ascii="黑体" w:hAnsi="黑体" w:eastAsia="黑体" w:cs="黑体"/>
          <w:szCs w:val="21"/>
        </w:rPr>
        <w:t>1.6  投标时必须提供的技术数据和信息</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_Toc14807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"_Toc9529" </w:instrText>
      </w:r>
      <w:r>
        <w:fldChar w:fldCharType="separate"/>
      </w:r>
      <w:r>
        <w:rPr>
          <w:rFonts w:hint="eastAsia" w:ascii="黑体" w:hAnsi="黑体" w:eastAsia="黑体" w:cs="黑体"/>
          <w:szCs w:val="21"/>
        </w:rPr>
        <w:t>1.7  备品备件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_Toc9529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"_Toc6599" </w:instrText>
      </w:r>
      <w:r>
        <w:fldChar w:fldCharType="separate"/>
      </w:r>
      <w:r>
        <w:rPr>
          <w:rFonts w:hint="eastAsia" w:ascii="黑体" w:hAnsi="黑体" w:eastAsia="黑体" w:cs="黑体"/>
          <w:szCs w:val="21"/>
        </w:rPr>
        <w:t>1.8  专用工具和仪器仪表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_Toc6599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"_Toc30639" </w:instrText>
      </w:r>
      <w:r>
        <w:fldChar w:fldCharType="separate"/>
      </w:r>
      <w:r>
        <w:rPr>
          <w:rFonts w:hint="eastAsia" w:ascii="黑体" w:hAnsi="黑体" w:eastAsia="黑体" w:cs="黑体"/>
          <w:szCs w:val="21"/>
        </w:rPr>
        <w:t>1.9  到货、安装、调试、验收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_Toc30639 </w:instrText>
      </w:r>
      <w:r>
        <w:rPr>
          <w:rFonts w:hint="eastAsia" w:ascii="黑体" w:hAnsi="黑体" w:eastAsia="黑体" w:cs="黑体"/>
        </w:rPr>
        <w:fldChar w:fldCharType="separate"/>
      </w:r>
      <w:r>
        <w:rPr>
          <w:rFonts w:hint="eastAsia" w:ascii="黑体" w:hAnsi="黑体" w:eastAsia="黑体" w:cs="黑体"/>
        </w:rPr>
        <w:t>3</w:t>
      </w:r>
      <w:r>
        <w:rPr>
          <w:rFonts w:hint="eastAsia" w:ascii="黑体" w:hAnsi="黑体" w:eastAsia="黑体" w:cs="黑体"/>
        </w:rPr>
        <w:fldChar w:fldCharType="end"/>
      </w:r>
      <w:r>
        <w:rPr>
          <w:rFonts w:hint="eastAsia" w:ascii="黑体" w:hAnsi="黑体" w:eastAsia="黑体" w:cs="黑体"/>
        </w:rPr>
        <w:fldChar w:fldCharType="end"/>
      </w:r>
    </w:p>
    <w:p>
      <w:pPr>
        <w:pStyle w:val="44"/>
        <w:tabs>
          <w:tab w:val="right" w:leader="dot" w:pos="8312"/>
        </w:tabs>
        <w:rPr>
          <w:rFonts w:ascii="黑体" w:hAnsi="黑体" w:eastAsia="黑体" w:cs="黑体"/>
        </w:rPr>
      </w:pPr>
      <w:r>
        <w:fldChar w:fldCharType="begin"/>
      </w:r>
      <w:r>
        <w:instrText xml:space="preserve"> HYPERLINK \l "_Toc19500" </w:instrText>
      </w:r>
      <w:r>
        <w:fldChar w:fldCharType="separate"/>
      </w:r>
      <w:r>
        <w:rPr>
          <w:rFonts w:hint="eastAsia" w:ascii="黑体" w:hAnsi="黑体" w:eastAsia="黑体" w:cs="黑体"/>
        </w:rPr>
        <w:t>2  其他要求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_Toc19500 </w:instrText>
      </w:r>
      <w:r>
        <w:rPr>
          <w:rFonts w:hint="eastAsia" w:ascii="黑体" w:hAnsi="黑体" w:eastAsia="黑体" w:cs="黑体"/>
        </w:rPr>
        <w:fldChar w:fldCharType="separate"/>
      </w:r>
      <w:r>
        <w:rPr>
          <w:rFonts w:hint="eastAsia" w:ascii="黑体" w:hAnsi="黑体" w:eastAsia="黑体" w:cs="黑体"/>
        </w:rPr>
        <w:t>4</w:t>
      </w:r>
      <w:r>
        <w:rPr>
          <w:rFonts w:hint="eastAsia" w:ascii="黑体" w:hAnsi="黑体" w:eastAsia="黑体" w:cs="黑体"/>
        </w:rPr>
        <w:fldChar w:fldCharType="end"/>
      </w:r>
      <w:r>
        <w:rPr>
          <w:rFonts w:hint="eastAsia" w:ascii="黑体" w:hAnsi="黑体" w:eastAsia="黑体" w:cs="黑体"/>
        </w:rPr>
        <w:fldChar w:fldCharType="end"/>
      </w:r>
    </w:p>
    <w:p>
      <w:pPr>
        <w:pStyle w:val="44"/>
        <w:tabs>
          <w:tab w:val="right" w:leader="dot" w:pos="8312"/>
        </w:tabs>
        <w:rPr>
          <w:rFonts w:ascii="黑体" w:hAnsi="黑体" w:eastAsia="黑体" w:cs="黑体"/>
        </w:rPr>
      </w:pPr>
      <w:r>
        <w:fldChar w:fldCharType="begin"/>
      </w:r>
      <w:r>
        <w:instrText xml:space="preserve"> HYPERLINK \l "_Toc24900" </w:instrText>
      </w:r>
      <w:r>
        <w:fldChar w:fldCharType="separate"/>
      </w:r>
      <w:r>
        <w:rPr>
          <w:rFonts w:hint="eastAsia" w:ascii="黑体" w:hAnsi="黑体" w:eastAsia="黑体" w:cs="黑体"/>
        </w:rPr>
        <w:t>3  试验</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_Toc24900 </w:instrText>
      </w:r>
      <w:r>
        <w:rPr>
          <w:rFonts w:hint="eastAsia" w:ascii="黑体" w:hAnsi="黑体" w:eastAsia="黑体" w:cs="黑体"/>
        </w:rPr>
        <w:fldChar w:fldCharType="separate"/>
      </w:r>
      <w:r>
        <w:rPr>
          <w:rFonts w:hint="eastAsia" w:ascii="黑体" w:hAnsi="黑体" w:eastAsia="黑体" w:cs="黑体"/>
        </w:rPr>
        <w:t>4</w:t>
      </w:r>
      <w:r>
        <w:rPr>
          <w:rFonts w:hint="eastAsia" w:ascii="黑体" w:hAnsi="黑体" w:eastAsia="黑体" w:cs="黑体"/>
        </w:rPr>
        <w:fldChar w:fldCharType="end"/>
      </w:r>
      <w:r>
        <w:rPr>
          <w:rFonts w:hint="eastAsia" w:ascii="黑体" w:hAnsi="黑体" w:eastAsia="黑体" w:cs="黑体"/>
        </w:rPr>
        <w:fldChar w:fldCharType="end"/>
      </w:r>
    </w:p>
    <w:p>
      <w:pPr>
        <w:pStyle w:val="44"/>
        <w:tabs>
          <w:tab w:val="right" w:leader="dot" w:pos="8312"/>
        </w:tabs>
        <w:rPr>
          <w:rFonts w:ascii="黑体" w:hAnsi="黑体" w:eastAsia="黑体" w:cs="黑体"/>
        </w:rPr>
      </w:pPr>
      <w:r>
        <w:fldChar w:fldCharType="begin"/>
      </w:r>
      <w:r>
        <w:instrText xml:space="preserve"> HYPERLINK \l "_Toc4799" </w:instrText>
      </w:r>
      <w:r>
        <w:fldChar w:fldCharType="separate"/>
      </w:r>
      <w:r>
        <w:rPr>
          <w:rFonts w:hint="eastAsia" w:ascii="黑体" w:hAnsi="黑体" w:eastAsia="黑体" w:cs="黑体"/>
        </w:rPr>
        <w:t>4  质保服务</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_Toc4799 </w:instrText>
      </w:r>
      <w:r>
        <w:rPr>
          <w:rFonts w:hint="eastAsia" w:ascii="黑体" w:hAnsi="黑体" w:eastAsia="黑体" w:cs="黑体"/>
        </w:rPr>
        <w:fldChar w:fldCharType="separate"/>
      </w:r>
      <w:r>
        <w:rPr>
          <w:rFonts w:hint="eastAsia" w:ascii="黑体" w:hAnsi="黑体" w:eastAsia="黑体" w:cs="黑体"/>
        </w:rPr>
        <w:t>4</w:t>
      </w:r>
      <w:r>
        <w:rPr>
          <w:rFonts w:hint="eastAsia" w:ascii="黑体" w:hAnsi="黑体" w:eastAsia="黑体" w:cs="黑体"/>
        </w:rPr>
        <w:fldChar w:fldCharType="end"/>
      </w:r>
      <w:r>
        <w:rPr>
          <w:rFonts w:hint="eastAsia" w:ascii="黑体" w:hAnsi="黑体" w:eastAsia="黑体" w:cs="黑体"/>
        </w:rPr>
        <w:fldChar w:fldCharType="end"/>
      </w:r>
    </w:p>
    <w:p>
      <w:pPr>
        <w:pStyle w:val="44"/>
        <w:tabs>
          <w:tab w:val="right" w:leader="dot" w:pos="8312"/>
        </w:tabs>
        <w:rPr>
          <w:rFonts w:ascii="黑体" w:hAnsi="黑体" w:eastAsia="黑体" w:cs="黑体"/>
        </w:rPr>
      </w:pPr>
      <w:r>
        <w:fldChar w:fldCharType="begin"/>
      </w:r>
      <w:r>
        <w:instrText xml:space="preserve"> HYPERLINK \l "_Toc29368" </w:instrText>
      </w:r>
      <w:r>
        <w:fldChar w:fldCharType="separate"/>
      </w:r>
      <w:r>
        <w:rPr>
          <w:rFonts w:hint="eastAsia" w:ascii="黑体" w:hAnsi="黑体" w:eastAsia="黑体" w:cs="黑体"/>
        </w:rPr>
        <w:t>5  标准技术参数表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_Toc29368 </w:instrText>
      </w:r>
      <w:r>
        <w:rPr>
          <w:rFonts w:hint="eastAsia" w:ascii="黑体" w:hAnsi="黑体" w:eastAsia="黑体" w:cs="黑体"/>
        </w:rPr>
        <w:fldChar w:fldCharType="separate"/>
      </w:r>
      <w:r>
        <w:rPr>
          <w:rFonts w:hint="eastAsia" w:ascii="黑体" w:hAnsi="黑体" w:eastAsia="黑体" w:cs="黑体"/>
        </w:rPr>
        <w:t>5</w:t>
      </w:r>
      <w:r>
        <w:rPr>
          <w:rFonts w:hint="eastAsia" w:ascii="黑体" w:hAnsi="黑体" w:eastAsia="黑体" w:cs="黑体"/>
        </w:rPr>
        <w:fldChar w:fldCharType="end"/>
      </w:r>
      <w:r>
        <w:rPr>
          <w:rFonts w:hint="eastAsia" w:ascii="黑体" w:hAnsi="黑体" w:eastAsia="黑体" w:cs="黑体"/>
        </w:rPr>
        <w:fldChar w:fldCharType="end"/>
      </w:r>
    </w:p>
    <w:p>
      <w:pPr>
        <w:pStyle w:val="44"/>
        <w:tabs>
          <w:tab w:val="right" w:leader="dot" w:pos="8312"/>
        </w:tabs>
        <w:rPr>
          <w:rFonts w:ascii="黑体" w:hAnsi="黑体" w:eastAsia="黑体" w:cs="黑体"/>
        </w:rPr>
      </w:pPr>
      <w:r>
        <w:fldChar w:fldCharType="begin"/>
      </w:r>
      <w:r>
        <w:instrText xml:space="preserve"> HYPERLINK \l "_Toc24960" </w:instrText>
      </w:r>
      <w:r>
        <w:fldChar w:fldCharType="separate"/>
      </w:r>
      <w:r>
        <w:rPr>
          <w:rFonts w:hint="eastAsia" w:ascii="黑体" w:hAnsi="黑体" w:eastAsia="黑体" w:cs="黑体"/>
        </w:rPr>
        <w:t>6  项目需求部分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_Toc24960 </w:instrText>
      </w:r>
      <w:r>
        <w:rPr>
          <w:rFonts w:hint="eastAsia" w:ascii="黑体" w:hAnsi="黑体" w:eastAsia="黑体" w:cs="黑体"/>
        </w:rPr>
        <w:fldChar w:fldCharType="separate"/>
      </w:r>
      <w:r>
        <w:rPr>
          <w:rFonts w:hint="eastAsia" w:ascii="黑体" w:hAnsi="黑体" w:eastAsia="黑体" w:cs="黑体"/>
        </w:rPr>
        <w:t>5</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"_Toc25924" </w:instrText>
      </w:r>
      <w:r>
        <w:fldChar w:fldCharType="separate"/>
      </w:r>
      <w:r>
        <w:rPr>
          <w:rFonts w:hint="eastAsia" w:ascii="黑体" w:hAnsi="黑体" w:eastAsia="黑体" w:cs="黑体"/>
          <w:szCs w:val="21"/>
        </w:rPr>
        <w:t>6.1  货物需求及供货范围</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_Toc25924 </w:instrText>
      </w:r>
      <w:r>
        <w:rPr>
          <w:rFonts w:hint="eastAsia" w:ascii="黑体" w:hAnsi="黑体" w:eastAsia="黑体" w:cs="黑体"/>
        </w:rPr>
        <w:fldChar w:fldCharType="separate"/>
      </w:r>
      <w:r>
        <w:rPr>
          <w:rFonts w:hint="eastAsia" w:ascii="黑体" w:hAnsi="黑体" w:eastAsia="黑体" w:cs="黑体"/>
        </w:rPr>
        <w:t>5</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"_Toc4615" </w:instrText>
      </w:r>
      <w:r>
        <w:fldChar w:fldCharType="separate"/>
      </w:r>
      <w:r>
        <w:rPr>
          <w:rFonts w:hint="eastAsia" w:ascii="黑体" w:hAnsi="黑体" w:eastAsia="黑体" w:cs="黑体"/>
          <w:szCs w:val="21"/>
        </w:rPr>
        <w:t>6.2  工程概况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_Toc4615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"_Toc15615" </w:instrText>
      </w:r>
      <w:r>
        <w:fldChar w:fldCharType="separate"/>
      </w:r>
      <w:r>
        <w:rPr>
          <w:rFonts w:hint="eastAsia" w:ascii="黑体" w:hAnsi="黑体" w:eastAsia="黑体" w:cs="黑体"/>
          <w:szCs w:val="21"/>
        </w:rPr>
        <w:t>6.3  使用条件</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_Toc15615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"_Toc16828" </w:instrText>
      </w:r>
      <w:r>
        <w:fldChar w:fldCharType="separate"/>
      </w:r>
      <w:r>
        <w:rPr>
          <w:rFonts w:hint="eastAsia" w:ascii="黑体" w:hAnsi="黑体" w:eastAsia="黑体" w:cs="黑体"/>
          <w:szCs w:val="21"/>
        </w:rPr>
        <w:t>6.4  可选技术参数表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_Toc16828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"_Toc263" </w:instrText>
      </w:r>
      <w:r>
        <w:fldChar w:fldCharType="separate"/>
      </w:r>
      <w:r>
        <w:rPr>
          <w:rFonts w:hint="eastAsia" w:ascii="黑体" w:hAnsi="黑体" w:eastAsia="黑体" w:cs="黑体"/>
          <w:szCs w:val="21"/>
        </w:rPr>
        <w:t>6.5  项目单位技术差异表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_Toc263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"_Toc32593" </w:instrText>
      </w:r>
      <w:r>
        <w:fldChar w:fldCharType="separate"/>
      </w:r>
      <w:r>
        <w:rPr>
          <w:rFonts w:hint="eastAsia" w:ascii="黑体" w:hAnsi="黑体" w:eastAsia="黑体" w:cs="黑体"/>
          <w:szCs w:val="21"/>
        </w:rPr>
        <w:t>6.6  培训及到货需求</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_Toc32593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"_Toc8672" </w:instrText>
      </w:r>
      <w:r>
        <w:fldChar w:fldCharType="separate"/>
      </w:r>
      <w:r>
        <w:rPr>
          <w:rFonts w:hint="eastAsia" w:ascii="黑体" w:hAnsi="黑体" w:eastAsia="黑体" w:cs="黑体"/>
          <w:szCs w:val="21"/>
        </w:rPr>
        <w:t>6.7  招标人提出的其他资料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_Toc8672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44"/>
        <w:tabs>
          <w:tab w:val="right" w:leader="dot" w:pos="8312"/>
        </w:tabs>
        <w:rPr>
          <w:rFonts w:ascii="黑体" w:hAnsi="黑体" w:eastAsia="黑体" w:cs="黑体"/>
        </w:rPr>
      </w:pPr>
      <w:r>
        <w:fldChar w:fldCharType="begin"/>
      </w:r>
      <w:r>
        <w:instrText xml:space="preserve"> HYPERLINK \l "_Toc11293" </w:instrText>
      </w:r>
      <w:r>
        <w:fldChar w:fldCharType="separate"/>
      </w:r>
      <w:r>
        <w:rPr>
          <w:rFonts w:hint="eastAsia" w:ascii="黑体" w:hAnsi="黑体" w:eastAsia="黑体" w:cs="黑体"/>
        </w:rPr>
        <w:t>7. 投标人响应部分</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_Toc11293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"_Toc6425" </w:instrText>
      </w:r>
      <w:r>
        <w:fldChar w:fldCharType="separate"/>
      </w:r>
      <w:r>
        <w:rPr>
          <w:rFonts w:hint="eastAsia" w:ascii="黑体" w:hAnsi="黑体" w:eastAsia="黑体" w:cs="黑体"/>
          <w:szCs w:val="21"/>
        </w:rPr>
        <w:t>7.1  投标人技术偏差表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_Toc6425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"_Toc19132" </w:instrText>
      </w:r>
      <w:r>
        <w:fldChar w:fldCharType="separate"/>
      </w:r>
      <w:r>
        <w:rPr>
          <w:rFonts w:hint="eastAsia" w:ascii="黑体" w:hAnsi="黑体" w:eastAsia="黑体" w:cs="黑体"/>
          <w:szCs w:val="21"/>
        </w:rPr>
        <w:t>7.2  产品部件列表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_Toc19132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"_Toc14592" </w:instrText>
      </w:r>
      <w:r>
        <w:fldChar w:fldCharType="separate"/>
      </w:r>
      <w:r>
        <w:rPr>
          <w:rFonts w:hint="eastAsia" w:ascii="黑体" w:hAnsi="黑体" w:eastAsia="黑体" w:cs="黑体"/>
          <w:szCs w:val="21"/>
        </w:rPr>
        <w:t>7.3  推荐的备品备件、专用工具和仪器仪表供货表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_Toc14592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"_Toc24031" </w:instrText>
      </w:r>
      <w:r>
        <w:fldChar w:fldCharType="separate"/>
      </w:r>
      <w:r>
        <w:rPr>
          <w:rFonts w:hint="eastAsia" w:ascii="黑体" w:hAnsi="黑体" w:eastAsia="黑体" w:cs="黑体"/>
          <w:szCs w:val="21"/>
        </w:rPr>
        <w:t>7.4  销售及运行业绩表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_Toc24031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"_Toc29875" </w:instrText>
      </w:r>
      <w:r>
        <w:fldChar w:fldCharType="separate"/>
      </w:r>
      <w:r>
        <w:rPr>
          <w:rFonts w:hint="eastAsia" w:ascii="黑体" w:hAnsi="黑体" w:eastAsia="黑体" w:cs="黑体"/>
          <w:szCs w:val="21"/>
        </w:rPr>
        <w:t>7.5  用户使用情况证明或有关合同证明材料</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_Toc29875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51"/>
        <w:tabs>
          <w:tab w:val="right" w:leader="dot" w:pos="8312"/>
        </w:tabs>
        <w:rPr>
          <w:rFonts w:ascii="黑体" w:hAnsi="黑体" w:eastAsia="黑体" w:cs="黑体"/>
        </w:rPr>
      </w:pPr>
      <w:r>
        <w:fldChar w:fldCharType="begin"/>
      </w:r>
      <w:r>
        <w:instrText xml:space="preserve"> HYPERLINK \l "_Toc25236" </w:instrText>
      </w:r>
      <w:r>
        <w:fldChar w:fldCharType="separate"/>
      </w:r>
      <w:r>
        <w:rPr>
          <w:rFonts w:hint="eastAsia" w:ascii="黑体" w:hAnsi="黑体" w:eastAsia="黑体" w:cs="黑体"/>
          <w:szCs w:val="21"/>
        </w:rPr>
        <w:t>7.6  本投标产品其他有关资料及说明</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_Toc25236 </w:instrText>
      </w:r>
      <w:r>
        <w:rPr>
          <w:rFonts w:hint="eastAsia" w:ascii="黑体" w:hAnsi="黑体" w:eastAsia="黑体" w:cs="黑体"/>
        </w:rPr>
        <w:fldChar w:fldCharType="separate"/>
      </w:r>
      <w:r>
        <w:rPr>
          <w:rFonts w:hint="eastAsia" w:ascii="黑体" w:hAnsi="黑体" w:eastAsia="黑体" w:cs="黑体"/>
        </w:rPr>
        <w:t>9</w:t>
      </w:r>
      <w:r>
        <w:rPr>
          <w:rFonts w:hint="eastAsia" w:ascii="黑体" w:hAnsi="黑体" w:eastAsia="黑体" w:cs="黑体"/>
        </w:rPr>
        <w:fldChar w:fldCharType="end"/>
      </w:r>
      <w:r>
        <w:rPr>
          <w:rFonts w:hint="eastAsia" w:ascii="黑体" w:hAnsi="黑体" w:eastAsia="黑体" w:cs="黑体"/>
        </w:rPr>
        <w:fldChar w:fldCharType="end"/>
      </w:r>
    </w:p>
    <w:p>
      <w:r>
        <w:rPr>
          <w:rFonts w:hint="eastAsia" w:ascii="黑体" w:hAnsi="黑体" w:eastAsia="黑体" w:cs="黑体"/>
        </w:rPr>
        <w:fldChar w:fldCharType="end"/>
      </w:r>
    </w:p>
    <w:p/>
    <w:p/>
    <w:p/>
    <w:p>
      <w:r>
        <w:br w:type="page"/>
      </w:r>
    </w:p>
    <w:bookmarkEnd w:id="0"/>
    <w:p>
      <w:pPr>
        <w:pStyle w:val="2"/>
        <w:rPr>
          <w:rFonts w:eastAsia="宋体"/>
          <w:kern w:val="2"/>
        </w:rPr>
      </w:pPr>
      <w:bookmarkStart w:id="1" w:name="_Toc351055265"/>
      <w:bookmarkStart w:id="2" w:name="_Toc2516"/>
      <w:r>
        <w:rPr>
          <w:rFonts w:hint="eastAsia" w:eastAsia="宋体"/>
          <w:b/>
          <w:kern w:val="2"/>
        </w:rPr>
        <w:t>1总则</w:t>
      </w:r>
      <w:bookmarkEnd w:id="1"/>
      <w:bookmarkEnd w:id="2"/>
    </w:p>
    <w:p>
      <w:pPr>
        <w:pStyle w:val="3"/>
        <w:topLinePunct/>
        <w:spacing w:before="0" w:after="0" w:line="240" w:lineRule="auto"/>
        <w:ind w:firstLine="420"/>
        <w:rPr>
          <w:rFonts w:eastAsia="宋体"/>
          <w:sz w:val="21"/>
          <w:szCs w:val="21"/>
        </w:rPr>
      </w:pPr>
      <w:bookmarkStart w:id="3" w:name="_Toc351055266"/>
      <w:bookmarkStart w:id="4" w:name="_Toc155151642"/>
      <w:bookmarkStart w:id="5" w:name="_Toc13158"/>
      <w:r>
        <w:rPr>
          <w:rFonts w:hint="eastAsia" w:eastAsia="宋体"/>
          <w:sz w:val="21"/>
          <w:szCs w:val="21"/>
        </w:rPr>
        <w:t>1.1  一般规定</w:t>
      </w:r>
      <w:bookmarkEnd w:id="3"/>
      <w:bookmarkEnd w:id="4"/>
      <w:bookmarkEnd w:id="5"/>
    </w:p>
    <w:p>
      <w:pPr>
        <w:topLinePunct/>
        <w:ind w:firstLine="420"/>
        <w:rPr>
          <w:szCs w:val="21"/>
        </w:rPr>
      </w:pPr>
      <w:bookmarkStart w:id="6" w:name="_Toc155151643"/>
      <w:r>
        <w:rPr>
          <w:rFonts w:hint="eastAsia"/>
          <w:b/>
          <w:szCs w:val="21"/>
        </w:rPr>
        <w:t>1.1.1</w:t>
      </w:r>
      <w:r>
        <w:rPr>
          <w:rFonts w:hint="eastAsia"/>
          <w:szCs w:val="21"/>
        </w:rPr>
        <w:t xml:space="preserve">  投标人应具备招标公告所要求的资质，具体资质要求详见招标文件的商务部分。</w:t>
      </w:r>
    </w:p>
    <w:p>
      <w:pPr>
        <w:topLinePunct/>
        <w:ind w:firstLine="420"/>
        <w:rPr>
          <w:szCs w:val="21"/>
        </w:rPr>
      </w:pPr>
      <w:r>
        <w:rPr>
          <w:rFonts w:hint="eastAsia"/>
          <w:b/>
          <w:szCs w:val="21"/>
        </w:rPr>
        <w:t>1.1.2</w:t>
      </w:r>
      <w:r>
        <w:rPr>
          <w:rFonts w:hint="eastAsia"/>
          <w:szCs w:val="21"/>
        </w:rPr>
        <w:t xml:space="preserve">  投标人须仔细阅读包括本技术规范在内的招标文件阐述的全部条款，投标人提供的应急电缆应符合招标文件所规定的要求。</w:t>
      </w:r>
    </w:p>
    <w:p>
      <w:pPr>
        <w:topLinePunct/>
        <w:ind w:firstLine="420"/>
        <w:rPr>
          <w:szCs w:val="21"/>
        </w:rPr>
      </w:pPr>
      <w:r>
        <w:rPr>
          <w:rFonts w:hint="eastAsia"/>
          <w:b/>
          <w:szCs w:val="21"/>
        </w:rPr>
        <w:t>1.1.3</w:t>
      </w:r>
      <w:r>
        <w:rPr>
          <w:rFonts w:hint="eastAsia"/>
          <w:szCs w:val="21"/>
        </w:rPr>
        <w:t xml:space="preserve">  本招标文件技术规范提出了对产品的技术参数、性能、试验等方面的技术要求。</w:t>
      </w:r>
    </w:p>
    <w:p>
      <w:pPr>
        <w:topLinePunct/>
        <w:ind w:firstLine="420"/>
        <w:rPr>
          <w:szCs w:val="21"/>
        </w:rPr>
      </w:pPr>
      <w:r>
        <w:rPr>
          <w:rFonts w:hint="eastAsia"/>
          <w:b/>
          <w:szCs w:val="21"/>
        </w:rPr>
        <w:t>1.1.4</w:t>
      </w:r>
      <w:r>
        <w:rPr>
          <w:rFonts w:hint="eastAsia"/>
          <w:szCs w:val="21"/>
        </w:rPr>
        <w:t xml:space="preserve"> 本招标文件提出的是最低限度的技术要求，并未对一切技术细节做出规定，也未充分引述有关标准和规范的条文，投标人应提供符合本技术规范引用标准的最新版本标准和本招标文件技术要求的全新产品，如果所引用的标准之间不一致或本招标文件的要求如与投标人所执行的标准不一致时，按要求较高的指标执行。</w:t>
      </w:r>
    </w:p>
    <w:p>
      <w:pPr>
        <w:topLinePunct/>
        <w:ind w:firstLine="420"/>
        <w:rPr>
          <w:szCs w:val="21"/>
        </w:rPr>
      </w:pPr>
      <w:r>
        <w:rPr>
          <w:rFonts w:hint="eastAsia"/>
          <w:b/>
          <w:szCs w:val="21"/>
        </w:rPr>
        <w:t>1.1.5</w:t>
      </w:r>
      <w:r>
        <w:rPr>
          <w:rFonts w:hint="eastAsia"/>
          <w:szCs w:val="21"/>
        </w:rPr>
        <w:t xml:space="preserve">  如果投标人没有以书面形式对本招标文件技术规范的条文提出差异，则表示投标人提供的产品完全符合本招标文件的要求，如有与本招标文件要求不一致的地方，必须逐项在技术规范书表7-1（技术偏差表）中列出。</w:t>
      </w:r>
    </w:p>
    <w:p>
      <w:pPr>
        <w:topLinePunct/>
        <w:ind w:firstLine="420"/>
        <w:rPr>
          <w:szCs w:val="21"/>
        </w:rPr>
      </w:pPr>
      <w:r>
        <w:rPr>
          <w:rFonts w:hint="eastAsia"/>
          <w:b/>
          <w:szCs w:val="21"/>
        </w:rPr>
        <w:t>1.1.6</w:t>
      </w:r>
      <w:r>
        <w:rPr>
          <w:rFonts w:hint="eastAsia"/>
          <w:szCs w:val="21"/>
        </w:rPr>
        <w:t xml:space="preserve">  本招标文件技术规范将作为订货合同的附件，与合同具有同等的法律效力。本招标文件技术规范未尽事宜，由合同签约双方在合同谈判时协商确定。</w:t>
      </w:r>
    </w:p>
    <w:p>
      <w:pPr>
        <w:topLinePunct/>
        <w:ind w:firstLine="420"/>
        <w:rPr>
          <w:szCs w:val="21"/>
        </w:rPr>
      </w:pPr>
      <w:r>
        <w:rPr>
          <w:rFonts w:hint="eastAsia"/>
          <w:b/>
          <w:szCs w:val="21"/>
        </w:rPr>
        <w:t>1.1.7</w:t>
      </w:r>
      <w:r>
        <w:rPr>
          <w:rFonts w:hint="eastAsia"/>
          <w:szCs w:val="21"/>
        </w:rPr>
        <w:t xml:space="preserve">  本技术规范中涉及有关商务方面的内容，如与招标文件的商务部分有矛盾时，以商务部分为准。</w:t>
      </w:r>
    </w:p>
    <w:p>
      <w:pPr>
        <w:topLinePunct/>
        <w:ind w:firstLine="420"/>
        <w:rPr>
          <w:szCs w:val="21"/>
        </w:rPr>
      </w:pPr>
      <w:r>
        <w:rPr>
          <w:rFonts w:hint="eastAsia"/>
          <w:b/>
          <w:szCs w:val="21"/>
        </w:rPr>
        <w:t xml:space="preserve">1.1.8 </w:t>
      </w:r>
      <w:r>
        <w:rPr>
          <w:rFonts w:hint="eastAsia"/>
          <w:szCs w:val="21"/>
        </w:rPr>
        <w:t xml:space="preserve"> 投标文件以中文书写。</w:t>
      </w:r>
    </w:p>
    <w:p>
      <w:pPr>
        <w:topLinePunct/>
        <w:ind w:firstLine="420"/>
        <w:rPr>
          <w:szCs w:val="21"/>
        </w:rPr>
      </w:pPr>
      <w:r>
        <w:rPr>
          <w:rFonts w:hint="eastAsia"/>
          <w:b/>
          <w:szCs w:val="21"/>
        </w:rPr>
        <w:t>1.1.</w:t>
      </w:r>
      <w:r>
        <w:rPr>
          <w:rFonts w:hint="eastAsia"/>
          <w:b/>
          <w:szCs w:val="21"/>
          <w:lang w:val="en-US" w:eastAsia="zh-CN"/>
        </w:rPr>
        <w:t>9</w:t>
      </w:r>
      <w:r>
        <w:rPr>
          <w:rFonts w:hint="eastAsia"/>
          <w:szCs w:val="21"/>
        </w:rPr>
        <w:t>投标人必须按本技术规范书的顺序对技术规范书各章的每一项给予回答。</w:t>
      </w:r>
    </w:p>
    <w:p>
      <w:pPr>
        <w:topLinePunct/>
        <w:ind w:firstLine="420"/>
        <w:rPr>
          <w:szCs w:val="21"/>
        </w:rPr>
      </w:pPr>
      <w:r>
        <w:rPr>
          <w:rFonts w:hint="eastAsia"/>
          <w:b/>
          <w:szCs w:val="21"/>
        </w:rPr>
        <w:t>1.1.1</w:t>
      </w:r>
      <w:r>
        <w:rPr>
          <w:rFonts w:hint="eastAsia"/>
          <w:b/>
          <w:szCs w:val="21"/>
          <w:lang w:val="en-US" w:eastAsia="zh-CN"/>
        </w:rPr>
        <w:t>0</w:t>
      </w:r>
      <w:r>
        <w:rPr>
          <w:rFonts w:hint="eastAsia"/>
          <w:szCs w:val="21"/>
        </w:rPr>
        <w:t>投标人的应答书必须清楚地指明和响应技术规范书中各章每一项要求的实际指标值，不能以简单地回答“满足”或“符合”，如果没有明确实际指标值或假报指标值的将会严重影响评审结果。如果投标人认为技术规范书所描述需求、图形或产品存在部分要求不合理，可在响应原要求后给出建议。</w:t>
      </w:r>
    </w:p>
    <w:p>
      <w:pPr>
        <w:topLinePunct/>
        <w:ind w:firstLine="420"/>
        <w:rPr>
          <w:szCs w:val="21"/>
        </w:rPr>
      </w:pPr>
      <w:r>
        <w:rPr>
          <w:rFonts w:hint="eastAsia"/>
          <w:b/>
          <w:szCs w:val="21"/>
        </w:rPr>
        <w:t>1.1.1</w:t>
      </w:r>
      <w:r>
        <w:rPr>
          <w:rFonts w:hint="eastAsia"/>
          <w:b/>
          <w:szCs w:val="21"/>
          <w:lang w:val="en-US" w:eastAsia="zh-CN"/>
        </w:rPr>
        <w:t>1</w:t>
      </w:r>
      <w:r>
        <w:rPr>
          <w:rFonts w:hint="eastAsia"/>
          <w:b/>
          <w:szCs w:val="21"/>
        </w:rPr>
        <w:t xml:space="preserve"> </w:t>
      </w:r>
      <w:r>
        <w:rPr>
          <w:rFonts w:hint="eastAsia"/>
          <w:szCs w:val="21"/>
        </w:rPr>
        <w:t>投标人必须为招标人配置应急电缆软硬件实施、技术支持和保修服务团队。</w:t>
      </w:r>
    </w:p>
    <w:bookmarkEnd w:id="6"/>
    <w:p>
      <w:pPr>
        <w:pStyle w:val="3"/>
        <w:topLinePunct/>
        <w:spacing w:before="0" w:after="0" w:line="240" w:lineRule="auto"/>
        <w:ind w:firstLine="420"/>
        <w:rPr>
          <w:rFonts w:eastAsia="宋体"/>
          <w:sz w:val="21"/>
          <w:szCs w:val="21"/>
        </w:rPr>
      </w:pPr>
      <w:bookmarkStart w:id="7" w:name="_Toc351055267"/>
      <w:bookmarkStart w:id="8" w:name="_Toc350980419"/>
      <w:bookmarkStart w:id="9" w:name="_Toc16624"/>
      <w:bookmarkStart w:id="10" w:name="_Toc155151644"/>
      <w:r>
        <w:rPr>
          <w:rFonts w:hint="eastAsia" w:eastAsia="宋体"/>
          <w:sz w:val="21"/>
          <w:szCs w:val="21"/>
        </w:rPr>
        <w:t>1.2  投标人应提供的资质文件</w:t>
      </w:r>
      <w:bookmarkEnd w:id="7"/>
      <w:bookmarkEnd w:id="8"/>
      <w:bookmarkEnd w:id="9"/>
    </w:p>
    <w:p>
      <w:pPr>
        <w:topLinePunct/>
        <w:ind w:firstLine="420"/>
        <w:rPr>
          <w:szCs w:val="21"/>
        </w:rPr>
      </w:pPr>
      <w:r>
        <w:rPr>
          <w:rFonts w:hint="eastAsia"/>
          <w:szCs w:val="21"/>
        </w:rPr>
        <w:t>投标人在投标文件中应提供下列合格的资质文件，否则视为非响应性投标。</w:t>
      </w:r>
    </w:p>
    <w:p>
      <w:pPr>
        <w:topLinePunct/>
        <w:ind w:firstLine="420"/>
        <w:rPr>
          <w:szCs w:val="21"/>
        </w:rPr>
      </w:pPr>
      <w:r>
        <w:rPr>
          <w:rFonts w:hint="eastAsia"/>
          <w:b/>
          <w:szCs w:val="21"/>
        </w:rPr>
        <w:t>1.2.1</w:t>
      </w:r>
      <w:r>
        <w:rPr>
          <w:rFonts w:hint="eastAsia"/>
          <w:szCs w:val="21"/>
        </w:rPr>
        <w:t xml:space="preserve">  同类产品的销售记录填写格式见技术规范书表7-4，并提供相应的最终用户的使用情况证明或</w:t>
      </w:r>
      <w:r>
        <w:rPr>
          <w:rFonts w:hint="eastAsia"/>
        </w:rPr>
        <w:t>有关合同证明材料（用户合同封面及签字盖章页复印件等）</w:t>
      </w:r>
      <w:r>
        <w:rPr>
          <w:rFonts w:hint="eastAsia"/>
          <w:szCs w:val="21"/>
        </w:rPr>
        <w:t>。</w:t>
      </w:r>
    </w:p>
    <w:bookmarkEnd w:id="10"/>
    <w:p>
      <w:pPr>
        <w:pStyle w:val="3"/>
        <w:topLinePunct/>
        <w:spacing w:before="0" w:after="0" w:line="240" w:lineRule="auto"/>
        <w:ind w:firstLine="420"/>
        <w:rPr>
          <w:rFonts w:eastAsia="宋体"/>
          <w:sz w:val="21"/>
          <w:szCs w:val="21"/>
        </w:rPr>
      </w:pPr>
      <w:bookmarkStart w:id="11" w:name="_Toc350980420"/>
      <w:bookmarkStart w:id="12" w:name="_Toc10428"/>
      <w:bookmarkStart w:id="13" w:name="_Toc351055268"/>
      <w:bookmarkStart w:id="14" w:name="_Toc246863041"/>
      <w:bookmarkStart w:id="15" w:name="_Toc251665635"/>
      <w:bookmarkStart w:id="16" w:name="_Toc241911373"/>
      <w:bookmarkStart w:id="17" w:name="_Toc155151645"/>
      <w:r>
        <w:rPr>
          <w:rFonts w:hint="eastAsia" w:eastAsia="宋体"/>
          <w:sz w:val="21"/>
          <w:szCs w:val="21"/>
        </w:rPr>
        <w:t>1.3 工作范围和进度要求</w:t>
      </w:r>
      <w:bookmarkEnd w:id="11"/>
      <w:bookmarkEnd w:id="12"/>
      <w:bookmarkEnd w:id="13"/>
    </w:p>
    <w:p>
      <w:pPr>
        <w:topLinePunct/>
        <w:ind w:firstLine="420"/>
        <w:rPr>
          <w:szCs w:val="21"/>
        </w:rPr>
      </w:pPr>
      <w:r>
        <w:rPr>
          <w:rFonts w:hint="eastAsia"/>
          <w:b/>
          <w:szCs w:val="21"/>
        </w:rPr>
        <w:t>1.3.1</w:t>
      </w:r>
      <w:r>
        <w:rPr>
          <w:rFonts w:hint="eastAsia"/>
          <w:b/>
          <w:szCs w:val="21"/>
        </w:rPr>
        <w:tab/>
      </w:r>
      <w:r>
        <w:rPr>
          <w:rFonts w:hint="eastAsia"/>
          <w:szCs w:val="21"/>
        </w:rPr>
        <w:t>本招标文件仅适用于技术规范货物需求一览表（表6-1）中所列的应急电缆。</w:t>
      </w:r>
    </w:p>
    <w:p>
      <w:pPr>
        <w:topLinePunct/>
        <w:ind w:firstLine="420"/>
        <w:rPr>
          <w:szCs w:val="21"/>
        </w:rPr>
      </w:pPr>
      <w:r>
        <w:rPr>
          <w:rFonts w:hint="eastAsia"/>
          <w:b/>
          <w:szCs w:val="21"/>
        </w:rPr>
        <w:t>1.3.2</w:t>
      </w:r>
      <w:r>
        <w:rPr>
          <w:rFonts w:hint="eastAsia"/>
          <w:szCs w:val="21"/>
        </w:rPr>
        <w:tab/>
      </w:r>
      <w:r>
        <w:rPr>
          <w:rFonts w:hint="eastAsia"/>
          <w:szCs w:val="21"/>
        </w:rPr>
        <w:t>合同签订时，应确定卖方向买方提交生产进度计划的时限。卖方应在买方要求的时限内向买方提交详尽的生产进度计划。</w:t>
      </w:r>
    </w:p>
    <w:p>
      <w:pPr>
        <w:topLinePunct/>
        <w:ind w:firstLine="420"/>
        <w:rPr>
          <w:szCs w:val="21"/>
        </w:rPr>
      </w:pPr>
      <w:r>
        <w:rPr>
          <w:rFonts w:hint="eastAsia"/>
          <w:b/>
          <w:szCs w:val="21"/>
        </w:rPr>
        <w:t>1.3.3</w:t>
      </w:r>
      <w:r>
        <w:rPr>
          <w:rFonts w:hint="eastAsia"/>
          <w:szCs w:val="21"/>
        </w:rPr>
        <w:t xml:space="preserve">  如生产进度有延误，卖方应及时将延误的原因、产生的影响及准备采取的补救措施等向买方加以解释，并尽可能保证交货的进度；应及时向买方通报，以便买方能采取必要的应对延迟交货的措施。</w:t>
      </w:r>
    </w:p>
    <w:p>
      <w:pPr>
        <w:pStyle w:val="3"/>
        <w:topLinePunct/>
        <w:spacing w:before="0" w:after="0" w:line="240" w:lineRule="auto"/>
        <w:ind w:firstLine="420"/>
        <w:rPr>
          <w:rFonts w:eastAsia="宋体"/>
          <w:sz w:val="21"/>
          <w:szCs w:val="21"/>
        </w:rPr>
      </w:pPr>
      <w:bookmarkStart w:id="18" w:name="_Toc29323"/>
      <w:bookmarkStart w:id="19" w:name="_Toc351055269"/>
      <w:r>
        <w:rPr>
          <w:rFonts w:hint="eastAsia" w:eastAsia="宋体"/>
          <w:sz w:val="21"/>
          <w:szCs w:val="21"/>
        </w:rPr>
        <w:t>1.4标准和规范</w:t>
      </w:r>
      <w:bookmarkEnd w:id="14"/>
      <w:bookmarkEnd w:id="15"/>
      <w:bookmarkEnd w:id="16"/>
      <w:bookmarkEnd w:id="18"/>
      <w:bookmarkEnd w:id="19"/>
    </w:p>
    <w:p>
      <w:pPr>
        <w:topLinePunct/>
        <w:spacing w:line="312" w:lineRule="atLeast"/>
        <w:ind w:firstLine="420"/>
        <w:rPr>
          <w:szCs w:val="21"/>
        </w:rPr>
      </w:pPr>
      <w:r>
        <w:rPr>
          <w:rFonts w:hint="eastAsia"/>
          <w:b/>
          <w:szCs w:val="21"/>
        </w:rPr>
        <w:t>1.4.1</w:t>
      </w:r>
      <w:r>
        <w:rPr>
          <w:rFonts w:hint="eastAsia"/>
          <w:szCs w:val="21"/>
        </w:rPr>
        <w:t xml:space="preserve">  按有关标准、规范或准则规定的合同产品，包括卖方向其他厂商购买的所有附件和产品，都应符合这些标准、规范或准则的要求。</w:t>
      </w:r>
    </w:p>
    <w:p>
      <w:pPr>
        <w:topLinePunct/>
        <w:ind w:firstLine="420"/>
        <w:rPr>
          <w:szCs w:val="21"/>
        </w:rPr>
      </w:pPr>
      <w:r>
        <w:rPr>
          <w:rFonts w:hint="eastAsia"/>
          <w:b/>
          <w:szCs w:val="21"/>
        </w:rPr>
        <w:t>1.4.2</w:t>
      </w:r>
      <w:r>
        <w:rPr>
          <w:rFonts w:hint="eastAsia"/>
          <w:szCs w:val="21"/>
        </w:rPr>
        <w:t>下表所列标准中的条款通过本招标文件的引用而成为本招标文件的条款。凡经修订的标准，其最新版本适用于本招标文件。</w:t>
      </w:r>
    </w:p>
    <w:p>
      <w:pPr>
        <w:topLinePunct/>
        <w:spacing w:before="160" w:after="60"/>
        <w:jc w:val="center"/>
        <w:rPr>
          <w:szCs w:val="21"/>
        </w:rPr>
      </w:pPr>
      <w:r>
        <w:rPr>
          <w:rFonts w:hint="eastAsia"/>
          <w:szCs w:val="21"/>
        </w:rPr>
        <w:t>卖方提供的应急电缆和附件需要满足的主要标准</w:t>
      </w:r>
    </w:p>
    <w:tbl>
      <w:tblPr>
        <w:tblStyle w:val="62"/>
        <w:tblW w:w="825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5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2381" w:type="dxa"/>
            <w:vAlign w:val="bottom"/>
          </w:tcPr>
          <w:p>
            <w:pPr>
              <w:widowControl/>
              <w:jc w:val="center"/>
              <w:rPr>
                <w:kern w:val="0"/>
                <w:sz w:val="18"/>
                <w:szCs w:val="18"/>
              </w:rPr>
            </w:pPr>
            <w:r>
              <w:rPr>
                <w:rFonts w:hint="eastAsia"/>
                <w:kern w:val="0"/>
                <w:sz w:val="18"/>
                <w:szCs w:val="18"/>
              </w:rPr>
              <w:t>标准号</w:t>
            </w:r>
          </w:p>
        </w:tc>
        <w:tc>
          <w:tcPr>
            <w:tcW w:w="5875" w:type="dxa"/>
            <w:vAlign w:val="bottom"/>
          </w:tcPr>
          <w:p>
            <w:pPr>
              <w:widowControl/>
              <w:jc w:val="center"/>
              <w:rPr>
                <w:kern w:val="0"/>
                <w:sz w:val="18"/>
                <w:szCs w:val="18"/>
              </w:rPr>
            </w:pPr>
            <w:r>
              <w:rPr>
                <w:rFonts w:hint="eastAsia"/>
                <w:kern w:val="0"/>
                <w:sz w:val="18"/>
                <w:szCs w:val="18"/>
              </w:rPr>
              <w:t>标准名称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vAlign w:val="bottom"/>
          </w:tcPr>
          <w:p>
            <w:pPr>
              <w:widowControl/>
              <w:jc w:val="center"/>
              <w:rPr>
                <w:kern w:val="0"/>
                <w:sz w:val="18"/>
                <w:szCs w:val="18"/>
              </w:rPr>
            </w:pPr>
            <w:r>
              <w:rPr>
                <w:rFonts w:hint="eastAsia"/>
                <w:kern w:val="0"/>
                <w:sz w:val="18"/>
                <w:szCs w:val="18"/>
              </w:rPr>
              <w:t>GB/T12706.1-2020</w:t>
            </w:r>
          </w:p>
        </w:tc>
        <w:tc>
          <w:tcPr>
            <w:tcW w:w="5875" w:type="dxa"/>
            <w:vAlign w:val="bottom"/>
          </w:tcPr>
          <w:p>
            <w:pPr>
              <w:widowControl/>
              <w:jc w:val="center"/>
              <w:rPr>
                <w:kern w:val="0"/>
                <w:sz w:val="18"/>
                <w:szCs w:val="18"/>
              </w:rPr>
            </w:pPr>
            <w:r>
              <w:rPr>
                <w:rFonts w:hint="eastAsia"/>
                <w:kern w:val="0"/>
                <w:sz w:val="18"/>
                <w:szCs w:val="18"/>
              </w:rPr>
              <w:t>电缆国家标准</w:t>
            </w:r>
          </w:p>
        </w:tc>
      </w:tr>
    </w:tbl>
    <w:p>
      <w:pPr>
        <w:pStyle w:val="3"/>
        <w:topLinePunct/>
        <w:spacing w:before="0" w:after="0" w:line="240" w:lineRule="auto"/>
        <w:ind w:firstLine="420"/>
        <w:rPr>
          <w:rFonts w:eastAsia="宋体"/>
          <w:sz w:val="21"/>
          <w:szCs w:val="21"/>
        </w:rPr>
      </w:pPr>
      <w:bookmarkStart w:id="20" w:name="_Toc351055270"/>
      <w:bookmarkStart w:id="21" w:name="_Toc14904"/>
      <w:r>
        <w:rPr>
          <w:rFonts w:hint="eastAsia" w:eastAsia="宋体"/>
          <w:sz w:val="21"/>
          <w:szCs w:val="21"/>
        </w:rPr>
        <w:t>1.5  需随应急电缆提供的资料</w:t>
      </w:r>
      <w:bookmarkEnd w:id="17"/>
      <w:bookmarkEnd w:id="20"/>
      <w:bookmarkEnd w:id="21"/>
    </w:p>
    <w:p>
      <w:pPr>
        <w:topLinePunct/>
        <w:ind w:firstLine="420"/>
        <w:rPr>
          <w:szCs w:val="21"/>
        </w:rPr>
      </w:pPr>
      <w:bookmarkStart w:id="22" w:name="_Toc155151646"/>
      <w:r>
        <w:rPr>
          <w:rFonts w:hint="eastAsia"/>
          <w:b/>
          <w:szCs w:val="21"/>
        </w:rPr>
        <w:t>1.5.1</w:t>
      </w:r>
      <w:r>
        <w:rPr>
          <w:rFonts w:hint="eastAsia"/>
          <w:szCs w:val="21"/>
        </w:rPr>
        <w:t xml:space="preserve"> 卖方应免费随产品提供给买方原厂配套的相关资料。</w:t>
      </w:r>
    </w:p>
    <w:bookmarkEnd w:id="22"/>
    <w:p>
      <w:pPr>
        <w:pStyle w:val="3"/>
        <w:topLinePunct/>
        <w:spacing w:before="0" w:after="0" w:line="240" w:lineRule="auto"/>
        <w:ind w:firstLine="420"/>
        <w:rPr>
          <w:rFonts w:eastAsia="宋体"/>
          <w:sz w:val="21"/>
          <w:szCs w:val="21"/>
        </w:rPr>
      </w:pPr>
      <w:bookmarkStart w:id="23" w:name="_Toc14807"/>
      <w:bookmarkStart w:id="24" w:name="_Toc351055271"/>
      <w:r>
        <w:rPr>
          <w:rFonts w:hint="eastAsia" w:eastAsia="宋体"/>
          <w:sz w:val="21"/>
          <w:szCs w:val="21"/>
        </w:rPr>
        <w:t>1.6 投标时必须提供的技术数据和信息</w:t>
      </w:r>
      <w:bookmarkEnd w:id="23"/>
      <w:bookmarkEnd w:id="24"/>
    </w:p>
    <w:p>
      <w:pPr>
        <w:topLinePunct/>
        <w:ind w:firstLine="420"/>
        <w:rPr>
          <w:szCs w:val="21"/>
        </w:rPr>
      </w:pPr>
      <w:r>
        <w:rPr>
          <w:rFonts w:hint="eastAsia"/>
          <w:b/>
          <w:szCs w:val="21"/>
        </w:rPr>
        <w:t>1.6.1</w:t>
      </w:r>
      <w:r>
        <w:rPr>
          <w:rFonts w:hint="eastAsia"/>
          <w:szCs w:val="21"/>
        </w:rPr>
        <w:t>投标人应按技术规范书表5-1（技术参数表）列举的项目逐项提供技术数据，所提供的技术数据应为保证数据，这些数据将作为合同的一部分。如与招标人在表5-1中所要求的技术数据有差异，还应写入技术规范书表7-1（技术偏差表）中。</w:t>
      </w:r>
    </w:p>
    <w:p>
      <w:pPr>
        <w:topLinePunct/>
        <w:ind w:firstLine="420"/>
        <w:rPr>
          <w:szCs w:val="21"/>
        </w:rPr>
      </w:pPr>
      <w:r>
        <w:rPr>
          <w:rFonts w:hint="eastAsia"/>
          <w:b/>
          <w:szCs w:val="21"/>
        </w:rPr>
        <w:t xml:space="preserve">1.6.2 </w:t>
      </w:r>
      <w:r>
        <w:rPr>
          <w:rFonts w:hint="eastAsia"/>
          <w:szCs w:val="21"/>
        </w:rPr>
        <w:t>应急电缆配件的性能、特点、和其他需要提供的信息。</w:t>
      </w:r>
    </w:p>
    <w:p>
      <w:pPr>
        <w:topLinePunct/>
        <w:ind w:firstLine="420"/>
        <w:rPr>
          <w:szCs w:val="21"/>
        </w:rPr>
      </w:pPr>
      <w:r>
        <w:rPr>
          <w:rFonts w:hint="eastAsia"/>
          <w:b/>
          <w:szCs w:val="21"/>
        </w:rPr>
        <w:t>1.6.3</w:t>
      </w:r>
      <w:r>
        <w:rPr>
          <w:rFonts w:hint="eastAsia"/>
          <w:szCs w:val="21"/>
        </w:rPr>
        <w:t>应急电缆配件安装调试方法和注意事项。</w:t>
      </w:r>
    </w:p>
    <w:p>
      <w:pPr>
        <w:topLinePunct/>
        <w:ind w:firstLine="420"/>
        <w:rPr>
          <w:szCs w:val="21"/>
        </w:rPr>
      </w:pPr>
      <w:r>
        <w:rPr>
          <w:rFonts w:hint="eastAsia"/>
          <w:b/>
          <w:szCs w:val="21"/>
        </w:rPr>
        <w:t>1.6.4</w:t>
      </w:r>
      <w:r>
        <w:rPr>
          <w:rFonts w:hint="eastAsia"/>
          <w:szCs w:val="21"/>
        </w:rPr>
        <w:t>投标人提交的点对点应答文件，应包括如下内容：详细的产品及服务清单；产品技术指标详细说明；所提供的服务内容、服务范围、服务响应时间；产品安装要求及建议；进度安排；本技术规范书所要求的其他内容。</w:t>
      </w:r>
    </w:p>
    <w:p>
      <w:pPr>
        <w:pStyle w:val="3"/>
        <w:topLinePunct/>
        <w:spacing w:before="0" w:after="0" w:line="240" w:lineRule="auto"/>
        <w:ind w:firstLine="420"/>
        <w:rPr>
          <w:rFonts w:eastAsia="宋体"/>
          <w:sz w:val="21"/>
          <w:szCs w:val="21"/>
        </w:rPr>
      </w:pPr>
      <w:bookmarkStart w:id="25" w:name="_Toc351055272"/>
      <w:bookmarkStart w:id="26" w:name="_Toc155151648"/>
      <w:bookmarkStart w:id="27" w:name="_Toc9529"/>
      <w:r>
        <w:rPr>
          <w:rFonts w:hint="eastAsia" w:eastAsia="宋体"/>
          <w:sz w:val="21"/>
          <w:szCs w:val="21"/>
        </w:rPr>
        <w:t>1.7 备品备件</w:t>
      </w:r>
      <w:bookmarkEnd w:id="25"/>
      <w:bookmarkEnd w:id="26"/>
      <w:bookmarkEnd w:id="27"/>
    </w:p>
    <w:p>
      <w:pPr>
        <w:topLinePunct/>
        <w:ind w:firstLine="420"/>
        <w:rPr>
          <w:szCs w:val="21"/>
        </w:rPr>
      </w:pPr>
      <w:r>
        <w:rPr>
          <w:rFonts w:hint="eastAsia"/>
          <w:b/>
          <w:szCs w:val="21"/>
        </w:rPr>
        <w:t>1.7.1</w:t>
      </w:r>
      <w:r>
        <w:rPr>
          <w:rFonts w:hint="eastAsia"/>
          <w:szCs w:val="21"/>
        </w:rPr>
        <w:t xml:space="preserve"> 招标人提出运行维修或者更换应急电缆配件时必需的备品备件，见技术规范书表5-1。</w:t>
      </w:r>
    </w:p>
    <w:p>
      <w:pPr>
        <w:topLinePunct/>
        <w:ind w:firstLine="420"/>
        <w:rPr>
          <w:szCs w:val="21"/>
        </w:rPr>
      </w:pPr>
      <w:r>
        <w:rPr>
          <w:rFonts w:hint="eastAsia"/>
          <w:b/>
          <w:szCs w:val="21"/>
        </w:rPr>
        <w:t>1.7.2</w:t>
      </w:r>
      <w:r>
        <w:rPr>
          <w:rFonts w:hint="eastAsia"/>
          <w:szCs w:val="21"/>
        </w:rPr>
        <w:t xml:space="preserve"> 投标人应推荐运行维护或者更换应急电缆配件时可能使用的备品备件，列在技术规范书表7-3中。</w:t>
      </w:r>
    </w:p>
    <w:p>
      <w:pPr>
        <w:topLinePunct/>
        <w:ind w:firstLine="420"/>
        <w:rPr>
          <w:szCs w:val="21"/>
        </w:rPr>
      </w:pPr>
      <w:r>
        <w:rPr>
          <w:rFonts w:hint="eastAsia"/>
          <w:b/>
          <w:szCs w:val="21"/>
        </w:rPr>
        <w:t>1.7.3</w:t>
      </w:r>
      <w:r>
        <w:rPr>
          <w:rFonts w:hint="eastAsia"/>
          <w:szCs w:val="21"/>
        </w:rPr>
        <w:t xml:space="preserve">  所有备品备件应为全新产品，与已经安装应急电缆的相应部件能够互换，具有相同的技术规范和相同的规格、材质、制造工艺。</w:t>
      </w:r>
    </w:p>
    <w:p>
      <w:pPr>
        <w:topLinePunct/>
        <w:ind w:firstLine="420"/>
        <w:rPr>
          <w:szCs w:val="21"/>
        </w:rPr>
      </w:pPr>
      <w:r>
        <w:rPr>
          <w:rFonts w:hint="eastAsia"/>
          <w:b/>
          <w:szCs w:val="21"/>
        </w:rPr>
        <w:t>1.7.4</w:t>
      </w:r>
      <w:r>
        <w:rPr>
          <w:rFonts w:hint="eastAsia"/>
          <w:szCs w:val="21"/>
        </w:rPr>
        <w:t xml:space="preserve"> 所有备品备件应采取防尘、防潮、防止损坏等措施，并应与应急电缆一并发运，同时标注“备品备件”，以区别于主应急电缆实际安装使用的零部件。</w:t>
      </w:r>
    </w:p>
    <w:p>
      <w:pPr>
        <w:pStyle w:val="3"/>
        <w:topLinePunct/>
        <w:spacing w:before="0" w:after="0" w:line="240" w:lineRule="auto"/>
        <w:ind w:firstLine="420"/>
        <w:rPr>
          <w:rFonts w:eastAsia="宋体"/>
          <w:sz w:val="21"/>
          <w:szCs w:val="21"/>
        </w:rPr>
      </w:pPr>
      <w:bookmarkStart w:id="28" w:name="_Toc155151649"/>
      <w:bookmarkStart w:id="29" w:name="_Toc6599"/>
      <w:bookmarkStart w:id="30" w:name="_Toc351055273"/>
      <w:r>
        <w:rPr>
          <w:rFonts w:hint="eastAsia" w:eastAsia="宋体"/>
          <w:sz w:val="21"/>
          <w:szCs w:val="21"/>
        </w:rPr>
        <w:t>1.8专用工具和仪器仪表</w:t>
      </w:r>
      <w:bookmarkEnd w:id="28"/>
      <w:bookmarkEnd w:id="29"/>
      <w:bookmarkEnd w:id="30"/>
    </w:p>
    <w:p>
      <w:pPr>
        <w:topLinePunct/>
        <w:ind w:firstLine="420"/>
        <w:rPr>
          <w:b/>
          <w:szCs w:val="21"/>
        </w:rPr>
      </w:pPr>
      <w:r>
        <w:rPr>
          <w:rFonts w:hint="eastAsia"/>
          <w:b/>
          <w:szCs w:val="21"/>
        </w:rPr>
        <w:t>1.8.1</w:t>
      </w:r>
      <w:r>
        <w:rPr>
          <w:rFonts w:hint="eastAsia"/>
          <w:szCs w:val="21"/>
        </w:rPr>
        <w:t xml:space="preserve">  招标人提出运行维修时必需的专用工具和仪器仪表，见技术规范书表5-1。</w:t>
      </w:r>
    </w:p>
    <w:p>
      <w:pPr>
        <w:topLinePunct/>
        <w:ind w:firstLine="420"/>
        <w:rPr>
          <w:szCs w:val="21"/>
        </w:rPr>
      </w:pPr>
      <w:r>
        <w:rPr>
          <w:rFonts w:hint="eastAsia"/>
          <w:b/>
          <w:szCs w:val="21"/>
        </w:rPr>
        <w:t>1.8.2</w:t>
      </w:r>
      <w:r>
        <w:rPr>
          <w:rFonts w:hint="eastAsia"/>
          <w:szCs w:val="21"/>
        </w:rPr>
        <w:t xml:space="preserve"> 投标人应推荐运行维护时可能使用的专用工具和仪器仪表，列在技术规范书表7-3中。</w:t>
      </w:r>
    </w:p>
    <w:p>
      <w:pPr>
        <w:topLinePunct/>
        <w:ind w:firstLine="420"/>
        <w:rPr>
          <w:szCs w:val="21"/>
        </w:rPr>
      </w:pPr>
      <w:r>
        <w:rPr>
          <w:rFonts w:hint="eastAsia"/>
          <w:b/>
          <w:szCs w:val="21"/>
        </w:rPr>
        <w:t>1.8.3</w:t>
      </w:r>
      <w:r>
        <w:rPr>
          <w:rFonts w:hint="eastAsia"/>
          <w:szCs w:val="21"/>
        </w:rPr>
        <w:t xml:space="preserve">  所有专用工具和仪器仪表应是全新的、可靠的，且须附完整、详细的使用说明资料。</w:t>
      </w:r>
    </w:p>
    <w:p>
      <w:pPr>
        <w:topLinePunct/>
        <w:ind w:firstLine="420"/>
        <w:rPr>
          <w:szCs w:val="21"/>
        </w:rPr>
      </w:pPr>
      <w:r>
        <w:rPr>
          <w:rFonts w:hint="eastAsia"/>
          <w:b/>
          <w:szCs w:val="21"/>
        </w:rPr>
        <w:t>1.8.4</w:t>
      </w:r>
      <w:r>
        <w:rPr>
          <w:rFonts w:hint="eastAsia"/>
          <w:szCs w:val="21"/>
        </w:rPr>
        <w:t xml:space="preserve">  专用工具和仪器仪表应装于专用的包装箱内，注明“专用工具”、“仪器”、“仪表”，并标明“防潮”、“防尘”、“易碎”、“向上”、“勿倒置”等字样，同主应急电缆一并发运。</w:t>
      </w:r>
    </w:p>
    <w:p>
      <w:pPr>
        <w:pStyle w:val="3"/>
        <w:topLinePunct/>
        <w:spacing w:before="0" w:after="0" w:line="240" w:lineRule="auto"/>
        <w:ind w:firstLine="420"/>
        <w:rPr>
          <w:rFonts w:eastAsia="宋体"/>
          <w:sz w:val="21"/>
          <w:szCs w:val="21"/>
        </w:rPr>
      </w:pPr>
      <w:bookmarkStart w:id="31" w:name="_Toc30639"/>
      <w:bookmarkStart w:id="32" w:name="_Toc351055274"/>
      <w:bookmarkStart w:id="33" w:name="_Toc155151650"/>
      <w:r>
        <w:rPr>
          <w:rFonts w:hint="eastAsia" w:eastAsia="宋体"/>
          <w:sz w:val="21"/>
          <w:szCs w:val="21"/>
        </w:rPr>
        <w:t>1.9 到货、安装、调试、验收</w:t>
      </w:r>
      <w:bookmarkEnd w:id="31"/>
      <w:bookmarkEnd w:id="32"/>
      <w:bookmarkEnd w:id="33"/>
    </w:p>
    <w:p>
      <w:pPr>
        <w:topLinePunct/>
        <w:ind w:firstLine="420"/>
        <w:rPr>
          <w:b/>
          <w:szCs w:val="21"/>
        </w:rPr>
      </w:pPr>
      <w:r>
        <w:rPr>
          <w:rFonts w:hint="eastAsia"/>
          <w:b/>
          <w:szCs w:val="21"/>
        </w:rPr>
        <w:t>1.9.1</w:t>
      </w:r>
      <w:r>
        <w:rPr>
          <w:rFonts w:hint="eastAsia"/>
          <w:szCs w:val="21"/>
        </w:rPr>
        <w:t>卖方负责将合同应急电缆运送到买方指定的安装、调试地点，由此产生的费用由卖方承担。</w:t>
      </w:r>
    </w:p>
    <w:p>
      <w:pPr>
        <w:topLinePunct/>
        <w:ind w:firstLine="420"/>
      </w:pPr>
      <w:r>
        <w:rPr>
          <w:rFonts w:hint="eastAsia"/>
          <w:b/>
          <w:szCs w:val="21"/>
        </w:rPr>
        <w:t>1.9.2</w:t>
      </w:r>
      <w:r>
        <w:rPr>
          <w:rFonts w:hint="eastAsia"/>
          <w:szCs w:val="21"/>
        </w:rPr>
        <w:t>买方</w:t>
      </w:r>
      <w:r>
        <w:rPr>
          <w:rFonts w:hint="eastAsia"/>
        </w:rPr>
        <w:t>依投标人在投标文件中的承诺对全部应急电缆及配件的型号、规格、数量、外型、外观、包装及资料、文件（包括装箱单、保修单、随箱介质等）等进行验收。</w:t>
      </w:r>
    </w:p>
    <w:p>
      <w:pPr>
        <w:topLinePunct/>
        <w:ind w:firstLine="420"/>
        <w:rPr>
          <w:szCs w:val="21"/>
        </w:rPr>
      </w:pPr>
      <w:r>
        <w:rPr>
          <w:rFonts w:hint="eastAsia"/>
          <w:b/>
          <w:szCs w:val="21"/>
        </w:rPr>
        <w:t>1.9.3</w:t>
      </w:r>
      <w:r>
        <w:rPr>
          <w:rFonts w:hint="eastAsia"/>
          <w:szCs w:val="21"/>
        </w:rPr>
        <w:t>买卖双方</w:t>
      </w:r>
      <w:r>
        <w:rPr>
          <w:rFonts w:hint="eastAsia"/>
        </w:rPr>
        <w:t>对</w:t>
      </w:r>
      <w:r>
        <w:rPr>
          <w:rFonts w:hint="eastAsia"/>
          <w:szCs w:val="21"/>
        </w:rPr>
        <w:t>应急电缆</w:t>
      </w:r>
      <w:r>
        <w:rPr>
          <w:rFonts w:hint="eastAsia"/>
        </w:rPr>
        <w:t>到货后共同配合进行开箱检查，出现损坏、数量不全或产品不对等问题时，由卖方负责解决。</w:t>
      </w:r>
      <w:r>
        <w:rPr>
          <w:rFonts w:hint="eastAsia"/>
          <w:szCs w:val="21"/>
        </w:rPr>
        <w:t>买卖双方可签署合同应急电缆的到货验收证明书，该证明书共两份，双方各执一份。</w:t>
      </w:r>
    </w:p>
    <w:p>
      <w:pPr>
        <w:topLinePunct/>
        <w:ind w:firstLine="420"/>
        <w:rPr>
          <w:szCs w:val="21"/>
        </w:rPr>
      </w:pPr>
      <w:r>
        <w:rPr>
          <w:rFonts w:hint="eastAsia"/>
          <w:b/>
          <w:szCs w:val="21"/>
        </w:rPr>
        <w:t>1.9.4</w:t>
      </w:r>
      <w:r>
        <w:rPr>
          <w:rFonts w:hint="eastAsia"/>
        </w:rPr>
        <w:t>在买方指定的地点和环境下，卖方负责对合同</w:t>
      </w:r>
      <w:r>
        <w:rPr>
          <w:rFonts w:hint="eastAsia"/>
          <w:szCs w:val="21"/>
        </w:rPr>
        <w:t>应急电缆</w:t>
      </w:r>
      <w:r>
        <w:rPr>
          <w:rFonts w:hint="eastAsia"/>
        </w:rPr>
        <w:t>的安装、调试（所有部件模块的功能能够正常运行和使用），并达到投标人在投标文件中承诺的技术指标和性能。</w:t>
      </w:r>
    </w:p>
    <w:p>
      <w:pPr>
        <w:topLinePunct/>
        <w:ind w:firstLine="420"/>
        <w:rPr>
          <w:b/>
          <w:szCs w:val="21"/>
        </w:rPr>
      </w:pPr>
      <w:r>
        <w:rPr>
          <w:rFonts w:hint="eastAsia"/>
          <w:b/>
          <w:szCs w:val="21"/>
        </w:rPr>
        <w:t>1.9.5</w:t>
      </w:r>
      <w:r>
        <w:rPr>
          <w:rFonts w:hint="eastAsia"/>
        </w:rPr>
        <w:t>投标人需提交合同</w:t>
      </w:r>
      <w:r>
        <w:rPr>
          <w:rFonts w:hint="eastAsia"/>
          <w:szCs w:val="21"/>
        </w:rPr>
        <w:t>应急电缆</w:t>
      </w:r>
      <w:r>
        <w:rPr>
          <w:rFonts w:hint="eastAsia"/>
        </w:rPr>
        <w:t>安装、调试时参数配置文档。</w:t>
      </w:r>
    </w:p>
    <w:p>
      <w:pPr>
        <w:topLinePunct/>
        <w:ind w:firstLine="420"/>
        <w:rPr>
          <w:szCs w:val="21"/>
        </w:rPr>
      </w:pPr>
      <w:r>
        <w:rPr>
          <w:rFonts w:hint="eastAsia"/>
          <w:b/>
          <w:szCs w:val="21"/>
        </w:rPr>
        <w:t>1.9.6</w:t>
      </w:r>
      <w:r>
        <w:rPr>
          <w:rFonts w:hint="eastAsia"/>
          <w:szCs w:val="21"/>
        </w:rPr>
        <w:t>应急电缆到货验中出现性能指标或功能上不符合投标人在投标文件中的承诺、产品质量问题以及合同要求时，买方有拒收的权利。</w:t>
      </w:r>
    </w:p>
    <w:p>
      <w:pPr>
        <w:topLinePunct/>
        <w:ind w:firstLine="420"/>
        <w:rPr>
          <w:szCs w:val="21"/>
        </w:rPr>
      </w:pPr>
      <w:r>
        <w:rPr>
          <w:rFonts w:hint="eastAsia"/>
          <w:b/>
          <w:szCs w:val="21"/>
        </w:rPr>
        <w:t>1.9.7</w:t>
      </w:r>
      <w:r>
        <w:rPr>
          <w:rFonts w:hint="eastAsia"/>
          <w:szCs w:val="21"/>
        </w:rPr>
        <w:t xml:space="preserve">  产品的安装，买方有权在今后使用中根据实际情况进行应急电缆部件的调配使用，应急电缆部件的保修需满足应急电缆的保修规定。在应急电缆配件安装调试期间需要的材料由投标人免费提供，并在项目实施中配合完成相应应急电缆的集成、联调等相关工作。</w:t>
      </w:r>
    </w:p>
    <w:p>
      <w:pPr>
        <w:topLinePunct/>
        <w:ind w:firstLine="420"/>
        <w:rPr>
          <w:szCs w:val="21"/>
        </w:rPr>
      </w:pPr>
      <w:r>
        <w:rPr>
          <w:rFonts w:hint="eastAsia"/>
          <w:b/>
          <w:szCs w:val="21"/>
        </w:rPr>
        <w:t>1.9.8</w:t>
      </w:r>
      <w:r>
        <w:rPr>
          <w:rFonts w:hint="eastAsia"/>
          <w:szCs w:val="21"/>
        </w:rPr>
        <w:t xml:space="preserve">  在完成招标人的所有要求后，提请招标人验收。</w:t>
      </w:r>
    </w:p>
    <w:p>
      <w:pPr>
        <w:pStyle w:val="2"/>
        <w:rPr>
          <w:rFonts w:eastAsia="宋体"/>
          <w:b/>
          <w:kern w:val="2"/>
        </w:rPr>
      </w:pPr>
      <w:bookmarkStart w:id="34" w:name="_Toc155151651"/>
      <w:bookmarkStart w:id="35" w:name="_Toc351055275"/>
      <w:bookmarkStart w:id="36" w:name="_Toc19500"/>
      <w:r>
        <w:rPr>
          <w:rFonts w:hint="eastAsia" w:eastAsia="宋体"/>
          <w:b/>
          <w:kern w:val="2"/>
        </w:rPr>
        <w:t>2  其他要求</w:t>
      </w:r>
      <w:bookmarkEnd w:id="34"/>
      <w:bookmarkEnd w:id="35"/>
      <w:bookmarkEnd w:id="36"/>
    </w:p>
    <w:p>
      <w:pPr>
        <w:topLinePunct/>
        <w:ind w:firstLine="420"/>
        <w:rPr>
          <w:bCs/>
        </w:rPr>
      </w:pPr>
      <w:r>
        <w:rPr>
          <w:rFonts w:hint="eastAsia"/>
          <w:b/>
          <w:szCs w:val="21"/>
        </w:rPr>
        <w:t>2.1</w:t>
      </w:r>
      <w:r>
        <w:rPr>
          <w:rFonts w:hint="eastAsia"/>
          <w:szCs w:val="21"/>
        </w:rPr>
        <w:t>投标人</w:t>
      </w:r>
      <w:r>
        <w:rPr>
          <w:rFonts w:hint="eastAsia"/>
          <w:bCs/>
        </w:rPr>
        <w:t>同意并保证尊重任何他方的知识产权及其它合法权益，承诺其所提供的</w:t>
      </w:r>
      <w:r>
        <w:rPr>
          <w:rFonts w:hint="eastAsia"/>
          <w:szCs w:val="21"/>
        </w:rPr>
        <w:t>应急电缆</w:t>
      </w:r>
      <w:r>
        <w:rPr>
          <w:rFonts w:hint="eastAsia"/>
          <w:bCs/>
        </w:rPr>
        <w:t>或服务均为有合法权利的，不会侵犯、导致或引起侵犯第三方知识产权及其它合法权益，若因合同所提供的相关产品或服务及因履行合同导致侵犯第三方的知识产权及其它合法权益，所引起的任何及/或全部责任均应当由</w:t>
      </w:r>
      <w:r>
        <w:rPr>
          <w:rFonts w:hint="eastAsia"/>
          <w:szCs w:val="21"/>
        </w:rPr>
        <w:t>投标人</w:t>
      </w:r>
      <w:r>
        <w:rPr>
          <w:rFonts w:hint="eastAsia"/>
          <w:bCs/>
        </w:rPr>
        <w:t>承担。</w:t>
      </w:r>
    </w:p>
    <w:p>
      <w:pPr>
        <w:topLinePunct/>
        <w:ind w:firstLine="420"/>
      </w:pPr>
      <w:bookmarkStart w:id="37" w:name="OLE_LINK3"/>
      <w:r>
        <w:rPr>
          <w:rFonts w:hint="eastAsia"/>
          <w:b/>
          <w:szCs w:val="21"/>
        </w:rPr>
        <w:t>2.2</w:t>
      </w:r>
      <w:bookmarkEnd w:id="37"/>
      <w:r>
        <w:rPr>
          <w:rFonts w:hint="eastAsia"/>
        </w:rPr>
        <w:t>投标人提供的</w:t>
      </w:r>
      <w:r>
        <w:rPr>
          <w:rFonts w:hint="eastAsia"/>
          <w:szCs w:val="21"/>
        </w:rPr>
        <w:t>应急电缆</w:t>
      </w:r>
      <w:r>
        <w:rPr>
          <w:rFonts w:hint="eastAsia"/>
        </w:rPr>
        <w:t>在满足招标文件的基础上，提供保证所购应急电缆配件得以正常运行的全部部件、模块、软件及相关的连接应急电缆，如有缺漏，投标人免费提供。</w:t>
      </w:r>
    </w:p>
    <w:p>
      <w:pPr>
        <w:topLinePunct/>
        <w:ind w:firstLine="420"/>
        <w:rPr>
          <w:szCs w:val="21"/>
        </w:rPr>
      </w:pPr>
      <w:r>
        <w:rPr>
          <w:rFonts w:hint="eastAsia"/>
          <w:b/>
          <w:szCs w:val="21"/>
        </w:rPr>
        <w:t>2.3</w:t>
      </w:r>
      <w:r>
        <w:rPr>
          <w:rFonts w:hint="eastAsia"/>
          <w:szCs w:val="21"/>
        </w:rPr>
        <w:t>投标人必须承诺不得以任何形式向第三方透露本次采购的有关材料。</w:t>
      </w:r>
    </w:p>
    <w:p>
      <w:pPr>
        <w:topLinePunct/>
        <w:ind w:firstLine="422"/>
        <w:rPr>
          <w:szCs w:val="21"/>
        </w:rPr>
      </w:pPr>
      <w:r>
        <w:rPr>
          <w:rFonts w:hint="eastAsia"/>
          <w:b/>
          <w:szCs w:val="21"/>
        </w:rPr>
        <w:t>2.4</w:t>
      </w:r>
      <w:r>
        <w:rPr>
          <w:rFonts w:hint="eastAsia"/>
          <w:szCs w:val="21"/>
        </w:rPr>
        <w:t>投标人提供的应急电缆配件必须与原有应急电缆及原有安装环境具有良好的互操作性，任何兼容性方面的问题必须由投标人解决。</w:t>
      </w:r>
    </w:p>
    <w:p>
      <w:pPr>
        <w:topLinePunct/>
        <w:ind w:firstLine="420"/>
        <w:rPr>
          <w:szCs w:val="21"/>
        </w:rPr>
      </w:pPr>
      <w:r>
        <w:rPr>
          <w:rFonts w:hint="eastAsia"/>
          <w:b/>
          <w:szCs w:val="21"/>
        </w:rPr>
        <w:t>2.5</w:t>
      </w:r>
      <w:r>
        <w:rPr>
          <w:rFonts w:hint="eastAsia"/>
          <w:szCs w:val="21"/>
        </w:rPr>
        <w:t>投标人提供的应急电缆必须为在产产品或全新产品。</w:t>
      </w:r>
    </w:p>
    <w:p>
      <w:pPr>
        <w:topLinePunct/>
        <w:ind w:firstLine="420"/>
        <w:rPr>
          <w:szCs w:val="21"/>
        </w:rPr>
      </w:pPr>
      <w:r>
        <w:rPr>
          <w:rFonts w:hint="eastAsia"/>
          <w:b/>
          <w:szCs w:val="21"/>
        </w:rPr>
        <w:t>2.6</w:t>
      </w:r>
      <w:r>
        <w:rPr>
          <w:rFonts w:hint="eastAsia"/>
          <w:szCs w:val="21"/>
        </w:rPr>
        <w:t>投标人提供的应急电缆必须是全新的、准许在中华人民共和国境内销售的产品。</w:t>
      </w:r>
    </w:p>
    <w:p>
      <w:pPr>
        <w:topLinePunct/>
        <w:ind w:firstLine="422"/>
        <w:rPr>
          <w:szCs w:val="21"/>
        </w:rPr>
      </w:pPr>
      <w:r>
        <w:rPr>
          <w:rFonts w:hint="eastAsia"/>
          <w:b/>
          <w:szCs w:val="21"/>
        </w:rPr>
        <w:t>2.7</w:t>
      </w:r>
      <w:r>
        <w:rPr>
          <w:rFonts w:hint="eastAsia"/>
          <w:szCs w:val="21"/>
        </w:rPr>
        <w:t xml:space="preserve">  如果投标人提供的应急电缆要求使用特别接头、插座等，由投标人提供。另外，所投应急电缆的用电保护超过一般线路保护，保护应急电缆也由投标人提供。</w:t>
      </w:r>
    </w:p>
    <w:p>
      <w:pPr>
        <w:topLinePunct/>
        <w:ind w:firstLine="422"/>
        <w:rPr>
          <w:szCs w:val="21"/>
        </w:rPr>
      </w:pPr>
      <w:r>
        <w:rPr>
          <w:rFonts w:hint="eastAsia"/>
          <w:b/>
          <w:szCs w:val="21"/>
        </w:rPr>
        <w:t>2.8</w:t>
      </w:r>
      <w:r>
        <w:rPr>
          <w:rFonts w:hint="eastAsia"/>
          <w:szCs w:val="21"/>
        </w:rPr>
        <w:t xml:space="preserve">  采购的应急电缆将要有效地使用相对较长的时间, 所以要求本招标文件所采购的应急电缆配件（硬件和软件）能够容易升级和扩充。</w:t>
      </w:r>
    </w:p>
    <w:p>
      <w:pPr>
        <w:topLinePunct/>
        <w:ind w:firstLine="422"/>
        <w:rPr>
          <w:szCs w:val="21"/>
        </w:rPr>
      </w:pPr>
      <w:r>
        <w:rPr>
          <w:rFonts w:hint="eastAsia"/>
          <w:b/>
          <w:szCs w:val="21"/>
        </w:rPr>
        <w:t>2.9</w:t>
      </w:r>
      <w:r>
        <w:rPr>
          <w:rFonts w:hint="eastAsia"/>
          <w:szCs w:val="21"/>
        </w:rPr>
        <w:t xml:space="preserve"> 投标人提供的应急电缆配件基于国际标准或工业标准，成熟、互联性强、易扩充。</w:t>
      </w:r>
    </w:p>
    <w:p>
      <w:pPr>
        <w:topLinePunct/>
        <w:ind w:firstLine="422"/>
        <w:rPr>
          <w:szCs w:val="21"/>
        </w:rPr>
      </w:pPr>
      <w:r>
        <w:rPr>
          <w:rFonts w:hint="eastAsia"/>
          <w:b/>
          <w:szCs w:val="21"/>
        </w:rPr>
        <w:t>2.10</w:t>
      </w:r>
      <w:r>
        <w:rPr>
          <w:rFonts w:hint="eastAsia"/>
          <w:szCs w:val="21"/>
        </w:rPr>
        <w:t>投标人提供应急电缆的配套软件系统及相关硬件有最佳的匹配和应用运行能力。</w:t>
      </w:r>
    </w:p>
    <w:p>
      <w:pPr>
        <w:topLinePunct/>
        <w:ind w:firstLine="420"/>
        <w:rPr>
          <w:szCs w:val="21"/>
        </w:rPr>
      </w:pPr>
      <w:r>
        <w:rPr>
          <w:rFonts w:hint="eastAsia"/>
          <w:b/>
          <w:szCs w:val="21"/>
        </w:rPr>
        <w:t>2.11</w:t>
      </w:r>
      <w:r>
        <w:rPr>
          <w:rFonts w:hint="eastAsia"/>
          <w:szCs w:val="21"/>
        </w:rPr>
        <w:t>投标人提供应急电缆的配套软件系统及相关服务如果有使用时限和使用租金的问题，必须在投标文件中明确说明，如无明确说明，视为无使用时限和使用租金的问题。</w:t>
      </w:r>
    </w:p>
    <w:p>
      <w:pPr>
        <w:pStyle w:val="2"/>
        <w:rPr>
          <w:rFonts w:eastAsia="宋体"/>
          <w:b/>
          <w:kern w:val="2"/>
        </w:rPr>
      </w:pPr>
      <w:bookmarkStart w:id="38" w:name="_Toc155151667"/>
      <w:bookmarkStart w:id="39" w:name="_Toc351055276"/>
      <w:bookmarkStart w:id="40" w:name="_Toc24900"/>
      <w:r>
        <w:rPr>
          <w:rFonts w:hint="eastAsia" w:eastAsia="宋体"/>
          <w:b/>
          <w:kern w:val="2"/>
        </w:rPr>
        <w:t xml:space="preserve">3  </w:t>
      </w:r>
      <w:bookmarkEnd w:id="38"/>
      <w:r>
        <w:rPr>
          <w:rFonts w:hint="eastAsia" w:eastAsia="宋体"/>
          <w:b/>
          <w:kern w:val="2"/>
        </w:rPr>
        <w:t>试验</w:t>
      </w:r>
      <w:bookmarkEnd w:id="39"/>
      <w:bookmarkEnd w:id="40"/>
    </w:p>
    <w:p>
      <w:pPr>
        <w:topLinePunct/>
        <w:ind w:firstLine="420"/>
        <w:rPr>
          <w:szCs w:val="21"/>
        </w:rPr>
      </w:pPr>
      <w:r>
        <w:rPr>
          <w:rFonts w:hint="eastAsia"/>
          <w:b/>
          <w:szCs w:val="21"/>
        </w:rPr>
        <w:t>3.1</w:t>
      </w:r>
      <w:r>
        <w:rPr>
          <w:rFonts w:hint="eastAsia"/>
          <w:szCs w:val="21"/>
        </w:rPr>
        <w:t xml:space="preserve"> 投标人按招标人在投标文件中的承诺对其应急电缆的性能和配置由专业检测机构进行测试检查，并做出测试方案和测试报告。</w:t>
      </w:r>
    </w:p>
    <w:p>
      <w:pPr>
        <w:topLinePunct/>
        <w:ind w:firstLine="420"/>
        <w:rPr>
          <w:szCs w:val="21"/>
        </w:rPr>
      </w:pPr>
      <w:r>
        <w:rPr>
          <w:rFonts w:hint="eastAsia"/>
          <w:b/>
          <w:szCs w:val="21"/>
        </w:rPr>
        <w:t>3.2</w:t>
      </w:r>
      <w:r>
        <w:rPr>
          <w:rFonts w:hint="eastAsia"/>
          <w:szCs w:val="21"/>
        </w:rPr>
        <w:t>应急电缆测试中出现性能指标或功能上不符合投标人在投标文件中的承诺、产品质量问题以及合同要求时，买方有拒收的权利。</w:t>
      </w:r>
    </w:p>
    <w:p>
      <w:pPr>
        <w:pStyle w:val="2"/>
        <w:rPr>
          <w:rFonts w:eastAsia="宋体"/>
          <w:b/>
          <w:kern w:val="2"/>
        </w:rPr>
      </w:pPr>
      <w:bookmarkStart w:id="41" w:name="_Toc487358408"/>
      <w:bookmarkStart w:id="42" w:name="_Toc487356750"/>
      <w:bookmarkStart w:id="43" w:name="_Toc4799"/>
      <w:bookmarkStart w:id="44" w:name="_Toc351055277"/>
      <w:bookmarkStart w:id="45" w:name="_Toc487531471"/>
      <w:bookmarkStart w:id="46" w:name="_Toc155114632"/>
      <w:bookmarkStart w:id="47" w:name="_Toc72659453"/>
      <w:r>
        <w:rPr>
          <w:rFonts w:hint="eastAsia" w:eastAsia="宋体"/>
          <w:b/>
          <w:kern w:val="2"/>
        </w:rPr>
        <w:t>4  质保服务</w:t>
      </w:r>
      <w:bookmarkEnd w:id="41"/>
      <w:bookmarkEnd w:id="42"/>
      <w:bookmarkEnd w:id="43"/>
      <w:bookmarkEnd w:id="44"/>
      <w:bookmarkEnd w:id="45"/>
      <w:bookmarkEnd w:id="46"/>
      <w:bookmarkEnd w:id="47"/>
      <w:bookmarkStart w:id="48" w:name="_Toc487531472"/>
      <w:bookmarkStart w:id="49" w:name="_Toc487356751"/>
      <w:bookmarkStart w:id="50" w:name="_Toc487358409"/>
      <w:bookmarkStart w:id="51" w:name="_Toc155114633"/>
      <w:bookmarkStart w:id="52" w:name="_Toc72659454"/>
    </w:p>
    <w:bookmarkEnd w:id="48"/>
    <w:bookmarkEnd w:id="49"/>
    <w:bookmarkEnd w:id="50"/>
    <w:bookmarkEnd w:id="51"/>
    <w:bookmarkEnd w:id="52"/>
    <w:p>
      <w:pPr>
        <w:topLinePunct/>
        <w:ind w:firstLine="422"/>
        <w:rPr>
          <w:szCs w:val="21"/>
        </w:rPr>
      </w:pPr>
      <w:bookmarkStart w:id="53" w:name="_Toc487358410"/>
      <w:bookmarkStart w:id="54" w:name="_Toc487356752"/>
      <w:bookmarkStart w:id="55" w:name="_Toc155114634"/>
      <w:bookmarkStart w:id="56" w:name="_Toc72659455"/>
      <w:bookmarkStart w:id="57" w:name="_Toc487531473"/>
      <w:r>
        <w:rPr>
          <w:rFonts w:hint="eastAsia"/>
          <w:b/>
          <w:szCs w:val="21"/>
        </w:rPr>
        <w:t>4.1</w:t>
      </w:r>
      <w:r>
        <w:rPr>
          <w:rFonts w:hint="eastAsia"/>
          <w:szCs w:val="21"/>
        </w:rPr>
        <w:t>应急电缆质保期为12个月，质保服务为1年7×24保修服务。自买卖双方代表在应急电缆验收单上签字之日起计算。其费用计入总价。自买卖双方代表在应急电缆验收单上签字之日起计算。其费用计入总价。</w:t>
      </w:r>
    </w:p>
    <w:p>
      <w:pPr>
        <w:topLinePunct/>
        <w:ind w:firstLine="422"/>
        <w:rPr>
          <w:szCs w:val="21"/>
        </w:rPr>
      </w:pPr>
      <w:r>
        <w:rPr>
          <w:rFonts w:hint="eastAsia"/>
          <w:b/>
          <w:szCs w:val="21"/>
        </w:rPr>
        <w:t>4.2</w:t>
      </w:r>
      <w:r>
        <w:rPr>
          <w:rFonts w:hint="eastAsia"/>
          <w:szCs w:val="21"/>
        </w:rPr>
        <w:t>在质保期内，质保服务为故障部件现场更换、应急电缆的现场维修与维护、电话技术支持、故障原因分析等服务。不再收取额外费用。投标方有义务在招标方进行电源切改、保电等紧急重要工作时免费配合相关工作。</w:t>
      </w:r>
    </w:p>
    <w:p>
      <w:pPr>
        <w:topLinePunct/>
        <w:ind w:firstLine="422"/>
        <w:rPr>
          <w:szCs w:val="21"/>
        </w:rPr>
      </w:pPr>
      <w:r>
        <w:rPr>
          <w:rFonts w:hint="eastAsia"/>
          <w:b/>
          <w:szCs w:val="21"/>
        </w:rPr>
        <w:t>4.3</w:t>
      </w:r>
      <w:r>
        <w:rPr>
          <w:rFonts w:hint="eastAsia"/>
          <w:szCs w:val="21"/>
        </w:rPr>
        <w:t xml:space="preserve"> 质保服务响应时间：应急电缆出现故障时必须在24小时内对买方所提出的维修要求做出响应。对于24小时解决不了的问题，须提供备用配件。</w:t>
      </w:r>
    </w:p>
    <w:p>
      <w:pPr>
        <w:topLinePunct/>
        <w:ind w:firstLine="420"/>
        <w:rPr>
          <w:szCs w:val="21"/>
        </w:rPr>
      </w:pPr>
      <w:r>
        <w:rPr>
          <w:rFonts w:hint="eastAsia"/>
          <w:b/>
          <w:szCs w:val="21"/>
        </w:rPr>
        <w:t>4.4</w:t>
      </w:r>
      <w:r>
        <w:rPr>
          <w:rFonts w:hint="eastAsia"/>
          <w:szCs w:val="21"/>
        </w:rPr>
        <w:t>如同一批次应急电缆中，应急电缆存在明显共性缺陷或故障时，投标人需在7个工作日内免费更换全部相关部件或模块。</w:t>
      </w:r>
    </w:p>
    <w:p>
      <w:pPr>
        <w:topLinePunct/>
        <w:ind w:firstLine="420"/>
        <w:rPr>
          <w:szCs w:val="21"/>
        </w:rPr>
      </w:pPr>
      <w:r>
        <w:rPr>
          <w:rFonts w:hint="eastAsia"/>
          <w:b/>
          <w:szCs w:val="21"/>
        </w:rPr>
        <w:t>4.5</w:t>
      </w:r>
      <w:r>
        <w:rPr>
          <w:rFonts w:hint="eastAsia"/>
          <w:szCs w:val="21"/>
        </w:rPr>
        <w:t>在质保期内，更换后的故障存储介质由买方拥有，不得带离买方现场。</w:t>
      </w:r>
    </w:p>
    <w:bookmarkEnd w:id="53"/>
    <w:bookmarkEnd w:id="54"/>
    <w:bookmarkEnd w:id="55"/>
    <w:bookmarkEnd w:id="56"/>
    <w:bookmarkEnd w:id="57"/>
    <w:p>
      <w:pPr>
        <w:pStyle w:val="2"/>
        <w:rPr>
          <w:rFonts w:eastAsia="宋体"/>
          <w:b/>
          <w:kern w:val="2"/>
        </w:rPr>
      </w:pPr>
      <w:bookmarkStart w:id="58" w:name="_Toc253134740"/>
      <w:bookmarkStart w:id="59" w:name="_Toc29368"/>
      <w:r>
        <w:rPr>
          <w:rFonts w:hint="eastAsia" w:eastAsia="宋体"/>
          <w:b/>
          <w:kern w:val="2"/>
        </w:rPr>
        <w:t>5标准技术参数表</w:t>
      </w:r>
      <w:bookmarkEnd w:id="58"/>
      <w:bookmarkEnd w:id="59"/>
    </w:p>
    <w:p>
      <w:pPr>
        <w:topLinePunct/>
        <w:ind w:firstLine="413" w:firstLineChars="197"/>
        <w:rPr>
          <w:szCs w:val="21"/>
        </w:rPr>
      </w:pPr>
      <w:r>
        <w:rPr>
          <w:rFonts w:hint="eastAsia"/>
          <w:szCs w:val="21"/>
        </w:rPr>
        <w:t>投标人应认真逐项填写技术参数表（见表5-1）中投标人保证值，不能空格，也不能以“响应”两字代替，不允许改动招标人要求值。如有差异，请填写表7-1：投标人技术偏差表。</w:t>
      </w:r>
    </w:p>
    <w:p>
      <w:pPr>
        <w:pStyle w:val="140"/>
        <w:rPr>
          <w:rFonts w:eastAsia="宋体"/>
        </w:rPr>
      </w:pPr>
      <w:r>
        <w:rPr>
          <w:rFonts w:hint="eastAsia" w:eastAsia="宋体"/>
        </w:rPr>
        <w:t>表5-1应急电缆技术参数表</w:t>
      </w:r>
    </w:p>
    <w:tbl>
      <w:tblPr>
        <w:tblStyle w:val="62"/>
        <w:tblW w:w="0" w:type="auto"/>
        <w:tblInd w:w="0" w:type="dxa"/>
        <w:tblLayout w:type="autofit"/>
        <w:tblCellMar>
          <w:top w:w="15" w:type="dxa"/>
          <w:left w:w="15" w:type="dxa"/>
          <w:bottom w:w="15" w:type="dxa"/>
          <w:right w:w="15" w:type="dxa"/>
        </w:tblCellMar>
      </w:tblPr>
      <w:tblGrid>
        <w:gridCol w:w="870"/>
        <w:gridCol w:w="1110"/>
        <w:gridCol w:w="1560"/>
        <w:gridCol w:w="586"/>
        <w:gridCol w:w="567"/>
        <w:gridCol w:w="2009"/>
        <w:gridCol w:w="1290"/>
      </w:tblGrid>
      <w:tr>
        <w:tblPrEx>
          <w:tblCellMar>
            <w:top w:w="15" w:type="dxa"/>
            <w:left w:w="15" w:type="dxa"/>
            <w:bottom w:w="15" w:type="dxa"/>
            <w:right w:w="15" w:type="dxa"/>
          </w:tblCellMar>
        </w:tblPrEx>
        <w:trPr>
          <w:trHeight w:val="6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设备名称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应急电缆配件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规格型号/技术要求</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olor w:val="000000"/>
                <w:kern w:val="0"/>
                <w:sz w:val="18"/>
                <w:szCs w:val="18"/>
                <w:lang w:bidi="ar"/>
              </w:rPr>
            </w:pPr>
            <w:r>
              <w:rPr>
                <w:rFonts w:hint="eastAsia"/>
                <w:color w:val="000000"/>
                <w:kern w:val="0"/>
                <w:sz w:val="18"/>
                <w:szCs w:val="18"/>
                <w:lang w:bidi="ar"/>
              </w:rPr>
              <w:t>单位</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color w:val="000000"/>
                <w:kern w:val="0"/>
                <w:sz w:val="18"/>
                <w:szCs w:val="18"/>
                <w:lang w:bidi="ar"/>
              </w:rPr>
            </w:pPr>
            <w:r>
              <w:rPr>
                <w:rFonts w:hint="eastAsia"/>
                <w:color w:val="000000"/>
                <w:kern w:val="0"/>
                <w:sz w:val="18"/>
                <w:szCs w:val="18"/>
                <w:lang w:bidi="ar"/>
              </w:rPr>
              <w:t>数量</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招标人要求值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投标人保证值</w:t>
            </w:r>
          </w:p>
        </w:tc>
      </w:tr>
      <w:tr>
        <w:tblPrEx>
          <w:tblCellMar>
            <w:top w:w="15" w:type="dxa"/>
            <w:left w:w="15" w:type="dxa"/>
            <w:bottom w:w="15" w:type="dxa"/>
            <w:right w:w="15" w:type="dxa"/>
          </w:tblCellMar>
        </w:tblPrEx>
        <w:trPr>
          <w:trHeight w:val="624" w:hRule="atLeast"/>
        </w:trPr>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rPr>
              <w:t>应急电缆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ZRYJV 4*35+E16</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米</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60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ZRYJV 4*95+E50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米</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55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ZRYJV 4*70+E35</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米</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55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ZRYJV 3*240+E120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米</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55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widowControl/>
              <w:jc w:val="center"/>
              <w:textAlignment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DT-16</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DT-35</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15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widowControl/>
              <w:jc w:val="center"/>
              <w:textAlignment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DT-50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widowControl/>
              <w:jc w:val="center"/>
              <w:textAlignment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DT-95</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10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DT-70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10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widowControl/>
              <w:jc w:val="center"/>
              <w:textAlignment w:val="center"/>
              <w:rPr>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DT-240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10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right w:val="single" w:color="000000" w:sz="4" w:space="0"/>
            </w:tcBorders>
            <w:shd w:val="clear" w:color="auto" w:fill="auto"/>
            <w:vAlign w:val="center"/>
          </w:tcPr>
          <w:p>
            <w:pPr>
              <w:widowControl/>
              <w:jc w:val="center"/>
              <w:textAlignment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铜鼻子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DT-120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个</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r>
        <w:tblPrEx>
          <w:tblCellMar>
            <w:top w:w="15" w:type="dxa"/>
            <w:left w:w="15" w:type="dxa"/>
            <w:bottom w:w="15" w:type="dxa"/>
            <w:right w:w="15" w:type="dxa"/>
          </w:tblCellMar>
        </w:tblPrEx>
        <w:trPr>
          <w:trHeight w:val="624" w:hRule="atLeast"/>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压线钳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kern w:val="0"/>
                <w:sz w:val="18"/>
                <w:szCs w:val="18"/>
                <w:lang w:bidi="ar"/>
              </w:rPr>
            </w:pPr>
            <w:r>
              <w:rPr>
                <w:rFonts w:hint="eastAsia"/>
                <w:kern w:val="0"/>
                <w:sz w:val="18"/>
                <w:szCs w:val="18"/>
                <w:lang w:bidi="ar"/>
              </w:rPr>
              <w:t>YQK-300</w:t>
            </w:r>
          </w:p>
        </w:tc>
        <w:tc>
          <w:tcPr>
            <w:tcW w:w="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套</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kern w:val="0"/>
                <w:sz w:val="18"/>
                <w:szCs w:val="18"/>
                <w:lang w:bidi="ar"/>
              </w:rPr>
            </w:pPr>
            <w:r>
              <w:rPr>
                <w:rFonts w:hint="eastAsia"/>
                <w:kern w:val="0"/>
                <w:sz w:val="18"/>
                <w:szCs w:val="18"/>
                <w:lang w:bidi="ar"/>
              </w:rPr>
              <w:t>1</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kern w:val="0"/>
                <w:sz w:val="18"/>
                <w:szCs w:val="18"/>
                <w:lang w:bidi="ar"/>
              </w:rPr>
              <w:t>满足以上参数，并与原设备完全兼容。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（投标人填写）</w:t>
            </w:r>
          </w:p>
        </w:tc>
      </w:tr>
    </w:tbl>
    <w:p>
      <w:pPr>
        <w:topLinePunct/>
        <w:rPr>
          <w:rFonts w:hint="eastAsia"/>
        </w:rPr>
      </w:pPr>
      <w:bookmarkStart w:id="60" w:name="_Toc243918977"/>
      <w:r>
        <w:rPr>
          <w:rFonts w:hint="eastAsia"/>
          <w:b/>
        </w:rPr>
        <w:t>*电缆需经过权威机构检测并出具电缆检测报告。包含搬运、电缆两头做好五指热缩套、压好铜鼻子等</w:t>
      </w:r>
      <w:r>
        <w:rPr>
          <w:rFonts w:hint="eastAsia"/>
        </w:rPr>
        <w:t>。</w:t>
      </w:r>
    </w:p>
    <w:p>
      <w:pPr>
        <w:topLinePunct/>
        <w:rPr>
          <w:rFonts w:hint="default" w:eastAsia="宋体"/>
          <w:lang w:val="en-US" w:eastAsia="zh-CN"/>
        </w:rPr>
      </w:pPr>
      <w:r>
        <w:rPr>
          <w:rFonts w:hint="eastAsia"/>
          <w:b/>
        </w:rPr>
        <w:t>*电缆</w:t>
      </w:r>
      <w:r>
        <w:rPr>
          <w:rFonts w:hint="eastAsia"/>
          <w:b/>
          <w:lang w:val="en-US" w:eastAsia="zh-CN"/>
        </w:rPr>
        <w:t>到货后，投标人须送内蒙古电力科学研究院检测，如产生费用，</w:t>
      </w:r>
      <w:bookmarkStart w:id="110" w:name="_GoBack"/>
      <w:bookmarkEnd w:id="110"/>
      <w:r>
        <w:rPr>
          <w:rFonts w:hint="eastAsia"/>
          <w:b/>
          <w:lang w:val="en-US" w:eastAsia="zh-CN"/>
        </w:rPr>
        <w:t>由投标人承担。</w:t>
      </w:r>
    </w:p>
    <w:p>
      <w:pPr>
        <w:topLinePunct/>
        <w:rPr>
          <w:szCs w:val="21"/>
        </w:rPr>
      </w:pPr>
      <w:r>
        <w:rPr>
          <w:rFonts w:hint="eastAsia"/>
        </w:rPr>
        <w:t>*注：以上所列应急电缆配件，如不能满足要求，将被视为实质性不符合招标文件要求。</w:t>
      </w:r>
    </w:p>
    <w:p>
      <w:pPr>
        <w:pStyle w:val="2"/>
        <w:rPr>
          <w:rFonts w:eastAsia="宋体"/>
          <w:b/>
          <w:kern w:val="2"/>
        </w:rPr>
      </w:pPr>
      <w:bookmarkStart w:id="61" w:name="_Toc253134741"/>
      <w:bookmarkStart w:id="62" w:name="_Toc24960"/>
      <w:r>
        <w:rPr>
          <w:rFonts w:hint="eastAsia" w:eastAsia="宋体"/>
          <w:b/>
          <w:kern w:val="2"/>
        </w:rPr>
        <w:t>6项目需求部分</w:t>
      </w:r>
      <w:bookmarkEnd w:id="60"/>
      <w:bookmarkEnd w:id="61"/>
      <w:bookmarkEnd w:id="62"/>
    </w:p>
    <w:p>
      <w:pPr>
        <w:pStyle w:val="3"/>
        <w:topLinePunct/>
        <w:spacing w:before="0" w:after="0" w:line="240" w:lineRule="auto"/>
        <w:ind w:firstLine="420"/>
        <w:rPr>
          <w:rFonts w:eastAsia="宋体"/>
          <w:sz w:val="21"/>
          <w:szCs w:val="21"/>
        </w:rPr>
      </w:pPr>
      <w:bookmarkStart w:id="63" w:name="_Toc25924"/>
      <w:bookmarkStart w:id="64" w:name="_Toc253134742"/>
      <w:bookmarkStart w:id="65" w:name="_Toc243918978"/>
      <w:r>
        <w:rPr>
          <w:rFonts w:hint="eastAsia" w:eastAsia="宋体"/>
          <w:sz w:val="21"/>
          <w:szCs w:val="21"/>
        </w:rPr>
        <w:t>6.1  货物需求及供货范围</w:t>
      </w:r>
      <w:bookmarkEnd w:id="63"/>
      <w:bookmarkEnd w:id="64"/>
    </w:p>
    <w:p>
      <w:pPr>
        <w:pStyle w:val="140"/>
        <w:rPr>
          <w:rFonts w:eastAsia="宋体"/>
        </w:rPr>
      </w:pPr>
      <w:r>
        <w:rPr>
          <w:rFonts w:hint="eastAsia" w:eastAsia="宋体"/>
        </w:rPr>
        <w:t>表6-1  货物需求及供货范围一览表</w:t>
      </w:r>
      <w:bookmarkEnd w:id="65"/>
    </w:p>
    <w:tbl>
      <w:tblPr>
        <w:tblStyle w:val="62"/>
        <w:tblW w:w="8163" w:type="dxa"/>
        <w:tblInd w:w="0" w:type="dxa"/>
        <w:tblLayout w:type="fixed"/>
        <w:tblCellMar>
          <w:top w:w="15" w:type="dxa"/>
          <w:left w:w="15" w:type="dxa"/>
          <w:bottom w:w="15" w:type="dxa"/>
          <w:right w:w="15" w:type="dxa"/>
        </w:tblCellMar>
      </w:tblPr>
      <w:tblGrid>
        <w:gridCol w:w="540"/>
        <w:gridCol w:w="962"/>
        <w:gridCol w:w="602"/>
        <w:gridCol w:w="1323"/>
        <w:gridCol w:w="968"/>
        <w:gridCol w:w="1926"/>
        <w:gridCol w:w="1051"/>
        <w:gridCol w:w="791"/>
      </w:tblGrid>
      <w:tr>
        <w:tblPrEx>
          <w:tblCellMar>
            <w:top w:w="15" w:type="dxa"/>
            <w:left w:w="15" w:type="dxa"/>
            <w:bottom w:w="15" w:type="dxa"/>
            <w:right w:w="15" w:type="dxa"/>
          </w:tblCellMar>
        </w:tblPrEx>
        <w:trPr>
          <w:trHeight w:val="330"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序号</w:t>
            </w:r>
          </w:p>
        </w:tc>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应急电缆配件名称</w:t>
            </w:r>
          </w:p>
        </w:tc>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单位</w:t>
            </w:r>
          </w:p>
        </w:tc>
        <w:tc>
          <w:tcPr>
            <w:tcW w:w="42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项目单位要求</w:t>
            </w:r>
          </w:p>
        </w:tc>
        <w:tc>
          <w:tcPr>
            <w:tcW w:w="1842" w:type="dxa"/>
            <w:gridSpan w:val="2"/>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投标人响应</w:t>
            </w:r>
          </w:p>
        </w:tc>
      </w:tr>
      <w:tr>
        <w:tblPrEx>
          <w:tblCellMar>
            <w:top w:w="15" w:type="dxa"/>
            <w:left w:w="15" w:type="dxa"/>
            <w:bottom w:w="15" w:type="dxa"/>
            <w:right w:w="15" w:type="dxa"/>
          </w:tblCellMar>
        </w:tblPrEx>
        <w:trPr>
          <w:trHeight w:val="33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18"/>
                <w:szCs w:val="18"/>
              </w:rPr>
            </w:pPr>
          </w:p>
        </w:tc>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18"/>
                <w:szCs w:val="18"/>
              </w:rPr>
            </w:pPr>
          </w:p>
        </w:tc>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型式、规格</w:t>
            </w:r>
          </w:p>
        </w:tc>
        <w:tc>
          <w:tcPr>
            <w:tcW w:w="968"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数量</w:t>
            </w:r>
          </w:p>
        </w:tc>
        <w:tc>
          <w:tcPr>
            <w:tcW w:w="19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top"/>
              <w:rPr>
                <w:sz w:val="18"/>
                <w:szCs w:val="18"/>
              </w:rPr>
            </w:pPr>
            <w:r>
              <w:rPr>
                <w:rFonts w:hint="eastAsia"/>
                <w:kern w:val="0"/>
                <w:sz w:val="18"/>
                <w:szCs w:val="18"/>
                <w:lang w:bidi="ar"/>
              </w:rPr>
              <w:t>配置</w:t>
            </w:r>
          </w:p>
        </w:tc>
        <w:tc>
          <w:tcPr>
            <w:tcW w:w="1051"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型式、规格</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kern w:val="0"/>
                <w:sz w:val="18"/>
                <w:szCs w:val="18"/>
                <w:lang w:bidi="ar"/>
              </w:rPr>
              <w:t>数量</w:t>
            </w:r>
          </w:p>
        </w:tc>
      </w:tr>
      <w:tr>
        <w:tblPrEx>
          <w:tblCellMar>
            <w:top w:w="15" w:type="dxa"/>
            <w:left w:w="15" w:type="dxa"/>
            <w:bottom w:w="15" w:type="dxa"/>
            <w:right w:w="15" w:type="dxa"/>
          </w:tblCellMar>
        </w:tblPrEx>
        <w:trPr>
          <w:trHeight w:val="1260" w:hRule="atLeast"/>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sz w:val="18"/>
                <w:szCs w:val="18"/>
              </w:rPr>
            </w:pPr>
            <w:r>
              <w:rPr>
                <w:rFonts w:hint="eastAsia"/>
                <w:sz w:val="18"/>
                <w:szCs w:val="18"/>
              </w:rPr>
              <w:t>详见表5-1  应急电缆配件技术参数表</w:t>
            </w:r>
            <w:r>
              <w:rPr>
                <w:rFonts w:hint="eastAsia" w:eastAsiaTheme="minorEastAsia"/>
                <w:sz w:val="18"/>
                <w:szCs w:val="18"/>
              </w:rPr>
              <w:t>：应急电缆配件名称</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eastAsiaTheme="minorEastAsia"/>
                <w:sz w:val="18"/>
                <w:szCs w:val="18"/>
              </w:rPr>
            </w:pPr>
            <w:r>
              <w:rPr>
                <w:rFonts w:hint="eastAsia"/>
                <w:sz w:val="18"/>
                <w:szCs w:val="18"/>
              </w:rPr>
              <w:t>详见表5-1  应急电缆配件技术参数表</w:t>
            </w:r>
            <w:r>
              <w:rPr>
                <w:rFonts w:hint="eastAsia" w:eastAsiaTheme="minorEastAsia"/>
                <w:sz w:val="18"/>
                <w:szCs w:val="18"/>
              </w:rPr>
              <w:t>：技术要求</w:t>
            </w:r>
          </w:p>
        </w:tc>
        <w:tc>
          <w:tcPr>
            <w:tcW w:w="968"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sz w:val="18"/>
                <w:szCs w:val="18"/>
              </w:rPr>
            </w:pPr>
            <w:r>
              <w:rPr>
                <w:rFonts w:hint="eastAsia"/>
                <w:kern w:val="0"/>
                <w:sz w:val="18"/>
                <w:szCs w:val="18"/>
                <w:lang w:bidi="ar"/>
              </w:rPr>
              <w:t>1</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sz w:val="18"/>
                <w:szCs w:val="18"/>
              </w:rPr>
            </w:pPr>
            <w:r>
              <w:rPr>
                <w:rFonts w:hint="eastAsia"/>
                <w:kern w:val="0"/>
                <w:sz w:val="18"/>
                <w:szCs w:val="18"/>
                <w:lang w:bidi="ar"/>
              </w:rPr>
              <w:t>详见表5-1  应急电缆配件技术参数表：技术要求和招标人要求值</w:t>
            </w:r>
          </w:p>
        </w:tc>
        <w:tc>
          <w:tcPr>
            <w:tcW w:w="1051" w:type="dxa"/>
            <w:tcBorders>
              <w:top w:val="single" w:color="000000" w:sz="4" w:space="0"/>
              <w:bottom w:val="single" w:color="000000" w:sz="4" w:space="0"/>
              <w:right w:val="single" w:color="000000" w:sz="4" w:space="0"/>
            </w:tcBorders>
            <w:shd w:val="clear" w:color="auto" w:fill="auto"/>
            <w:vAlign w:val="center"/>
          </w:tcPr>
          <w:p>
            <w:pPr>
              <w:rPr>
                <w:color w:val="000000"/>
                <w:sz w:val="18"/>
                <w:szCs w:val="18"/>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8"/>
                <w:szCs w:val="18"/>
              </w:rPr>
            </w:pPr>
          </w:p>
        </w:tc>
      </w:tr>
      <w:tr>
        <w:tblPrEx>
          <w:tblCellMar>
            <w:top w:w="15" w:type="dxa"/>
            <w:left w:w="15" w:type="dxa"/>
            <w:bottom w:w="15" w:type="dxa"/>
            <w:right w:w="15" w:type="dxa"/>
          </w:tblCellMar>
        </w:tblPrEx>
        <w:trPr>
          <w:trHeight w:val="1260" w:hRule="atLeast"/>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kern w:val="0"/>
                <w:sz w:val="18"/>
                <w:szCs w:val="18"/>
                <w:lang w:bidi="ar"/>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18"/>
                <w:szCs w:val="18"/>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color w:val="000000"/>
                <w:sz w:val="18"/>
                <w:szCs w:val="18"/>
              </w:rPr>
            </w:pPr>
          </w:p>
        </w:tc>
        <w:tc>
          <w:tcPr>
            <w:tcW w:w="968"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color w:val="000000"/>
                <w:kern w:val="0"/>
                <w:sz w:val="18"/>
                <w:szCs w:val="18"/>
                <w:lang w:bidi="ar"/>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kern w:val="0"/>
                <w:sz w:val="18"/>
                <w:szCs w:val="18"/>
                <w:lang w:bidi="ar"/>
              </w:rPr>
            </w:pPr>
          </w:p>
        </w:tc>
        <w:tc>
          <w:tcPr>
            <w:tcW w:w="1051" w:type="dxa"/>
            <w:tcBorders>
              <w:top w:val="single" w:color="000000" w:sz="4" w:space="0"/>
              <w:bottom w:val="single" w:color="000000" w:sz="4" w:space="0"/>
              <w:right w:val="single" w:color="000000" w:sz="4" w:space="0"/>
            </w:tcBorders>
            <w:shd w:val="clear" w:color="auto" w:fill="auto"/>
            <w:vAlign w:val="center"/>
          </w:tcPr>
          <w:p>
            <w:pPr>
              <w:rPr>
                <w:color w:val="000000"/>
                <w:sz w:val="18"/>
                <w:szCs w:val="18"/>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18"/>
                <w:szCs w:val="18"/>
              </w:rPr>
            </w:pPr>
          </w:p>
        </w:tc>
      </w:tr>
    </w:tbl>
    <w:p>
      <w:pPr>
        <w:pStyle w:val="3"/>
        <w:topLinePunct/>
        <w:spacing w:before="0" w:after="0" w:line="240" w:lineRule="auto"/>
        <w:rPr>
          <w:rFonts w:eastAsia="宋体"/>
          <w:b w:val="0"/>
          <w:sz w:val="21"/>
          <w:szCs w:val="21"/>
        </w:rPr>
      </w:pPr>
      <w:bookmarkStart w:id="66" w:name="_Toc243918979"/>
      <w:bookmarkStart w:id="67" w:name="_Toc146166494"/>
      <w:bookmarkStart w:id="68" w:name="_Toc155171278"/>
      <w:bookmarkStart w:id="69" w:name="_Toc253134743"/>
      <w:bookmarkStart w:id="70" w:name="_Toc155170787"/>
    </w:p>
    <w:p>
      <w:pPr>
        <w:pStyle w:val="3"/>
        <w:topLinePunct/>
        <w:spacing w:before="0" w:after="0" w:line="240" w:lineRule="auto"/>
        <w:rPr>
          <w:rFonts w:eastAsia="宋体"/>
          <w:b w:val="0"/>
          <w:sz w:val="21"/>
          <w:szCs w:val="21"/>
        </w:rPr>
      </w:pPr>
      <w:bookmarkStart w:id="71" w:name="_Toc13585"/>
      <w:r>
        <w:rPr>
          <w:rFonts w:hint="eastAsia" w:eastAsia="宋体"/>
          <w:b w:val="0"/>
          <w:sz w:val="21"/>
          <w:szCs w:val="21"/>
        </w:rPr>
        <w:t>注：以上货物供应，根据招标人的需求进行确定，请投标人按照单件应急电缆配件进行逐条应答。报价。</w:t>
      </w:r>
      <w:bookmarkEnd w:id="71"/>
    </w:p>
    <w:p/>
    <w:bookmarkEnd w:id="66"/>
    <w:bookmarkEnd w:id="67"/>
    <w:bookmarkEnd w:id="68"/>
    <w:bookmarkEnd w:id="69"/>
    <w:p>
      <w:pPr>
        <w:pStyle w:val="3"/>
        <w:topLinePunct/>
        <w:spacing w:before="0" w:after="0" w:line="240" w:lineRule="auto"/>
        <w:ind w:firstLine="420"/>
        <w:rPr>
          <w:rFonts w:eastAsia="宋体"/>
          <w:sz w:val="21"/>
          <w:szCs w:val="21"/>
        </w:rPr>
      </w:pPr>
      <w:bookmarkStart w:id="72" w:name="_Toc243918981"/>
      <w:bookmarkStart w:id="73" w:name="_Toc4615"/>
      <w:bookmarkStart w:id="74" w:name="_Toc155170790"/>
      <w:bookmarkStart w:id="75" w:name="_Toc253134745"/>
      <w:r>
        <w:rPr>
          <w:rFonts w:hint="eastAsia" w:eastAsia="宋体"/>
          <w:sz w:val="21"/>
          <w:szCs w:val="21"/>
        </w:rPr>
        <w:t>6.2  工程概况</w:t>
      </w:r>
      <w:bookmarkEnd w:id="72"/>
      <w:bookmarkEnd w:id="73"/>
      <w:bookmarkEnd w:id="74"/>
      <w:bookmarkEnd w:id="75"/>
    </w:p>
    <w:p/>
    <w:p>
      <w:pPr>
        <w:pStyle w:val="151"/>
        <w:spacing w:before="156" w:beforeLines="50" w:after="156" w:afterLines="50" w:line="360" w:lineRule="auto"/>
        <w:ind w:left="2107" w:leftChars="200" w:hanging="1687" w:hangingChars="800"/>
        <w:rPr>
          <w:sz w:val="44"/>
          <w:szCs w:val="44"/>
          <w:lang w:eastAsia="zh-CN"/>
        </w:rPr>
      </w:pPr>
      <w:r>
        <w:rPr>
          <w:rFonts w:hint="eastAsia"/>
          <w:b/>
          <w:kern w:val="2"/>
          <w:sz w:val="21"/>
          <w:szCs w:val="21"/>
          <w:lang w:eastAsia="zh-CN"/>
        </w:rPr>
        <w:t>6.2.1</w:t>
      </w:r>
      <w:r>
        <w:rPr>
          <w:rFonts w:hint="eastAsia"/>
          <w:sz w:val="21"/>
          <w:szCs w:val="21"/>
          <w:lang w:eastAsia="zh-CN"/>
        </w:rPr>
        <w:t xml:space="preserve">  项目名称：内蒙古电力(集团)有限责任公司信息通信分公司2022年应急电缆采购项目</w:t>
      </w:r>
    </w:p>
    <w:p>
      <w:pPr>
        <w:pStyle w:val="122"/>
        <w:topLinePunct/>
        <w:ind w:firstLine="420"/>
        <w:rPr>
          <w:rFonts w:ascii="宋体" w:hAnsi="宋体"/>
          <w:b w:val="0"/>
          <w:color w:val="auto"/>
          <w:sz w:val="21"/>
          <w:szCs w:val="21"/>
        </w:rPr>
      </w:pPr>
      <w:r>
        <w:rPr>
          <w:rFonts w:hint="eastAsia" w:ascii="宋体" w:hAnsi="宋体"/>
          <w:color w:val="auto"/>
          <w:sz w:val="21"/>
          <w:szCs w:val="21"/>
        </w:rPr>
        <w:t>6.2.2</w:t>
      </w:r>
      <w:r>
        <w:rPr>
          <w:rFonts w:hint="eastAsia" w:ascii="宋体" w:hAnsi="宋体"/>
          <w:b w:val="0"/>
          <w:color w:val="auto"/>
          <w:sz w:val="21"/>
          <w:szCs w:val="21"/>
        </w:rPr>
        <w:t xml:space="preserve">  项目单位：内蒙古电力(集团)有限责任公司信息通信分公司</w:t>
      </w:r>
    </w:p>
    <w:p>
      <w:pPr>
        <w:pStyle w:val="122"/>
        <w:topLinePunct/>
        <w:ind w:firstLine="420"/>
        <w:rPr>
          <w:rFonts w:ascii="宋体" w:hAnsi="宋体"/>
          <w:b w:val="0"/>
          <w:color w:val="auto"/>
          <w:sz w:val="21"/>
          <w:szCs w:val="21"/>
        </w:rPr>
      </w:pPr>
    </w:p>
    <w:p>
      <w:pPr>
        <w:pStyle w:val="122"/>
        <w:topLinePunct/>
        <w:ind w:firstLine="420"/>
        <w:rPr>
          <w:rFonts w:ascii="宋体" w:hAnsi="宋体"/>
          <w:b w:val="0"/>
          <w:color w:val="auto"/>
          <w:sz w:val="21"/>
          <w:szCs w:val="21"/>
        </w:rPr>
      </w:pPr>
      <w:r>
        <w:rPr>
          <w:rFonts w:hint="eastAsia" w:ascii="宋体" w:hAnsi="宋体"/>
          <w:color w:val="auto"/>
          <w:sz w:val="21"/>
          <w:szCs w:val="21"/>
        </w:rPr>
        <w:t>6.2.3</w:t>
      </w:r>
      <w:r>
        <w:rPr>
          <w:rFonts w:hint="eastAsia" w:ascii="宋体" w:hAnsi="宋体"/>
          <w:b w:val="0"/>
          <w:color w:val="auto"/>
          <w:sz w:val="21"/>
          <w:szCs w:val="21"/>
        </w:rPr>
        <w:t xml:space="preserve">  工程规模：</w:t>
      </w:r>
    </w:p>
    <w:p>
      <w:pPr>
        <w:pStyle w:val="122"/>
        <w:topLinePunct/>
        <w:ind w:firstLine="420"/>
        <w:rPr>
          <w:rFonts w:ascii="宋体" w:hAnsi="宋体"/>
          <w:b w:val="0"/>
          <w:color w:val="auto"/>
          <w:sz w:val="21"/>
          <w:szCs w:val="21"/>
        </w:rPr>
      </w:pPr>
    </w:p>
    <w:p>
      <w:pPr>
        <w:pStyle w:val="122"/>
        <w:topLinePunct/>
        <w:ind w:firstLine="420"/>
        <w:rPr>
          <w:rFonts w:ascii="宋体" w:hAnsi="宋体"/>
          <w:b w:val="0"/>
          <w:color w:val="auto"/>
          <w:sz w:val="21"/>
          <w:szCs w:val="21"/>
        </w:rPr>
      </w:pPr>
      <w:r>
        <w:rPr>
          <w:rFonts w:hint="eastAsia" w:ascii="宋体" w:hAnsi="宋体"/>
          <w:b w:val="0"/>
          <w:color w:val="auto"/>
          <w:sz w:val="21"/>
          <w:szCs w:val="21"/>
        </w:rPr>
        <w:t>招标人是经营输电、变电、配电等电网资产的国有大型企业。内蒙古电力公司“十二五”信息化建设发展规划的建设目标是充分利用现代信息和通信技术，实现生产过程自动化、业务处理互动化、经营管理信息化、战略决策科学化，推进电力流、业务流、信息流三流合一，助力信息化与工业化融合发展。建成公司一体化信息平台，优化整合信息资源，增强一体化信息平台承载能力，实现业务应用建设与集成，全面提升分析决策水平。公司全面建成信息化企业，信息化整体水平达到国内领先。</w:t>
      </w:r>
    </w:p>
    <w:p>
      <w:pPr>
        <w:pStyle w:val="122"/>
        <w:topLinePunct/>
        <w:ind w:firstLine="420"/>
        <w:rPr>
          <w:rFonts w:ascii="宋体" w:hAnsi="宋体"/>
          <w:b w:val="0"/>
          <w:color w:val="auto"/>
          <w:sz w:val="21"/>
          <w:szCs w:val="21"/>
        </w:rPr>
      </w:pPr>
      <w:r>
        <w:rPr>
          <w:rFonts w:hint="eastAsia" w:ascii="宋体" w:hAnsi="宋体"/>
          <w:color w:val="auto"/>
          <w:sz w:val="21"/>
          <w:szCs w:val="21"/>
        </w:rPr>
        <w:t>6.2.4</w:t>
      </w:r>
      <w:r>
        <w:rPr>
          <w:rFonts w:hint="eastAsia" w:ascii="宋体" w:hAnsi="宋体"/>
          <w:b w:val="0"/>
          <w:color w:val="auto"/>
          <w:sz w:val="21"/>
          <w:szCs w:val="21"/>
        </w:rPr>
        <w:t xml:space="preserve">  工程地址：内蒙古自治区呼和浩特市赛罕区前达门路9号内蒙电力新大楼信通一层UPS室。</w:t>
      </w:r>
    </w:p>
    <w:p>
      <w:pPr>
        <w:pStyle w:val="122"/>
        <w:topLinePunct/>
        <w:ind w:firstLine="420"/>
        <w:rPr>
          <w:rFonts w:ascii="宋体" w:hAnsi="宋体"/>
          <w:b w:val="0"/>
          <w:color w:val="auto"/>
          <w:sz w:val="21"/>
          <w:szCs w:val="21"/>
        </w:rPr>
      </w:pPr>
    </w:p>
    <w:p>
      <w:pPr>
        <w:pStyle w:val="122"/>
        <w:topLinePunct/>
        <w:ind w:firstLine="420"/>
        <w:rPr>
          <w:rFonts w:ascii="宋体" w:hAnsi="宋体"/>
          <w:b w:val="0"/>
          <w:color w:val="auto"/>
          <w:sz w:val="21"/>
          <w:szCs w:val="21"/>
        </w:rPr>
      </w:pPr>
      <w:r>
        <w:rPr>
          <w:rFonts w:hint="eastAsia" w:ascii="宋体" w:hAnsi="宋体"/>
          <w:color w:val="auto"/>
          <w:sz w:val="21"/>
          <w:szCs w:val="21"/>
        </w:rPr>
        <w:t>6.2.5</w:t>
      </w:r>
      <w:r>
        <w:rPr>
          <w:rFonts w:hint="eastAsia" w:ascii="宋体" w:hAnsi="宋体"/>
          <w:b w:val="0"/>
          <w:color w:val="auto"/>
          <w:sz w:val="21"/>
          <w:szCs w:val="21"/>
        </w:rPr>
        <w:t xml:space="preserve">  交通、运输：铁路、公路、水路</w:t>
      </w:r>
    </w:p>
    <w:p>
      <w:pPr>
        <w:pStyle w:val="122"/>
        <w:topLinePunct/>
        <w:ind w:firstLine="420"/>
        <w:rPr>
          <w:rFonts w:ascii="宋体" w:hAnsi="宋体"/>
          <w:b w:val="0"/>
          <w:color w:val="auto"/>
          <w:sz w:val="21"/>
          <w:szCs w:val="21"/>
        </w:rPr>
      </w:pPr>
    </w:p>
    <w:p>
      <w:pPr>
        <w:pStyle w:val="3"/>
        <w:topLinePunct/>
        <w:spacing w:before="0" w:after="0" w:line="240" w:lineRule="auto"/>
        <w:ind w:firstLine="420"/>
        <w:rPr>
          <w:rFonts w:eastAsia="宋体"/>
          <w:sz w:val="21"/>
          <w:szCs w:val="21"/>
        </w:rPr>
      </w:pPr>
      <w:bookmarkStart w:id="76" w:name="_Toc253134746"/>
      <w:bookmarkStart w:id="77" w:name="_Toc155170791"/>
      <w:bookmarkStart w:id="78" w:name="_Toc15615"/>
      <w:bookmarkStart w:id="79" w:name="_Toc243918982"/>
      <w:r>
        <w:rPr>
          <w:rFonts w:hint="eastAsia" w:eastAsia="宋体"/>
          <w:sz w:val="21"/>
          <w:szCs w:val="21"/>
        </w:rPr>
        <w:t>6.3  使用条件</w:t>
      </w:r>
      <w:bookmarkEnd w:id="76"/>
      <w:bookmarkEnd w:id="77"/>
      <w:bookmarkEnd w:id="78"/>
      <w:bookmarkEnd w:id="79"/>
    </w:p>
    <w:p>
      <w:pPr>
        <w:pStyle w:val="140"/>
        <w:rPr>
          <w:rFonts w:eastAsia="宋体"/>
        </w:rPr>
      </w:pPr>
      <w:r>
        <w:rPr>
          <w:rFonts w:hint="eastAsia" w:eastAsia="宋体"/>
        </w:rPr>
        <w:t>表6-2  使用条件表</w:t>
      </w:r>
    </w:p>
    <w:tbl>
      <w:tblPr>
        <w:tblStyle w:val="62"/>
        <w:tblW w:w="827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80"/>
        <w:gridCol w:w="1080"/>
        <w:gridCol w:w="1080"/>
        <w:gridCol w:w="1080"/>
        <w:gridCol w:w="1836"/>
        <w:gridCol w:w="211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tblHeader/>
          <w:jc w:val="center"/>
        </w:trPr>
        <w:tc>
          <w:tcPr>
            <w:tcW w:w="1080" w:type="dxa"/>
            <w:shd w:val="clear" w:color="auto" w:fill="auto"/>
            <w:vAlign w:val="center"/>
          </w:tcPr>
          <w:p>
            <w:pPr>
              <w:widowControl/>
              <w:jc w:val="center"/>
              <w:rPr>
                <w:kern w:val="0"/>
                <w:sz w:val="18"/>
                <w:szCs w:val="18"/>
              </w:rPr>
            </w:pPr>
            <w:r>
              <w:rPr>
                <w:rFonts w:hint="eastAsia"/>
                <w:kern w:val="0"/>
                <w:sz w:val="18"/>
                <w:szCs w:val="18"/>
              </w:rPr>
              <w:t>序号</w:t>
            </w:r>
          </w:p>
        </w:tc>
        <w:tc>
          <w:tcPr>
            <w:tcW w:w="3240" w:type="dxa"/>
            <w:gridSpan w:val="3"/>
            <w:shd w:val="clear" w:color="auto" w:fill="auto"/>
            <w:vAlign w:val="center"/>
          </w:tcPr>
          <w:p>
            <w:pPr>
              <w:widowControl/>
              <w:jc w:val="center"/>
              <w:rPr>
                <w:kern w:val="0"/>
                <w:sz w:val="18"/>
                <w:szCs w:val="18"/>
              </w:rPr>
            </w:pPr>
            <w:r>
              <w:rPr>
                <w:rFonts w:hint="eastAsia"/>
                <w:kern w:val="0"/>
                <w:sz w:val="18"/>
                <w:szCs w:val="18"/>
              </w:rPr>
              <w:t>名称</w:t>
            </w:r>
          </w:p>
        </w:tc>
        <w:tc>
          <w:tcPr>
            <w:tcW w:w="1836" w:type="dxa"/>
            <w:shd w:val="clear" w:color="auto" w:fill="auto"/>
            <w:vAlign w:val="center"/>
          </w:tcPr>
          <w:p>
            <w:pPr>
              <w:widowControl/>
              <w:jc w:val="center"/>
              <w:rPr>
                <w:kern w:val="0"/>
                <w:sz w:val="18"/>
                <w:szCs w:val="18"/>
              </w:rPr>
            </w:pPr>
            <w:r>
              <w:rPr>
                <w:rFonts w:hint="eastAsia"/>
                <w:kern w:val="0"/>
                <w:sz w:val="18"/>
                <w:szCs w:val="18"/>
              </w:rPr>
              <w:t>招标人要求值</w:t>
            </w:r>
          </w:p>
        </w:tc>
        <w:tc>
          <w:tcPr>
            <w:tcW w:w="2114" w:type="dxa"/>
            <w:shd w:val="clear" w:color="auto" w:fill="auto"/>
            <w:vAlign w:val="center"/>
          </w:tcPr>
          <w:p>
            <w:pPr>
              <w:widowControl/>
              <w:jc w:val="center"/>
              <w:rPr>
                <w:kern w:val="0"/>
                <w:sz w:val="18"/>
                <w:szCs w:val="18"/>
              </w:rPr>
            </w:pPr>
            <w:r>
              <w:rPr>
                <w:rFonts w:hint="eastAsia"/>
                <w:kern w:val="0"/>
                <w:sz w:val="18"/>
                <w:szCs w:val="18"/>
              </w:rPr>
              <w:t>投标人保证值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1</w:t>
            </w:r>
          </w:p>
        </w:tc>
        <w:tc>
          <w:tcPr>
            <w:tcW w:w="3240" w:type="dxa"/>
            <w:gridSpan w:val="3"/>
            <w:shd w:val="clear" w:color="auto" w:fill="auto"/>
            <w:vAlign w:val="center"/>
          </w:tcPr>
          <w:p>
            <w:pPr>
              <w:widowControl/>
              <w:rPr>
                <w:kern w:val="0"/>
                <w:sz w:val="18"/>
                <w:szCs w:val="18"/>
              </w:rPr>
            </w:pPr>
            <w:r>
              <w:rPr>
                <w:rFonts w:hint="eastAsia"/>
                <w:kern w:val="0"/>
                <w:sz w:val="18"/>
                <w:szCs w:val="18"/>
              </w:rPr>
              <w:t>海拔高度（m）（不超过）</w:t>
            </w:r>
          </w:p>
        </w:tc>
        <w:tc>
          <w:tcPr>
            <w:tcW w:w="1836" w:type="dxa"/>
            <w:shd w:val="clear" w:color="auto" w:fill="auto"/>
            <w:vAlign w:val="center"/>
          </w:tcPr>
          <w:p>
            <w:pPr>
              <w:widowControl/>
              <w:jc w:val="center"/>
              <w:rPr>
                <w:kern w:val="0"/>
                <w:sz w:val="18"/>
                <w:szCs w:val="18"/>
              </w:rPr>
            </w:pPr>
            <w:r>
              <w:rPr>
                <w:rFonts w:hint="eastAsia"/>
                <w:kern w:val="0"/>
                <w:sz w:val="18"/>
                <w:szCs w:val="18"/>
              </w:rPr>
              <w:t>≤2000</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2</w:t>
            </w:r>
          </w:p>
        </w:tc>
        <w:tc>
          <w:tcPr>
            <w:tcW w:w="1080" w:type="dxa"/>
            <w:vMerge w:val="restart"/>
            <w:shd w:val="clear" w:color="auto" w:fill="auto"/>
            <w:vAlign w:val="center"/>
          </w:tcPr>
          <w:p>
            <w:pPr>
              <w:widowControl/>
              <w:jc w:val="center"/>
              <w:rPr>
                <w:kern w:val="0"/>
                <w:sz w:val="18"/>
                <w:szCs w:val="18"/>
              </w:rPr>
            </w:pPr>
            <w:r>
              <w:rPr>
                <w:rFonts w:hint="eastAsia"/>
                <w:kern w:val="0"/>
                <w:sz w:val="18"/>
                <w:szCs w:val="18"/>
              </w:rPr>
              <w:t>环境温度</w:t>
            </w:r>
            <w:r>
              <w:rPr>
                <w:rFonts w:hint="eastAsia"/>
                <w:kern w:val="0"/>
                <w:sz w:val="18"/>
                <w:szCs w:val="18"/>
              </w:rPr>
              <w:br w:type="textWrapping"/>
            </w:r>
            <w:r>
              <w:rPr>
                <w:rFonts w:hint="eastAsia"/>
                <w:kern w:val="0"/>
                <w:sz w:val="18"/>
                <w:szCs w:val="18"/>
              </w:rPr>
              <w:t>（℃）</w:t>
            </w:r>
          </w:p>
        </w:tc>
        <w:tc>
          <w:tcPr>
            <w:tcW w:w="1080" w:type="dxa"/>
            <w:vMerge w:val="restart"/>
            <w:shd w:val="clear" w:color="auto" w:fill="auto"/>
            <w:vAlign w:val="center"/>
          </w:tcPr>
          <w:p>
            <w:pPr>
              <w:widowControl/>
              <w:rPr>
                <w:kern w:val="0"/>
                <w:sz w:val="18"/>
                <w:szCs w:val="18"/>
              </w:rPr>
            </w:pPr>
            <w:r>
              <w:rPr>
                <w:rFonts w:hint="eastAsia"/>
                <w:kern w:val="0"/>
                <w:sz w:val="18"/>
                <w:szCs w:val="18"/>
              </w:rPr>
              <w:t>最高气温</w:t>
            </w:r>
          </w:p>
        </w:tc>
        <w:tc>
          <w:tcPr>
            <w:tcW w:w="1080" w:type="dxa"/>
            <w:shd w:val="clear" w:color="auto" w:fill="auto"/>
            <w:vAlign w:val="center"/>
          </w:tcPr>
          <w:p>
            <w:pPr>
              <w:widowControl/>
              <w:rPr>
                <w:kern w:val="0"/>
                <w:sz w:val="18"/>
                <w:szCs w:val="18"/>
              </w:rPr>
            </w:pPr>
            <w:r>
              <w:rPr>
                <w:rFonts w:hint="eastAsia"/>
                <w:kern w:val="0"/>
                <w:sz w:val="18"/>
                <w:szCs w:val="18"/>
              </w:rPr>
              <w:t>户外</w:t>
            </w:r>
          </w:p>
        </w:tc>
        <w:tc>
          <w:tcPr>
            <w:tcW w:w="1836" w:type="dxa"/>
            <w:shd w:val="clear" w:color="auto" w:fill="auto"/>
            <w:vAlign w:val="center"/>
          </w:tcPr>
          <w:p>
            <w:pPr>
              <w:widowControl/>
              <w:jc w:val="center"/>
              <w:rPr>
                <w:kern w:val="0"/>
                <w:sz w:val="18"/>
                <w:szCs w:val="18"/>
              </w:rPr>
            </w:pPr>
            <w:r>
              <w:rPr>
                <w:rFonts w:hint="eastAsia"/>
                <w:kern w:val="0"/>
                <w:sz w:val="18"/>
                <w:szCs w:val="18"/>
              </w:rPr>
              <w:t>（项目单位提供）</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3</w:t>
            </w:r>
          </w:p>
        </w:tc>
        <w:tc>
          <w:tcPr>
            <w:tcW w:w="1080" w:type="dxa"/>
            <w:vMerge w:val="continue"/>
            <w:vAlign w:val="center"/>
          </w:tcPr>
          <w:p>
            <w:pPr>
              <w:widowControl/>
              <w:jc w:val="left"/>
              <w:rPr>
                <w:kern w:val="0"/>
                <w:sz w:val="18"/>
                <w:szCs w:val="18"/>
              </w:rPr>
            </w:pPr>
          </w:p>
        </w:tc>
        <w:tc>
          <w:tcPr>
            <w:tcW w:w="1080" w:type="dxa"/>
            <w:vMerge w:val="continue"/>
            <w:vAlign w:val="center"/>
          </w:tcPr>
          <w:p>
            <w:pPr>
              <w:widowControl/>
              <w:jc w:val="left"/>
              <w:rPr>
                <w:kern w:val="0"/>
                <w:sz w:val="18"/>
                <w:szCs w:val="18"/>
              </w:rPr>
            </w:pPr>
          </w:p>
        </w:tc>
        <w:tc>
          <w:tcPr>
            <w:tcW w:w="1080" w:type="dxa"/>
            <w:shd w:val="clear" w:color="auto" w:fill="auto"/>
            <w:vAlign w:val="center"/>
          </w:tcPr>
          <w:p>
            <w:pPr>
              <w:widowControl/>
              <w:rPr>
                <w:kern w:val="0"/>
                <w:sz w:val="18"/>
                <w:szCs w:val="18"/>
              </w:rPr>
            </w:pPr>
            <w:r>
              <w:rPr>
                <w:rFonts w:hint="eastAsia"/>
                <w:kern w:val="0"/>
                <w:sz w:val="18"/>
                <w:szCs w:val="18"/>
              </w:rPr>
              <w:t>户内</w:t>
            </w:r>
          </w:p>
        </w:tc>
        <w:tc>
          <w:tcPr>
            <w:tcW w:w="1836" w:type="dxa"/>
            <w:shd w:val="clear" w:color="auto" w:fill="auto"/>
            <w:vAlign w:val="center"/>
          </w:tcPr>
          <w:p>
            <w:pPr>
              <w:widowControl/>
              <w:jc w:val="center"/>
              <w:rPr>
                <w:kern w:val="0"/>
                <w:sz w:val="18"/>
                <w:szCs w:val="18"/>
              </w:rPr>
            </w:pPr>
            <w:r>
              <w:rPr>
                <w:rFonts w:hint="eastAsia"/>
                <w:kern w:val="0"/>
                <w:sz w:val="18"/>
                <w:szCs w:val="18"/>
              </w:rPr>
              <w:t>32</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4</w:t>
            </w:r>
          </w:p>
        </w:tc>
        <w:tc>
          <w:tcPr>
            <w:tcW w:w="1080" w:type="dxa"/>
            <w:vMerge w:val="continue"/>
            <w:vAlign w:val="center"/>
          </w:tcPr>
          <w:p>
            <w:pPr>
              <w:widowControl/>
              <w:jc w:val="left"/>
              <w:rPr>
                <w:kern w:val="0"/>
                <w:sz w:val="18"/>
                <w:szCs w:val="18"/>
              </w:rPr>
            </w:pPr>
          </w:p>
        </w:tc>
        <w:tc>
          <w:tcPr>
            <w:tcW w:w="1080" w:type="dxa"/>
            <w:vMerge w:val="restart"/>
            <w:shd w:val="clear" w:color="auto" w:fill="auto"/>
            <w:vAlign w:val="center"/>
          </w:tcPr>
          <w:p>
            <w:pPr>
              <w:widowControl/>
              <w:rPr>
                <w:kern w:val="0"/>
                <w:sz w:val="18"/>
                <w:szCs w:val="18"/>
              </w:rPr>
            </w:pPr>
            <w:r>
              <w:rPr>
                <w:rFonts w:hint="eastAsia"/>
                <w:kern w:val="0"/>
                <w:sz w:val="18"/>
                <w:szCs w:val="18"/>
              </w:rPr>
              <w:t>最低气温</w:t>
            </w:r>
          </w:p>
        </w:tc>
        <w:tc>
          <w:tcPr>
            <w:tcW w:w="1080" w:type="dxa"/>
            <w:shd w:val="clear" w:color="auto" w:fill="auto"/>
            <w:vAlign w:val="center"/>
          </w:tcPr>
          <w:p>
            <w:pPr>
              <w:widowControl/>
              <w:rPr>
                <w:kern w:val="0"/>
                <w:sz w:val="18"/>
                <w:szCs w:val="18"/>
              </w:rPr>
            </w:pPr>
            <w:r>
              <w:rPr>
                <w:rFonts w:hint="eastAsia"/>
                <w:kern w:val="0"/>
                <w:sz w:val="18"/>
                <w:szCs w:val="18"/>
              </w:rPr>
              <w:t>户外</w:t>
            </w:r>
          </w:p>
        </w:tc>
        <w:tc>
          <w:tcPr>
            <w:tcW w:w="1836" w:type="dxa"/>
            <w:shd w:val="clear" w:color="auto" w:fill="auto"/>
            <w:vAlign w:val="center"/>
          </w:tcPr>
          <w:p>
            <w:pPr>
              <w:widowControl/>
              <w:jc w:val="center"/>
              <w:rPr>
                <w:kern w:val="0"/>
                <w:sz w:val="18"/>
                <w:szCs w:val="18"/>
              </w:rPr>
            </w:pPr>
            <w:r>
              <w:rPr>
                <w:rFonts w:hint="eastAsia"/>
                <w:kern w:val="0"/>
                <w:sz w:val="18"/>
                <w:szCs w:val="18"/>
              </w:rPr>
              <w:t>（项目单位提供）</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5</w:t>
            </w:r>
          </w:p>
        </w:tc>
        <w:tc>
          <w:tcPr>
            <w:tcW w:w="1080" w:type="dxa"/>
            <w:vMerge w:val="continue"/>
            <w:vAlign w:val="center"/>
          </w:tcPr>
          <w:p>
            <w:pPr>
              <w:widowControl/>
              <w:jc w:val="left"/>
              <w:rPr>
                <w:kern w:val="0"/>
                <w:sz w:val="18"/>
                <w:szCs w:val="18"/>
              </w:rPr>
            </w:pPr>
          </w:p>
        </w:tc>
        <w:tc>
          <w:tcPr>
            <w:tcW w:w="1080" w:type="dxa"/>
            <w:vMerge w:val="continue"/>
            <w:vAlign w:val="center"/>
          </w:tcPr>
          <w:p>
            <w:pPr>
              <w:widowControl/>
              <w:jc w:val="left"/>
              <w:rPr>
                <w:kern w:val="0"/>
                <w:sz w:val="18"/>
                <w:szCs w:val="18"/>
              </w:rPr>
            </w:pPr>
          </w:p>
        </w:tc>
        <w:tc>
          <w:tcPr>
            <w:tcW w:w="1080" w:type="dxa"/>
            <w:shd w:val="clear" w:color="auto" w:fill="auto"/>
            <w:vAlign w:val="center"/>
          </w:tcPr>
          <w:p>
            <w:pPr>
              <w:widowControl/>
              <w:rPr>
                <w:kern w:val="0"/>
                <w:sz w:val="18"/>
                <w:szCs w:val="18"/>
              </w:rPr>
            </w:pPr>
            <w:r>
              <w:rPr>
                <w:rFonts w:hint="eastAsia"/>
                <w:kern w:val="0"/>
                <w:sz w:val="18"/>
                <w:szCs w:val="18"/>
              </w:rPr>
              <w:t>户内</w:t>
            </w:r>
          </w:p>
        </w:tc>
        <w:tc>
          <w:tcPr>
            <w:tcW w:w="1836" w:type="dxa"/>
            <w:shd w:val="clear" w:color="auto" w:fill="auto"/>
            <w:vAlign w:val="center"/>
          </w:tcPr>
          <w:p>
            <w:pPr>
              <w:widowControl/>
              <w:jc w:val="center"/>
              <w:rPr>
                <w:kern w:val="0"/>
                <w:sz w:val="18"/>
                <w:szCs w:val="18"/>
              </w:rPr>
            </w:pPr>
            <w:r>
              <w:rPr>
                <w:rFonts w:hint="eastAsia"/>
                <w:kern w:val="0"/>
                <w:sz w:val="18"/>
                <w:szCs w:val="18"/>
              </w:rPr>
              <w:t>16</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6</w:t>
            </w:r>
          </w:p>
        </w:tc>
        <w:tc>
          <w:tcPr>
            <w:tcW w:w="3240" w:type="dxa"/>
            <w:gridSpan w:val="3"/>
            <w:shd w:val="clear" w:color="auto" w:fill="auto"/>
            <w:vAlign w:val="center"/>
          </w:tcPr>
          <w:p>
            <w:pPr>
              <w:widowControl/>
              <w:rPr>
                <w:kern w:val="0"/>
                <w:sz w:val="18"/>
                <w:szCs w:val="18"/>
              </w:rPr>
            </w:pPr>
            <w:r>
              <w:rPr>
                <w:rFonts w:hint="eastAsia"/>
                <w:kern w:val="0"/>
                <w:sz w:val="18"/>
                <w:szCs w:val="18"/>
              </w:rPr>
              <w:t>相对湿度范围要求（%）</w:t>
            </w:r>
          </w:p>
        </w:tc>
        <w:tc>
          <w:tcPr>
            <w:tcW w:w="1836" w:type="dxa"/>
            <w:shd w:val="clear" w:color="auto" w:fill="auto"/>
            <w:vAlign w:val="center"/>
          </w:tcPr>
          <w:p>
            <w:pPr>
              <w:widowControl/>
              <w:jc w:val="center"/>
              <w:rPr>
                <w:kern w:val="0"/>
                <w:sz w:val="18"/>
                <w:szCs w:val="18"/>
              </w:rPr>
            </w:pPr>
            <w:r>
              <w:rPr>
                <w:rFonts w:hint="eastAsia"/>
                <w:kern w:val="0"/>
                <w:sz w:val="18"/>
                <w:szCs w:val="18"/>
              </w:rPr>
              <w:t>20</w:t>
            </w:r>
            <w:r>
              <w:rPr>
                <w:rFonts w:hint="eastAsia"/>
                <w:szCs w:val="21"/>
              </w:rPr>
              <w:t>～</w:t>
            </w:r>
            <w:r>
              <w:rPr>
                <w:rFonts w:hint="eastAsia"/>
                <w:kern w:val="0"/>
                <w:sz w:val="18"/>
                <w:szCs w:val="18"/>
              </w:rPr>
              <w:t>80</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7</w:t>
            </w:r>
          </w:p>
        </w:tc>
        <w:tc>
          <w:tcPr>
            <w:tcW w:w="3240" w:type="dxa"/>
            <w:gridSpan w:val="3"/>
            <w:shd w:val="clear" w:color="auto" w:fill="auto"/>
            <w:vAlign w:val="center"/>
          </w:tcPr>
          <w:p>
            <w:pPr>
              <w:widowControl/>
              <w:rPr>
                <w:kern w:val="0"/>
                <w:sz w:val="18"/>
                <w:szCs w:val="18"/>
              </w:rPr>
            </w:pPr>
            <w:r>
              <w:rPr>
                <w:rFonts w:hint="eastAsia"/>
                <w:kern w:val="0"/>
                <w:sz w:val="18"/>
                <w:szCs w:val="18"/>
              </w:rPr>
              <w:t>质量标准</w:t>
            </w:r>
          </w:p>
        </w:tc>
        <w:tc>
          <w:tcPr>
            <w:tcW w:w="1836" w:type="dxa"/>
            <w:shd w:val="clear" w:color="auto" w:fill="auto"/>
            <w:vAlign w:val="center"/>
          </w:tcPr>
          <w:p>
            <w:pPr>
              <w:widowControl/>
              <w:jc w:val="center"/>
              <w:rPr>
                <w:kern w:val="0"/>
                <w:sz w:val="18"/>
                <w:szCs w:val="18"/>
              </w:rPr>
            </w:pPr>
            <w:r>
              <w:rPr>
                <w:rFonts w:hint="eastAsia"/>
                <w:kern w:val="0"/>
                <w:sz w:val="18"/>
                <w:szCs w:val="18"/>
              </w:rPr>
              <w:t>（项目单位提供）</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1080" w:type="dxa"/>
            <w:shd w:val="clear" w:color="auto" w:fill="auto"/>
            <w:vAlign w:val="center"/>
          </w:tcPr>
          <w:p>
            <w:pPr>
              <w:widowControl/>
              <w:jc w:val="center"/>
              <w:rPr>
                <w:kern w:val="0"/>
                <w:sz w:val="18"/>
                <w:szCs w:val="18"/>
              </w:rPr>
            </w:pPr>
            <w:r>
              <w:rPr>
                <w:rFonts w:hint="eastAsia"/>
                <w:kern w:val="0"/>
                <w:sz w:val="18"/>
                <w:szCs w:val="18"/>
              </w:rPr>
              <w:t>8</w:t>
            </w:r>
          </w:p>
        </w:tc>
        <w:tc>
          <w:tcPr>
            <w:tcW w:w="3240" w:type="dxa"/>
            <w:gridSpan w:val="3"/>
            <w:shd w:val="clear" w:color="auto" w:fill="auto"/>
            <w:vAlign w:val="center"/>
          </w:tcPr>
          <w:p>
            <w:pPr>
              <w:widowControl/>
              <w:rPr>
                <w:kern w:val="0"/>
                <w:sz w:val="18"/>
                <w:szCs w:val="18"/>
              </w:rPr>
            </w:pPr>
            <w:r>
              <w:rPr>
                <w:rFonts w:hint="eastAsia"/>
                <w:kern w:val="0"/>
                <w:sz w:val="18"/>
                <w:szCs w:val="18"/>
              </w:rPr>
              <w:t>其他</w:t>
            </w:r>
          </w:p>
        </w:tc>
        <w:tc>
          <w:tcPr>
            <w:tcW w:w="1836" w:type="dxa"/>
            <w:shd w:val="clear" w:color="auto" w:fill="auto"/>
            <w:vAlign w:val="center"/>
          </w:tcPr>
          <w:p>
            <w:pPr>
              <w:widowControl/>
              <w:jc w:val="center"/>
              <w:rPr>
                <w:kern w:val="0"/>
                <w:sz w:val="18"/>
                <w:szCs w:val="18"/>
              </w:rPr>
            </w:pPr>
            <w:r>
              <w:rPr>
                <w:rFonts w:hint="eastAsia"/>
                <w:kern w:val="0"/>
                <w:sz w:val="18"/>
                <w:szCs w:val="18"/>
              </w:rPr>
              <w:t>（项目单位提供）</w:t>
            </w:r>
          </w:p>
        </w:tc>
        <w:tc>
          <w:tcPr>
            <w:tcW w:w="2114" w:type="dxa"/>
            <w:shd w:val="clear" w:color="auto" w:fill="auto"/>
            <w:vAlign w:val="center"/>
          </w:tcPr>
          <w:p>
            <w:pPr>
              <w:widowControl/>
              <w:jc w:val="center"/>
              <w:rPr>
                <w:kern w:val="0"/>
                <w:sz w:val="18"/>
                <w:szCs w:val="18"/>
              </w:rPr>
            </w:pPr>
            <w:r>
              <w:rPr>
                <w:rFonts w:hint="eastAsia"/>
                <w:kern w:val="0"/>
                <w:sz w:val="18"/>
                <w:szCs w:val="18"/>
              </w:rPr>
              <w:t>（投标人填写）</w:t>
            </w:r>
          </w:p>
        </w:tc>
      </w:tr>
    </w:tbl>
    <w:p>
      <w:pPr>
        <w:pStyle w:val="3"/>
        <w:topLinePunct/>
        <w:spacing w:before="0" w:after="0" w:line="240" w:lineRule="auto"/>
        <w:ind w:firstLine="420"/>
        <w:rPr>
          <w:rFonts w:eastAsia="宋体"/>
          <w:sz w:val="21"/>
          <w:szCs w:val="21"/>
        </w:rPr>
      </w:pPr>
      <w:bookmarkStart w:id="80" w:name="_Toc243918983"/>
      <w:bookmarkStart w:id="81" w:name="_Toc16828"/>
      <w:bookmarkStart w:id="82" w:name="_Toc253134747"/>
      <w:r>
        <w:rPr>
          <w:rFonts w:hint="eastAsia" w:eastAsia="宋体"/>
          <w:sz w:val="21"/>
          <w:szCs w:val="21"/>
        </w:rPr>
        <w:t>6.4  可选技术参数表</w:t>
      </w:r>
      <w:bookmarkEnd w:id="80"/>
      <w:bookmarkEnd w:id="81"/>
      <w:bookmarkEnd w:id="82"/>
    </w:p>
    <w:p>
      <w:pPr>
        <w:pStyle w:val="140"/>
        <w:rPr>
          <w:rFonts w:eastAsia="宋体"/>
        </w:rPr>
      </w:pPr>
      <w:r>
        <w:rPr>
          <w:rFonts w:hint="eastAsia" w:eastAsia="宋体"/>
        </w:rPr>
        <w:t>表6-3 可选技术参数表</w:t>
      </w:r>
    </w:p>
    <w:tbl>
      <w:tblPr>
        <w:tblStyle w:val="62"/>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104"/>
        <w:gridCol w:w="2410"/>
        <w:gridCol w:w="2248"/>
        <w:gridCol w:w="2410"/>
        <w:gridCol w:w="13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1104" w:type="dxa"/>
            <w:tcMar>
              <w:left w:w="57" w:type="dxa"/>
              <w:right w:w="57" w:type="dxa"/>
            </w:tcMar>
            <w:vAlign w:val="center"/>
          </w:tcPr>
          <w:p>
            <w:pPr>
              <w:topLinePunct/>
              <w:spacing w:before="18" w:after="20"/>
              <w:jc w:val="center"/>
              <w:rPr>
                <w:sz w:val="18"/>
                <w:szCs w:val="18"/>
              </w:rPr>
            </w:pPr>
            <w:bookmarkStart w:id="83" w:name="_Toc253134748"/>
            <w:bookmarkStart w:id="84" w:name="_Toc243918984"/>
            <w:r>
              <w:rPr>
                <w:rFonts w:hint="eastAsia"/>
                <w:sz w:val="18"/>
                <w:szCs w:val="18"/>
              </w:rPr>
              <w:t>序号</w:t>
            </w:r>
          </w:p>
        </w:tc>
        <w:tc>
          <w:tcPr>
            <w:tcW w:w="2410" w:type="dxa"/>
            <w:tcMar>
              <w:left w:w="57" w:type="dxa"/>
              <w:right w:w="57" w:type="dxa"/>
            </w:tcMar>
            <w:vAlign w:val="center"/>
          </w:tcPr>
          <w:p>
            <w:pPr>
              <w:topLinePunct/>
              <w:spacing w:before="18" w:after="20"/>
              <w:jc w:val="center"/>
              <w:rPr>
                <w:sz w:val="18"/>
                <w:szCs w:val="18"/>
              </w:rPr>
            </w:pPr>
            <w:r>
              <w:rPr>
                <w:rFonts w:hint="eastAsia"/>
                <w:sz w:val="18"/>
                <w:szCs w:val="18"/>
              </w:rPr>
              <w:t>应急电缆</w:t>
            </w:r>
          </w:p>
        </w:tc>
        <w:tc>
          <w:tcPr>
            <w:tcW w:w="2248" w:type="dxa"/>
            <w:tcMar>
              <w:left w:w="57" w:type="dxa"/>
              <w:right w:w="57" w:type="dxa"/>
            </w:tcMar>
            <w:vAlign w:val="center"/>
          </w:tcPr>
          <w:p>
            <w:pPr>
              <w:topLinePunct/>
              <w:spacing w:before="18" w:after="20"/>
              <w:jc w:val="center"/>
              <w:rPr>
                <w:sz w:val="18"/>
                <w:szCs w:val="18"/>
              </w:rPr>
            </w:pPr>
            <w:r>
              <w:rPr>
                <w:rFonts w:hint="eastAsia"/>
                <w:sz w:val="18"/>
                <w:szCs w:val="18"/>
              </w:rPr>
              <w:t>标准参数值</w:t>
            </w:r>
          </w:p>
        </w:tc>
        <w:tc>
          <w:tcPr>
            <w:tcW w:w="2410" w:type="dxa"/>
          </w:tcPr>
          <w:p>
            <w:pPr>
              <w:topLinePunct/>
              <w:spacing w:before="18" w:after="20"/>
              <w:jc w:val="center"/>
              <w:rPr>
                <w:sz w:val="18"/>
                <w:szCs w:val="18"/>
              </w:rPr>
            </w:pPr>
            <w:r>
              <w:rPr>
                <w:rFonts w:hint="eastAsia"/>
                <w:sz w:val="18"/>
                <w:szCs w:val="18"/>
              </w:rPr>
              <w:t>招标人要求值</w:t>
            </w:r>
          </w:p>
        </w:tc>
        <w:tc>
          <w:tcPr>
            <w:tcW w:w="1395" w:type="dxa"/>
            <w:tcMar>
              <w:left w:w="57" w:type="dxa"/>
              <w:right w:w="57" w:type="dxa"/>
            </w:tcMar>
            <w:vAlign w:val="center"/>
          </w:tcPr>
          <w:p>
            <w:pPr>
              <w:topLinePunct/>
              <w:spacing w:before="18" w:after="20"/>
              <w:jc w:val="center"/>
              <w:rPr>
                <w:sz w:val="18"/>
                <w:szCs w:val="18"/>
              </w:rPr>
            </w:pPr>
            <w:r>
              <w:rPr>
                <w:rFonts w:hint="eastAsia"/>
                <w:sz w:val="18"/>
                <w:szCs w:val="18"/>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1104" w:type="dxa"/>
            <w:tcMar>
              <w:left w:w="57" w:type="dxa"/>
              <w:right w:w="57" w:type="dxa"/>
            </w:tcMar>
            <w:vAlign w:val="center"/>
          </w:tcPr>
          <w:p>
            <w:pPr>
              <w:topLinePunct/>
              <w:spacing w:before="18" w:after="20"/>
              <w:jc w:val="center"/>
              <w:rPr>
                <w:kern w:val="0"/>
                <w:sz w:val="18"/>
                <w:szCs w:val="18"/>
              </w:rPr>
            </w:pPr>
          </w:p>
        </w:tc>
        <w:tc>
          <w:tcPr>
            <w:tcW w:w="2410" w:type="dxa"/>
            <w:tcMar>
              <w:left w:w="57" w:type="dxa"/>
              <w:right w:w="57" w:type="dxa"/>
            </w:tcMar>
            <w:vAlign w:val="center"/>
          </w:tcPr>
          <w:p>
            <w:pPr>
              <w:pStyle w:val="140"/>
              <w:jc w:val="both"/>
              <w:rPr>
                <w:rFonts w:eastAsia="宋体"/>
                <w:kern w:val="0"/>
                <w:sz w:val="18"/>
                <w:szCs w:val="18"/>
              </w:rPr>
            </w:pPr>
          </w:p>
        </w:tc>
        <w:tc>
          <w:tcPr>
            <w:tcW w:w="2248" w:type="dxa"/>
            <w:tcMar>
              <w:left w:w="57" w:type="dxa"/>
              <w:right w:w="57" w:type="dxa"/>
            </w:tcMar>
            <w:vAlign w:val="center"/>
          </w:tcPr>
          <w:p>
            <w:pPr>
              <w:topLinePunct/>
              <w:spacing w:before="18" w:after="20"/>
              <w:jc w:val="center"/>
              <w:rPr>
                <w:kern w:val="0"/>
                <w:sz w:val="18"/>
                <w:szCs w:val="18"/>
              </w:rPr>
            </w:pPr>
          </w:p>
        </w:tc>
        <w:tc>
          <w:tcPr>
            <w:tcW w:w="2410" w:type="dxa"/>
            <w:vAlign w:val="center"/>
          </w:tcPr>
          <w:p>
            <w:pPr>
              <w:pStyle w:val="140"/>
              <w:rPr>
                <w:rFonts w:eastAsia="宋体"/>
                <w:kern w:val="0"/>
                <w:sz w:val="18"/>
                <w:szCs w:val="18"/>
              </w:rPr>
            </w:pPr>
          </w:p>
        </w:tc>
        <w:tc>
          <w:tcPr>
            <w:tcW w:w="1395" w:type="dxa"/>
            <w:tcMar>
              <w:left w:w="57" w:type="dxa"/>
              <w:right w:w="57" w:type="dxa"/>
            </w:tcMar>
            <w:vAlign w:val="center"/>
          </w:tcPr>
          <w:p>
            <w:pPr>
              <w:topLinePunct/>
              <w:spacing w:before="18" w:after="2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1104" w:type="dxa"/>
            <w:tcMar>
              <w:left w:w="57" w:type="dxa"/>
              <w:right w:w="57" w:type="dxa"/>
            </w:tcMar>
            <w:vAlign w:val="center"/>
          </w:tcPr>
          <w:p>
            <w:pPr>
              <w:topLinePunct/>
              <w:spacing w:before="18" w:after="20"/>
              <w:jc w:val="center"/>
              <w:rPr>
                <w:sz w:val="18"/>
                <w:szCs w:val="18"/>
              </w:rPr>
            </w:pPr>
          </w:p>
        </w:tc>
        <w:tc>
          <w:tcPr>
            <w:tcW w:w="2410" w:type="dxa"/>
            <w:tcMar>
              <w:left w:w="57" w:type="dxa"/>
              <w:right w:w="57" w:type="dxa"/>
            </w:tcMar>
            <w:vAlign w:val="center"/>
          </w:tcPr>
          <w:p>
            <w:pPr>
              <w:topLinePunct/>
              <w:spacing w:before="18" w:after="20"/>
              <w:jc w:val="center"/>
              <w:rPr>
                <w:sz w:val="18"/>
                <w:szCs w:val="18"/>
              </w:rPr>
            </w:pPr>
          </w:p>
        </w:tc>
        <w:tc>
          <w:tcPr>
            <w:tcW w:w="2248" w:type="dxa"/>
            <w:tcMar>
              <w:left w:w="57" w:type="dxa"/>
              <w:right w:w="57" w:type="dxa"/>
            </w:tcMar>
            <w:vAlign w:val="center"/>
          </w:tcPr>
          <w:p>
            <w:pPr>
              <w:topLinePunct/>
              <w:spacing w:before="18" w:after="20"/>
              <w:jc w:val="center"/>
              <w:rPr>
                <w:sz w:val="18"/>
                <w:szCs w:val="18"/>
              </w:rPr>
            </w:pPr>
          </w:p>
        </w:tc>
        <w:tc>
          <w:tcPr>
            <w:tcW w:w="2410" w:type="dxa"/>
          </w:tcPr>
          <w:p>
            <w:pPr>
              <w:topLinePunct/>
              <w:spacing w:before="18" w:after="20"/>
              <w:jc w:val="center"/>
              <w:rPr>
                <w:sz w:val="18"/>
                <w:szCs w:val="18"/>
              </w:rPr>
            </w:pPr>
          </w:p>
        </w:tc>
        <w:tc>
          <w:tcPr>
            <w:tcW w:w="1395" w:type="dxa"/>
            <w:tcMar>
              <w:left w:w="57" w:type="dxa"/>
              <w:right w:w="57" w:type="dxa"/>
            </w:tcMar>
            <w:vAlign w:val="center"/>
          </w:tcPr>
          <w:p>
            <w:pPr>
              <w:topLinePunct/>
              <w:spacing w:before="18" w:after="2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1104" w:type="dxa"/>
            <w:tcMar>
              <w:left w:w="57" w:type="dxa"/>
              <w:right w:w="57" w:type="dxa"/>
            </w:tcMar>
            <w:vAlign w:val="center"/>
          </w:tcPr>
          <w:p>
            <w:pPr>
              <w:topLinePunct/>
              <w:spacing w:before="18" w:after="20"/>
              <w:jc w:val="center"/>
              <w:rPr>
                <w:sz w:val="18"/>
                <w:szCs w:val="18"/>
              </w:rPr>
            </w:pPr>
          </w:p>
        </w:tc>
        <w:tc>
          <w:tcPr>
            <w:tcW w:w="2410" w:type="dxa"/>
            <w:tcMar>
              <w:left w:w="57" w:type="dxa"/>
              <w:right w:w="57" w:type="dxa"/>
            </w:tcMar>
            <w:vAlign w:val="center"/>
          </w:tcPr>
          <w:p>
            <w:pPr>
              <w:topLinePunct/>
              <w:spacing w:before="18" w:after="20"/>
              <w:jc w:val="center"/>
              <w:rPr>
                <w:kern w:val="0"/>
                <w:sz w:val="18"/>
                <w:szCs w:val="18"/>
              </w:rPr>
            </w:pPr>
          </w:p>
        </w:tc>
        <w:tc>
          <w:tcPr>
            <w:tcW w:w="2248" w:type="dxa"/>
            <w:tcMar>
              <w:left w:w="57" w:type="dxa"/>
              <w:right w:w="57" w:type="dxa"/>
            </w:tcMar>
            <w:vAlign w:val="center"/>
          </w:tcPr>
          <w:p>
            <w:pPr>
              <w:topLinePunct/>
              <w:spacing w:before="18" w:after="20"/>
              <w:jc w:val="center"/>
              <w:rPr>
                <w:sz w:val="18"/>
                <w:szCs w:val="18"/>
              </w:rPr>
            </w:pPr>
          </w:p>
        </w:tc>
        <w:tc>
          <w:tcPr>
            <w:tcW w:w="2410" w:type="dxa"/>
          </w:tcPr>
          <w:p>
            <w:pPr>
              <w:topLinePunct/>
              <w:spacing w:before="18" w:after="20"/>
              <w:jc w:val="center"/>
              <w:rPr>
                <w:sz w:val="18"/>
                <w:szCs w:val="18"/>
              </w:rPr>
            </w:pPr>
          </w:p>
        </w:tc>
        <w:tc>
          <w:tcPr>
            <w:tcW w:w="1395" w:type="dxa"/>
            <w:tcMar>
              <w:left w:w="57" w:type="dxa"/>
              <w:right w:w="57" w:type="dxa"/>
            </w:tcMar>
            <w:vAlign w:val="center"/>
          </w:tcPr>
          <w:p>
            <w:pPr>
              <w:topLinePunct/>
              <w:spacing w:before="18" w:after="20"/>
              <w:jc w:val="center"/>
              <w:rPr>
                <w:sz w:val="18"/>
                <w:szCs w:val="18"/>
              </w:rPr>
            </w:pPr>
          </w:p>
        </w:tc>
      </w:tr>
    </w:tbl>
    <w:p>
      <w:pPr>
        <w:pStyle w:val="3"/>
        <w:topLinePunct/>
        <w:spacing w:before="0" w:after="0" w:line="240" w:lineRule="auto"/>
        <w:ind w:firstLine="420"/>
        <w:rPr>
          <w:rFonts w:eastAsia="宋体"/>
          <w:sz w:val="21"/>
          <w:szCs w:val="21"/>
        </w:rPr>
      </w:pPr>
      <w:bookmarkStart w:id="85" w:name="_Toc263"/>
      <w:r>
        <w:rPr>
          <w:rFonts w:hint="eastAsia" w:eastAsia="宋体"/>
          <w:sz w:val="21"/>
          <w:szCs w:val="21"/>
        </w:rPr>
        <w:t>6.5  项目单位技术差异表</w:t>
      </w:r>
      <w:bookmarkEnd w:id="83"/>
      <w:bookmarkEnd w:id="84"/>
      <w:bookmarkEnd w:id="85"/>
    </w:p>
    <w:p>
      <w:pPr>
        <w:spacing w:before="156" w:beforeLines="50"/>
        <w:ind w:firstLine="420" w:firstLineChars="200"/>
        <w:textAlignment w:val="baseline"/>
        <w:rPr>
          <w:szCs w:val="21"/>
        </w:rPr>
      </w:pPr>
      <w:r>
        <w:rPr>
          <w:rFonts w:hint="eastAsia"/>
          <w:szCs w:val="21"/>
        </w:rPr>
        <w:t>项目单位原则上不能改动条款及固化的参数，根据工程实际情况，使用条件及相关技术参数如有差异，应逐项在“项目单位技术差异表”中列出。</w:t>
      </w:r>
    </w:p>
    <w:p>
      <w:pPr>
        <w:pStyle w:val="140"/>
        <w:rPr>
          <w:rFonts w:eastAsia="宋体"/>
        </w:rPr>
      </w:pPr>
      <w:r>
        <w:rPr>
          <w:rFonts w:hint="eastAsia" w:eastAsia="宋体"/>
        </w:rPr>
        <w:t>表6-4项目单位技术差异表（项目单位填写）</w:t>
      </w:r>
    </w:p>
    <w:p>
      <w:pPr>
        <w:spacing w:line="360" w:lineRule="auto"/>
        <w:jc w:val="center"/>
        <w:rPr>
          <w:b/>
          <w:snapToGrid w:val="0"/>
          <w:kern w:val="0"/>
          <w:szCs w:val="21"/>
        </w:rPr>
      </w:pPr>
      <w:r>
        <w:rPr>
          <w:rFonts w:hint="eastAsia"/>
          <w:sz w:val="18"/>
          <w:szCs w:val="18"/>
        </w:rPr>
        <w:t>（本表是对技术规范的补充和修改，如有冲突，应以本表为准</w:t>
      </w:r>
      <w:r>
        <w:rPr>
          <w:rFonts w:hint="eastAsia"/>
          <w:szCs w:val="21"/>
        </w:rPr>
        <w:t>）</w:t>
      </w:r>
    </w:p>
    <w:tbl>
      <w:tblPr>
        <w:tblStyle w:val="62"/>
        <w:tblW w:w="8120" w:type="dxa"/>
        <w:jc w:val="center"/>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Layout w:type="fixed"/>
        <w:tblCellMar>
          <w:top w:w="0" w:type="dxa"/>
          <w:left w:w="0" w:type="dxa"/>
          <w:bottom w:w="0" w:type="dxa"/>
          <w:right w:w="0" w:type="dxa"/>
        </w:tblCellMar>
      </w:tblPr>
      <w:tblGrid>
        <w:gridCol w:w="601"/>
        <w:gridCol w:w="1646"/>
        <w:gridCol w:w="2160"/>
        <w:gridCol w:w="1980"/>
        <w:gridCol w:w="1733"/>
      </w:tblGrid>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jc w:val="center"/>
        </w:trPr>
        <w:tc>
          <w:tcPr>
            <w:tcW w:w="601" w:type="dxa"/>
          </w:tcPr>
          <w:p>
            <w:pPr>
              <w:spacing w:before="156" w:beforeLines="50" w:after="156" w:afterLines="50"/>
              <w:jc w:val="center"/>
              <w:rPr>
                <w:sz w:val="18"/>
                <w:szCs w:val="18"/>
              </w:rPr>
            </w:pPr>
            <w:r>
              <w:rPr>
                <w:rFonts w:hint="eastAsia"/>
                <w:sz w:val="18"/>
                <w:szCs w:val="18"/>
              </w:rPr>
              <w:t>序号</w:t>
            </w:r>
          </w:p>
        </w:tc>
        <w:tc>
          <w:tcPr>
            <w:tcW w:w="1646" w:type="dxa"/>
          </w:tcPr>
          <w:p>
            <w:pPr>
              <w:spacing w:before="156" w:beforeLines="50" w:after="156" w:afterLines="50"/>
              <w:jc w:val="center"/>
              <w:rPr>
                <w:sz w:val="18"/>
                <w:szCs w:val="18"/>
              </w:rPr>
            </w:pPr>
            <w:r>
              <w:rPr>
                <w:rFonts w:hint="eastAsia"/>
                <w:sz w:val="18"/>
                <w:szCs w:val="18"/>
              </w:rPr>
              <w:t>项目</w:t>
            </w:r>
          </w:p>
        </w:tc>
        <w:tc>
          <w:tcPr>
            <w:tcW w:w="2160" w:type="dxa"/>
          </w:tcPr>
          <w:p>
            <w:pPr>
              <w:spacing w:before="156" w:beforeLines="50" w:after="156" w:afterLines="50"/>
              <w:jc w:val="center"/>
              <w:rPr>
                <w:sz w:val="18"/>
                <w:szCs w:val="18"/>
              </w:rPr>
            </w:pPr>
            <w:r>
              <w:rPr>
                <w:rFonts w:hint="eastAsia"/>
                <w:sz w:val="18"/>
                <w:szCs w:val="18"/>
              </w:rPr>
              <w:t>标准参数值</w:t>
            </w:r>
          </w:p>
        </w:tc>
        <w:tc>
          <w:tcPr>
            <w:tcW w:w="1980" w:type="dxa"/>
          </w:tcPr>
          <w:p>
            <w:pPr>
              <w:spacing w:before="156" w:beforeLines="50" w:after="156" w:afterLines="50"/>
              <w:jc w:val="center"/>
              <w:rPr>
                <w:sz w:val="18"/>
                <w:szCs w:val="18"/>
              </w:rPr>
            </w:pPr>
            <w:r>
              <w:rPr>
                <w:rFonts w:hint="eastAsia"/>
                <w:sz w:val="18"/>
                <w:szCs w:val="18"/>
              </w:rPr>
              <w:t>项目单位要求值</w:t>
            </w:r>
          </w:p>
        </w:tc>
        <w:tc>
          <w:tcPr>
            <w:tcW w:w="1733" w:type="dxa"/>
          </w:tcPr>
          <w:p>
            <w:pPr>
              <w:spacing w:before="156" w:beforeLines="50" w:after="156" w:afterLines="50"/>
              <w:jc w:val="center"/>
              <w:rPr>
                <w:sz w:val="18"/>
                <w:szCs w:val="18"/>
              </w:rPr>
            </w:pPr>
            <w:r>
              <w:rPr>
                <w:rFonts w:hint="eastAsia"/>
                <w:sz w:val="18"/>
                <w:szCs w:val="18"/>
              </w:rPr>
              <w:t>投标人保证值</w:t>
            </w:r>
          </w:p>
        </w:tc>
      </w:tr>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trHeight w:val="858" w:hRule="atLeast"/>
          <w:jc w:val="center"/>
        </w:trPr>
        <w:tc>
          <w:tcPr>
            <w:tcW w:w="601" w:type="dxa"/>
          </w:tcPr>
          <w:p>
            <w:pPr>
              <w:spacing w:before="156" w:beforeLines="50" w:after="156" w:afterLines="50"/>
              <w:jc w:val="center"/>
              <w:rPr>
                <w:sz w:val="18"/>
                <w:szCs w:val="18"/>
              </w:rPr>
            </w:pPr>
            <w:r>
              <w:rPr>
                <w:rFonts w:hint="eastAsia"/>
                <w:sz w:val="18"/>
                <w:szCs w:val="18"/>
              </w:rPr>
              <w:t>1</w:t>
            </w:r>
          </w:p>
        </w:tc>
        <w:tc>
          <w:tcPr>
            <w:tcW w:w="1646" w:type="dxa"/>
          </w:tcPr>
          <w:p>
            <w:pPr>
              <w:spacing w:before="156" w:beforeLines="50" w:after="156" w:afterLines="50"/>
              <w:jc w:val="center"/>
              <w:rPr>
                <w:sz w:val="18"/>
                <w:szCs w:val="18"/>
              </w:rPr>
            </w:pPr>
          </w:p>
        </w:tc>
        <w:tc>
          <w:tcPr>
            <w:tcW w:w="2160" w:type="dxa"/>
          </w:tcPr>
          <w:p>
            <w:pPr>
              <w:spacing w:before="156" w:beforeLines="50" w:after="156" w:afterLines="50"/>
              <w:jc w:val="center"/>
              <w:rPr>
                <w:sz w:val="18"/>
                <w:szCs w:val="18"/>
              </w:rPr>
            </w:pPr>
          </w:p>
        </w:tc>
        <w:tc>
          <w:tcPr>
            <w:tcW w:w="1980" w:type="dxa"/>
          </w:tcPr>
          <w:p>
            <w:pPr>
              <w:spacing w:before="156" w:beforeLines="50" w:after="156" w:afterLines="50"/>
              <w:jc w:val="center"/>
              <w:rPr>
                <w:sz w:val="18"/>
                <w:szCs w:val="18"/>
              </w:rPr>
            </w:pPr>
          </w:p>
        </w:tc>
        <w:tc>
          <w:tcPr>
            <w:tcW w:w="1733" w:type="dxa"/>
          </w:tcPr>
          <w:p>
            <w:pPr>
              <w:spacing w:before="156" w:beforeLines="50" w:after="156" w:afterLines="5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jc w:val="center"/>
        </w:trPr>
        <w:tc>
          <w:tcPr>
            <w:tcW w:w="601" w:type="dxa"/>
          </w:tcPr>
          <w:p>
            <w:pPr>
              <w:spacing w:before="156" w:beforeLines="50" w:after="156" w:afterLines="50"/>
              <w:jc w:val="center"/>
              <w:rPr>
                <w:sz w:val="18"/>
                <w:szCs w:val="18"/>
              </w:rPr>
            </w:pPr>
            <w:r>
              <w:rPr>
                <w:rFonts w:hint="eastAsia"/>
                <w:sz w:val="18"/>
                <w:szCs w:val="18"/>
              </w:rPr>
              <w:t>2</w:t>
            </w:r>
          </w:p>
        </w:tc>
        <w:tc>
          <w:tcPr>
            <w:tcW w:w="1646" w:type="dxa"/>
          </w:tcPr>
          <w:p>
            <w:pPr>
              <w:spacing w:before="156" w:beforeLines="50" w:after="156" w:afterLines="50"/>
              <w:jc w:val="center"/>
              <w:rPr>
                <w:sz w:val="18"/>
                <w:szCs w:val="18"/>
              </w:rPr>
            </w:pPr>
          </w:p>
        </w:tc>
        <w:tc>
          <w:tcPr>
            <w:tcW w:w="2160" w:type="dxa"/>
          </w:tcPr>
          <w:p>
            <w:pPr>
              <w:spacing w:before="156" w:beforeLines="50" w:after="156" w:afterLines="50"/>
              <w:jc w:val="center"/>
              <w:rPr>
                <w:sz w:val="18"/>
                <w:szCs w:val="18"/>
              </w:rPr>
            </w:pPr>
          </w:p>
        </w:tc>
        <w:tc>
          <w:tcPr>
            <w:tcW w:w="1980" w:type="dxa"/>
          </w:tcPr>
          <w:p>
            <w:pPr>
              <w:spacing w:before="156" w:beforeLines="50" w:after="156" w:afterLines="50"/>
              <w:jc w:val="center"/>
              <w:rPr>
                <w:sz w:val="18"/>
                <w:szCs w:val="18"/>
              </w:rPr>
            </w:pPr>
          </w:p>
        </w:tc>
        <w:tc>
          <w:tcPr>
            <w:tcW w:w="1733" w:type="dxa"/>
          </w:tcPr>
          <w:p>
            <w:pPr>
              <w:spacing w:before="156" w:beforeLines="50" w:after="156" w:afterLines="5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jc w:val="center"/>
        </w:trPr>
        <w:tc>
          <w:tcPr>
            <w:tcW w:w="601" w:type="dxa"/>
          </w:tcPr>
          <w:p>
            <w:pPr>
              <w:spacing w:before="156" w:beforeLines="50" w:after="156" w:afterLines="50"/>
              <w:jc w:val="center"/>
              <w:rPr>
                <w:sz w:val="18"/>
                <w:szCs w:val="18"/>
              </w:rPr>
            </w:pPr>
            <w:r>
              <w:rPr>
                <w:rFonts w:hint="eastAsia"/>
                <w:sz w:val="18"/>
                <w:szCs w:val="18"/>
              </w:rPr>
              <w:t>序号</w:t>
            </w:r>
          </w:p>
        </w:tc>
        <w:tc>
          <w:tcPr>
            <w:tcW w:w="1646" w:type="dxa"/>
          </w:tcPr>
          <w:p>
            <w:pPr>
              <w:spacing w:before="156" w:beforeLines="50" w:after="156" w:afterLines="50"/>
              <w:jc w:val="center"/>
              <w:rPr>
                <w:sz w:val="18"/>
                <w:szCs w:val="18"/>
              </w:rPr>
            </w:pPr>
            <w:r>
              <w:rPr>
                <w:rFonts w:hint="eastAsia"/>
                <w:sz w:val="18"/>
                <w:szCs w:val="18"/>
              </w:rPr>
              <w:t>项目</w:t>
            </w:r>
          </w:p>
        </w:tc>
        <w:tc>
          <w:tcPr>
            <w:tcW w:w="2160" w:type="dxa"/>
          </w:tcPr>
          <w:p>
            <w:pPr>
              <w:spacing w:before="156" w:beforeLines="50" w:after="156" w:afterLines="50"/>
              <w:jc w:val="center"/>
              <w:rPr>
                <w:sz w:val="18"/>
                <w:szCs w:val="18"/>
              </w:rPr>
            </w:pPr>
            <w:r>
              <w:rPr>
                <w:rFonts w:hint="eastAsia"/>
                <w:sz w:val="18"/>
                <w:szCs w:val="18"/>
              </w:rPr>
              <w:t>变更条款页码、款号</w:t>
            </w:r>
          </w:p>
        </w:tc>
        <w:tc>
          <w:tcPr>
            <w:tcW w:w="1980" w:type="dxa"/>
          </w:tcPr>
          <w:p>
            <w:pPr>
              <w:spacing w:before="156" w:beforeLines="50" w:after="156" w:afterLines="50"/>
              <w:jc w:val="center"/>
              <w:rPr>
                <w:sz w:val="18"/>
                <w:szCs w:val="18"/>
              </w:rPr>
            </w:pPr>
            <w:r>
              <w:rPr>
                <w:rFonts w:hint="eastAsia"/>
                <w:sz w:val="18"/>
                <w:szCs w:val="18"/>
              </w:rPr>
              <w:t>原表达</w:t>
            </w:r>
          </w:p>
        </w:tc>
        <w:tc>
          <w:tcPr>
            <w:tcW w:w="1733" w:type="dxa"/>
          </w:tcPr>
          <w:p>
            <w:pPr>
              <w:spacing w:before="156" w:beforeLines="50" w:after="156" w:afterLines="50"/>
              <w:jc w:val="center"/>
              <w:rPr>
                <w:sz w:val="18"/>
                <w:szCs w:val="18"/>
              </w:rPr>
            </w:pPr>
            <w:r>
              <w:rPr>
                <w:rFonts w:hint="eastAsia"/>
                <w:sz w:val="18"/>
                <w:szCs w:val="18"/>
              </w:rPr>
              <w:t>变更后表达</w:t>
            </w:r>
          </w:p>
        </w:tc>
      </w:tr>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trHeight w:val="718" w:hRule="atLeast"/>
          <w:jc w:val="center"/>
        </w:trPr>
        <w:tc>
          <w:tcPr>
            <w:tcW w:w="601" w:type="dxa"/>
          </w:tcPr>
          <w:p>
            <w:pPr>
              <w:spacing w:before="156" w:beforeLines="50" w:after="156" w:afterLines="50"/>
              <w:jc w:val="center"/>
              <w:rPr>
                <w:szCs w:val="21"/>
              </w:rPr>
            </w:pPr>
            <w:r>
              <w:rPr>
                <w:rFonts w:hint="eastAsia"/>
                <w:szCs w:val="21"/>
              </w:rPr>
              <w:t>1</w:t>
            </w:r>
          </w:p>
        </w:tc>
        <w:tc>
          <w:tcPr>
            <w:tcW w:w="1646" w:type="dxa"/>
          </w:tcPr>
          <w:p>
            <w:pPr>
              <w:spacing w:before="156" w:beforeLines="50" w:after="156" w:afterLines="50"/>
              <w:jc w:val="center"/>
              <w:rPr>
                <w:szCs w:val="21"/>
              </w:rPr>
            </w:pPr>
          </w:p>
        </w:tc>
        <w:tc>
          <w:tcPr>
            <w:tcW w:w="2160" w:type="dxa"/>
          </w:tcPr>
          <w:p>
            <w:pPr>
              <w:spacing w:before="156" w:beforeLines="50" w:after="156" w:afterLines="50"/>
              <w:jc w:val="center"/>
              <w:rPr>
                <w:szCs w:val="21"/>
              </w:rPr>
            </w:pPr>
          </w:p>
        </w:tc>
        <w:tc>
          <w:tcPr>
            <w:tcW w:w="1980" w:type="dxa"/>
          </w:tcPr>
          <w:p>
            <w:pPr>
              <w:spacing w:before="156" w:beforeLines="50" w:after="156" w:afterLines="50"/>
              <w:jc w:val="center"/>
              <w:rPr>
                <w:szCs w:val="21"/>
              </w:rPr>
            </w:pPr>
          </w:p>
        </w:tc>
        <w:tc>
          <w:tcPr>
            <w:tcW w:w="1733" w:type="dxa"/>
          </w:tcPr>
          <w:p>
            <w:pPr>
              <w:spacing w:before="156" w:beforeLines="50" w:after="156" w:afterLines="50"/>
              <w:jc w:val="center"/>
              <w:rPr>
                <w:szCs w:val="21"/>
              </w:rPr>
            </w:pPr>
          </w:p>
        </w:tc>
      </w:tr>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jc w:val="center"/>
        </w:trPr>
        <w:tc>
          <w:tcPr>
            <w:tcW w:w="601" w:type="dxa"/>
          </w:tcPr>
          <w:p>
            <w:pPr>
              <w:spacing w:before="156" w:beforeLines="50" w:after="156" w:afterLines="50"/>
              <w:jc w:val="center"/>
              <w:rPr>
                <w:szCs w:val="21"/>
              </w:rPr>
            </w:pPr>
            <w:r>
              <w:rPr>
                <w:rFonts w:hint="eastAsia"/>
                <w:szCs w:val="21"/>
              </w:rPr>
              <w:t>2</w:t>
            </w:r>
          </w:p>
        </w:tc>
        <w:tc>
          <w:tcPr>
            <w:tcW w:w="1646" w:type="dxa"/>
          </w:tcPr>
          <w:p>
            <w:pPr>
              <w:spacing w:before="156" w:beforeLines="50" w:after="156" w:afterLines="50"/>
              <w:jc w:val="center"/>
              <w:rPr>
                <w:szCs w:val="21"/>
              </w:rPr>
            </w:pPr>
          </w:p>
        </w:tc>
        <w:tc>
          <w:tcPr>
            <w:tcW w:w="2160" w:type="dxa"/>
          </w:tcPr>
          <w:p>
            <w:pPr>
              <w:spacing w:before="156" w:beforeLines="50" w:after="156" w:afterLines="50"/>
              <w:jc w:val="center"/>
              <w:rPr>
                <w:szCs w:val="21"/>
              </w:rPr>
            </w:pPr>
          </w:p>
        </w:tc>
        <w:tc>
          <w:tcPr>
            <w:tcW w:w="1980" w:type="dxa"/>
          </w:tcPr>
          <w:p>
            <w:pPr>
              <w:spacing w:before="156" w:beforeLines="50" w:after="156" w:afterLines="50"/>
              <w:jc w:val="center"/>
              <w:rPr>
                <w:szCs w:val="21"/>
              </w:rPr>
            </w:pPr>
          </w:p>
        </w:tc>
        <w:tc>
          <w:tcPr>
            <w:tcW w:w="1733" w:type="dxa"/>
          </w:tcPr>
          <w:p>
            <w:pPr>
              <w:spacing w:before="156" w:beforeLines="50" w:after="156" w:afterLines="50"/>
              <w:jc w:val="center"/>
              <w:rPr>
                <w:szCs w:val="21"/>
              </w:rPr>
            </w:pPr>
          </w:p>
        </w:tc>
      </w:tr>
    </w:tbl>
    <w:p>
      <w:pPr>
        <w:pStyle w:val="3"/>
        <w:topLinePunct/>
        <w:spacing w:before="0" w:after="0" w:line="240" w:lineRule="auto"/>
        <w:ind w:firstLine="420"/>
        <w:rPr>
          <w:rFonts w:eastAsia="宋体"/>
          <w:sz w:val="21"/>
          <w:szCs w:val="21"/>
        </w:rPr>
      </w:pPr>
      <w:bookmarkStart w:id="86" w:name="_Toc253134749"/>
      <w:bookmarkStart w:id="87" w:name="_Toc32593"/>
      <w:r>
        <w:rPr>
          <w:rFonts w:hint="eastAsia" w:eastAsia="宋体"/>
          <w:sz w:val="21"/>
          <w:szCs w:val="21"/>
        </w:rPr>
        <w:t>6.6  培训及到货需求</w:t>
      </w:r>
      <w:bookmarkEnd w:id="86"/>
      <w:bookmarkEnd w:id="87"/>
    </w:p>
    <w:p>
      <w:pPr>
        <w:pStyle w:val="140"/>
        <w:rPr>
          <w:rFonts w:eastAsia="宋体"/>
        </w:rPr>
      </w:pPr>
      <w:r>
        <w:rPr>
          <w:rFonts w:hint="eastAsia" w:eastAsia="宋体"/>
        </w:rPr>
        <w:t>表6-5  培训需求一览表</w:t>
      </w:r>
    </w:p>
    <w:tbl>
      <w:tblPr>
        <w:tblStyle w:val="62"/>
        <w:tblW w:w="92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85"/>
        <w:gridCol w:w="3079"/>
        <w:gridCol w:w="49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85" w:type="dxa"/>
            <w:tcMar>
              <w:left w:w="57" w:type="dxa"/>
              <w:right w:w="57" w:type="dxa"/>
            </w:tcMar>
            <w:vAlign w:val="center"/>
          </w:tcPr>
          <w:p>
            <w:pPr>
              <w:pStyle w:val="143"/>
              <w:spacing w:before="30" w:after="30"/>
              <w:jc w:val="center"/>
            </w:pPr>
            <w:r>
              <w:rPr>
                <w:rFonts w:hint="eastAsia"/>
              </w:rPr>
              <w:t>序号</w:t>
            </w:r>
          </w:p>
        </w:tc>
        <w:tc>
          <w:tcPr>
            <w:tcW w:w="3079" w:type="dxa"/>
            <w:tcMar>
              <w:left w:w="57" w:type="dxa"/>
              <w:right w:w="57" w:type="dxa"/>
            </w:tcMar>
            <w:vAlign w:val="center"/>
          </w:tcPr>
          <w:p>
            <w:pPr>
              <w:pStyle w:val="143"/>
              <w:spacing w:before="30" w:after="30"/>
              <w:jc w:val="center"/>
            </w:pPr>
            <w:r>
              <w:rPr>
                <w:rFonts w:hint="eastAsia"/>
              </w:rPr>
              <w:t>招标人要求值</w:t>
            </w:r>
          </w:p>
        </w:tc>
        <w:tc>
          <w:tcPr>
            <w:tcW w:w="4978" w:type="dxa"/>
            <w:tcMar>
              <w:left w:w="57" w:type="dxa"/>
              <w:right w:w="57" w:type="dxa"/>
            </w:tcMar>
            <w:vAlign w:val="center"/>
          </w:tcPr>
          <w:p>
            <w:pPr>
              <w:pStyle w:val="143"/>
              <w:spacing w:before="30" w:after="30"/>
              <w:jc w:val="center"/>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85" w:type="dxa"/>
            <w:tcMar>
              <w:left w:w="57" w:type="dxa"/>
              <w:right w:w="57" w:type="dxa"/>
            </w:tcMar>
            <w:vAlign w:val="center"/>
          </w:tcPr>
          <w:p>
            <w:pPr>
              <w:pStyle w:val="143"/>
              <w:spacing w:before="30" w:after="30"/>
              <w:jc w:val="center"/>
            </w:pPr>
          </w:p>
        </w:tc>
        <w:tc>
          <w:tcPr>
            <w:tcW w:w="3079" w:type="dxa"/>
            <w:tcMar>
              <w:left w:w="57" w:type="dxa"/>
              <w:right w:w="57" w:type="dxa"/>
            </w:tcMar>
            <w:vAlign w:val="center"/>
          </w:tcPr>
          <w:p>
            <w:pPr>
              <w:pStyle w:val="143"/>
              <w:spacing w:before="30" w:after="30"/>
              <w:jc w:val="center"/>
            </w:pPr>
          </w:p>
        </w:tc>
        <w:tc>
          <w:tcPr>
            <w:tcW w:w="4978" w:type="dxa"/>
            <w:tcMar>
              <w:left w:w="57" w:type="dxa"/>
              <w:right w:w="57" w:type="dxa"/>
            </w:tcMar>
            <w:vAlign w:val="center"/>
          </w:tcPr>
          <w:p>
            <w:pPr>
              <w:pStyle w:val="143"/>
              <w:spacing w:before="30" w:after="3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85" w:type="dxa"/>
            <w:tcMar>
              <w:left w:w="57" w:type="dxa"/>
              <w:right w:w="57" w:type="dxa"/>
            </w:tcMar>
            <w:vAlign w:val="center"/>
          </w:tcPr>
          <w:p>
            <w:pPr>
              <w:pStyle w:val="143"/>
              <w:spacing w:before="30" w:after="30"/>
              <w:jc w:val="center"/>
            </w:pPr>
          </w:p>
        </w:tc>
        <w:tc>
          <w:tcPr>
            <w:tcW w:w="3079" w:type="dxa"/>
            <w:tcMar>
              <w:left w:w="57" w:type="dxa"/>
              <w:right w:w="57" w:type="dxa"/>
            </w:tcMar>
            <w:vAlign w:val="center"/>
          </w:tcPr>
          <w:p>
            <w:pPr>
              <w:pStyle w:val="143"/>
              <w:spacing w:before="30" w:after="30"/>
              <w:jc w:val="center"/>
            </w:pPr>
          </w:p>
        </w:tc>
        <w:tc>
          <w:tcPr>
            <w:tcW w:w="4978" w:type="dxa"/>
            <w:tcMar>
              <w:left w:w="57" w:type="dxa"/>
              <w:right w:w="57" w:type="dxa"/>
            </w:tcMar>
            <w:vAlign w:val="center"/>
          </w:tcPr>
          <w:p>
            <w:pPr>
              <w:pStyle w:val="143"/>
              <w:spacing w:before="30" w:after="3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85" w:type="dxa"/>
            <w:tcMar>
              <w:left w:w="57" w:type="dxa"/>
              <w:right w:w="57" w:type="dxa"/>
            </w:tcMar>
            <w:vAlign w:val="center"/>
          </w:tcPr>
          <w:p>
            <w:pPr>
              <w:pStyle w:val="143"/>
              <w:spacing w:before="30" w:after="30"/>
              <w:jc w:val="center"/>
            </w:pPr>
          </w:p>
        </w:tc>
        <w:tc>
          <w:tcPr>
            <w:tcW w:w="3079" w:type="dxa"/>
            <w:tcMar>
              <w:left w:w="57" w:type="dxa"/>
              <w:right w:w="57" w:type="dxa"/>
            </w:tcMar>
            <w:vAlign w:val="center"/>
          </w:tcPr>
          <w:p>
            <w:pPr>
              <w:pStyle w:val="143"/>
              <w:spacing w:before="30" w:after="30"/>
              <w:jc w:val="center"/>
            </w:pPr>
          </w:p>
        </w:tc>
        <w:tc>
          <w:tcPr>
            <w:tcW w:w="4978" w:type="dxa"/>
            <w:tcMar>
              <w:left w:w="57" w:type="dxa"/>
              <w:right w:w="57" w:type="dxa"/>
            </w:tcMar>
            <w:vAlign w:val="center"/>
          </w:tcPr>
          <w:p>
            <w:pPr>
              <w:pStyle w:val="143"/>
              <w:spacing w:before="30" w:after="30"/>
              <w:jc w:val="center"/>
            </w:pPr>
          </w:p>
        </w:tc>
      </w:tr>
    </w:tbl>
    <w:p>
      <w:pPr>
        <w:pStyle w:val="140"/>
        <w:rPr>
          <w:rFonts w:eastAsia="宋体"/>
        </w:rPr>
      </w:pPr>
      <w:r>
        <w:rPr>
          <w:rFonts w:hint="eastAsia" w:eastAsia="宋体"/>
        </w:rPr>
        <w:t>表6-6  到货需求一览表</w:t>
      </w:r>
    </w:p>
    <w:tbl>
      <w:tblPr>
        <w:tblStyle w:val="62"/>
        <w:tblW w:w="92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700"/>
        <w:gridCol w:w="3564"/>
        <w:gridCol w:w="49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700" w:type="dxa"/>
            <w:tcMar>
              <w:left w:w="57" w:type="dxa"/>
              <w:right w:w="57" w:type="dxa"/>
            </w:tcMar>
            <w:vAlign w:val="center"/>
          </w:tcPr>
          <w:p>
            <w:pPr>
              <w:pStyle w:val="143"/>
              <w:spacing w:before="30" w:after="30"/>
              <w:jc w:val="center"/>
            </w:pPr>
            <w:r>
              <w:rPr>
                <w:rFonts w:hint="eastAsia"/>
              </w:rPr>
              <w:t>序号</w:t>
            </w:r>
          </w:p>
        </w:tc>
        <w:tc>
          <w:tcPr>
            <w:tcW w:w="3564" w:type="dxa"/>
            <w:tcMar>
              <w:left w:w="57" w:type="dxa"/>
              <w:right w:w="57" w:type="dxa"/>
            </w:tcMar>
            <w:vAlign w:val="center"/>
          </w:tcPr>
          <w:p>
            <w:pPr>
              <w:pStyle w:val="143"/>
              <w:spacing w:before="30" w:after="30"/>
              <w:jc w:val="center"/>
            </w:pPr>
            <w:r>
              <w:rPr>
                <w:rFonts w:hint="eastAsia"/>
              </w:rPr>
              <w:t>招标人要求值</w:t>
            </w:r>
          </w:p>
        </w:tc>
        <w:tc>
          <w:tcPr>
            <w:tcW w:w="4978" w:type="dxa"/>
            <w:tcMar>
              <w:left w:w="57" w:type="dxa"/>
              <w:right w:w="57" w:type="dxa"/>
            </w:tcMar>
            <w:vAlign w:val="center"/>
          </w:tcPr>
          <w:p>
            <w:pPr>
              <w:pStyle w:val="143"/>
              <w:spacing w:before="30" w:after="30"/>
              <w:jc w:val="center"/>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700" w:type="dxa"/>
            <w:tcMar>
              <w:left w:w="57" w:type="dxa"/>
              <w:right w:w="57" w:type="dxa"/>
            </w:tcMar>
            <w:vAlign w:val="center"/>
          </w:tcPr>
          <w:p>
            <w:pPr>
              <w:pStyle w:val="143"/>
              <w:spacing w:before="30" w:after="30"/>
              <w:jc w:val="center"/>
            </w:pPr>
            <w:r>
              <w:rPr>
                <w:rFonts w:hint="eastAsia"/>
              </w:rPr>
              <w:t>1</w:t>
            </w:r>
          </w:p>
        </w:tc>
        <w:tc>
          <w:tcPr>
            <w:tcW w:w="3564" w:type="dxa"/>
            <w:tcMar>
              <w:left w:w="57" w:type="dxa"/>
              <w:right w:w="57" w:type="dxa"/>
            </w:tcMar>
            <w:vAlign w:val="center"/>
          </w:tcPr>
          <w:p>
            <w:pPr>
              <w:pStyle w:val="143"/>
              <w:spacing w:before="30" w:after="30"/>
              <w:jc w:val="center"/>
              <w:rPr>
                <w:u w:val="single"/>
              </w:rPr>
            </w:pPr>
            <w:r>
              <w:rPr>
                <w:rFonts w:hint="eastAsia"/>
              </w:rPr>
              <w:t>接到采购人通知之日，起</w:t>
            </w:r>
            <w:r>
              <w:rPr>
                <w:rFonts w:hint="eastAsia"/>
                <w:u w:val="single"/>
              </w:rPr>
              <w:t>7</w:t>
            </w:r>
            <w:r>
              <w:rPr>
                <w:rFonts w:hint="eastAsia"/>
              </w:rPr>
              <w:t>日内到货（含节假日）</w:t>
            </w:r>
          </w:p>
        </w:tc>
        <w:tc>
          <w:tcPr>
            <w:tcW w:w="4978" w:type="dxa"/>
            <w:tcMar>
              <w:left w:w="57" w:type="dxa"/>
              <w:right w:w="57" w:type="dxa"/>
            </w:tcMar>
            <w:vAlign w:val="center"/>
          </w:tcPr>
          <w:p>
            <w:pPr>
              <w:pStyle w:val="143"/>
              <w:spacing w:before="30" w:after="30"/>
              <w:jc w:val="center"/>
            </w:pPr>
          </w:p>
        </w:tc>
      </w:tr>
    </w:tbl>
    <w:p>
      <w:pPr>
        <w:pStyle w:val="3"/>
        <w:topLinePunct/>
        <w:spacing w:before="0" w:after="0" w:line="240" w:lineRule="auto"/>
        <w:ind w:firstLine="420"/>
        <w:rPr>
          <w:rFonts w:eastAsia="宋体"/>
          <w:sz w:val="21"/>
          <w:szCs w:val="21"/>
        </w:rPr>
      </w:pPr>
      <w:bookmarkStart w:id="88" w:name="_Toc253134750"/>
      <w:bookmarkStart w:id="89" w:name="_Toc8672"/>
      <w:bookmarkStart w:id="90" w:name="_Toc243918987"/>
      <w:r>
        <w:rPr>
          <w:rFonts w:hint="eastAsia" w:eastAsia="宋体"/>
          <w:sz w:val="21"/>
          <w:szCs w:val="21"/>
        </w:rPr>
        <w:t>6.7  招标人提出的其他资料</w:t>
      </w:r>
      <w:bookmarkEnd w:id="88"/>
      <w:bookmarkEnd w:id="89"/>
      <w:bookmarkEnd w:id="90"/>
    </w:p>
    <w:p>
      <w:pPr>
        <w:pStyle w:val="2"/>
        <w:rPr>
          <w:rFonts w:eastAsia="宋体"/>
          <w:b/>
          <w:kern w:val="2"/>
        </w:rPr>
      </w:pPr>
      <w:bookmarkStart w:id="91" w:name="_Toc243918988"/>
      <w:bookmarkStart w:id="92" w:name="_Toc253134751"/>
      <w:bookmarkStart w:id="93" w:name="_Toc11293"/>
      <w:r>
        <w:rPr>
          <w:rFonts w:hint="eastAsia" w:eastAsia="宋体"/>
          <w:b/>
          <w:kern w:val="2"/>
        </w:rPr>
        <w:t>7. 投标人</w:t>
      </w:r>
      <w:bookmarkEnd w:id="91"/>
      <w:r>
        <w:rPr>
          <w:rFonts w:hint="eastAsia" w:eastAsia="宋体"/>
          <w:b/>
          <w:kern w:val="2"/>
        </w:rPr>
        <w:t>响应部分</w:t>
      </w:r>
      <w:bookmarkEnd w:id="92"/>
      <w:bookmarkEnd w:id="93"/>
    </w:p>
    <w:p>
      <w:pPr>
        <w:pStyle w:val="3"/>
        <w:topLinePunct/>
        <w:spacing w:before="0" w:after="0" w:line="240" w:lineRule="auto"/>
        <w:ind w:firstLine="420"/>
        <w:rPr>
          <w:rFonts w:eastAsia="宋体"/>
          <w:sz w:val="21"/>
          <w:szCs w:val="21"/>
        </w:rPr>
      </w:pPr>
      <w:bookmarkStart w:id="94" w:name="_Toc253134752"/>
      <w:bookmarkStart w:id="95" w:name="_Toc6425"/>
      <w:bookmarkStart w:id="96" w:name="_Toc243918989"/>
      <w:r>
        <w:rPr>
          <w:rFonts w:hint="eastAsia" w:eastAsia="宋体"/>
          <w:sz w:val="21"/>
          <w:szCs w:val="21"/>
        </w:rPr>
        <w:t>7.1  投标人技术偏差表</w:t>
      </w:r>
      <w:bookmarkEnd w:id="94"/>
      <w:bookmarkEnd w:id="95"/>
    </w:p>
    <w:p>
      <w:pPr>
        <w:widowControl/>
        <w:spacing w:before="156" w:beforeLines="50"/>
        <w:ind w:firstLine="420" w:firstLineChars="200"/>
        <w:rPr>
          <w:szCs w:val="21"/>
        </w:rPr>
      </w:pPr>
      <w:r>
        <w:rPr>
          <w:rFonts w:hint="eastAsia"/>
          <w:szCs w:val="21"/>
        </w:rPr>
        <w:t>投标人提供的产品技术规范应完全满足本招标文件中规定。若有偏差投标人应如实、认真地在投标人技术偏差表（表7-1）中填写偏差值，否则视为与本招标文件中规定的要求一致。若无技术偏差则应在技术偏差表中填写“无偏差”。</w:t>
      </w:r>
    </w:p>
    <w:p>
      <w:pPr>
        <w:pStyle w:val="140"/>
        <w:rPr>
          <w:rFonts w:eastAsia="宋体"/>
        </w:rPr>
      </w:pPr>
      <w:r>
        <w:rPr>
          <w:rFonts w:hint="eastAsia" w:eastAsia="宋体"/>
        </w:rPr>
        <w:t>表7-1 投标人技术偏差表</w:t>
      </w:r>
    </w:p>
    <w:tbl>
      <w:tblPr>
        <w:tblStyle w:val="62"/>
        <w:tblW w:w="92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080"/>
        <w:gridCol w:w="1431"/>
        <w:gridCol w:w="1887"/>
        <w:gridCol w:w="1957"/>
        <w:gridCol w:w="1768"/>
        <w:gridCol w:w="11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80" w:type="dxa"/>
            <w:tcMar>
              <w:left w:w="57" w:type="dxa"/>
              <w:right w:w="57" w:type="dxa"/>
            </w:tcMar>
            <w:vAlign w:val="center"/>
          </w:tcPr>
          <w:p>
            <w:pPr>
              <w:topLinePunct/>
              <w:spacing w:before="40" w:after="40"/>
              <w:jc w:val="center"/>
              <w:rPr>
                <w:sz w:val="18"/>
                <w:szCs w:val="18"/>
              </w:rPr>
            </w:pPr>
            <w:r>
              <w:rPr>
                <w:rFonts w:hint="eastAsia"/>
                <w:sz w:val="18"/>
                <w:szCs w:val="18"/>
              </w:rPr>
              <w:t>序号</w:t>
            </w:r>
          </w:p>
        </w:tc>
        <w:tc>
          <w:tcPr>
            <w:tcW w:w="1431" w:type="dxa"/>
            <w:tcMar>
              <w:left w:w="57" w:type="dxa"/>
              <w:right w:w="57" w:type="dxa"/>
            </w:tcMar>
            <w:vAlign w:val="center"/>
          </w:tcPr>
          <w:p>
            <w:pPr>
              <w:topLinePunct/>
              <w:spacing w:before="40" w:after="40"/>
              <w:jc w:val="center"/>
              <w:rPr>
                <w:sz w:val="18"/>
                <w:szCs w:val="18"/>
              </w:rPr>
            </w:pPr>
            <w:r>
              <w:rPr>
                <w:rFonts w:hint="eastAsia"/>
                <w:sz w:val="18"/>
                <w:szCs w:val="18"/>
              </w:rPr>
              <w:t>项    目</w:t>
            </w:r>
          </w:p>
        </w:tc>
        <w:tc>
          <w:tcPr>
            <w:tcW w:w="1887" w:type="dxa"/>
            <w:tcMar>
              <w:left w:w="57" w:type="dxa"/>
              <w:right w:w="57" w:type="dxa"/>
            </w:tcMar>
            <w:vAlign w:val="center"/>
          </w:tcPr>
          <w:p>
            <w:pPr>
              <w:topLinePunct/>
              <w:spacing w:before="40" w:after="40"/>
              <w:jc w:val="center"/>
              <w:rPr>
                <w:sz w:val="18"/>
                <w:szCs w:val="18"/>
              </w:rPr>
            </w:pPr>
            <w:r>
              <w:rPr>
                <w:rFonts w:hint="eastAsia"/>
                <w:sz w:val="18"/>
                <w:szCs w:val="18"/>
              </w:rPr>
              <w:t>对应条款编号</w:t>
            </w:r>
          </w:p>
        </w:tc>
        <w:tc>
          <w:tcPr>
            <w:tcW w:w="1957" w:type="dxa"/>
            <w:tcMar>
              <w:left w:w="57" w:type="dxa"/>
              <w:right w:w="57" w:type="dxa"/>
            </w:tcMar>
            <w:vAlign w:val="center"/>
          </w:tcPr>
          <w:p>
            <w:pPr>
              <w:topLinePunct/>
              <w:spacing w:before="40" w:after="40"/>
              <w:jc w:val="center"/>
              <w:rPr>
                <w:sz w:val="18"/>
                <w:szCs w:val="18"/>
              </w:rPr>
            </w:pPr>
            <w:r>
              <w:rPr>
                <w:rFonts w:hint="eastAsia"/>
                <w:sz w:val="18"/>
                <w:szCs w:val="18"/>
              </w:rPr>
              <w:t>技术招标文件要求</w:t>
            </w:r>
          </w:p>
        </w:tc>
        <w:tc>
          <w:tcPr>
            <w:tcW w:w="1768" w:type="dxa"/>
            <w:tcMar>
              <w:left w:w="57" w:type="dxa"/>
              <w:right w:w="57" w:type="dxa"/>
            </w:tcMar>
            <w:vAlign w:val="center"/>
          </w:tcPr>
          <w:p>
            <w:pPr>
              <w:topLinePunct/>
              <w:spacing w:before="40" w:after="40"/>
              <w:jc w:val="center"/>
              <w:rPr>
                <w:sz w:val="18"/>
                <w:szCs w:val="18"/>
              </w:rPr>
            </w:pPr>
            <w:r>
              <w:rPr>
                <w:rFonts w:hint="eastAsia"/>
                <w:sz w:val="18"/>
                <w:szCs w:val="18"/>
              </w:rPr>
              <w:t>差  异</w:t>
            </w:r>
          </w:p>
        </w:tc>
        <w:tc>
          <w:tcPr>
            <w:tcW w:w="1149" w:type="dxa"/>
            <w:tcMar>
              <w:left w:w="57" w:type="dxa"/>
              <w:right w:w="57" w:type="dxa"/>
            </w:tcMar>
            <w:vAlign w:val="center"/>
          </w:tcPr>
          <w:p>
            <w:pPr>
              <w:topLinePunct/>
              <w:spacing w:before="40" w:after="40"/>
              <w:jc w:val="center"/>
              <w:rPr>
                <w:sz w:val="18"/>
                <w:szCs w:val="18"/>
              </w:rPr>
            </w:pPr>
            <w:r>
              <w:rPr>
                <w:rFonts w:hint="eastAsia"/>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80" w:type="dxa"/>
            <w:tcMar>
              <w:left w:w="57" w:type="dxa"/>
              <w:right w:w="57" w:type="dxa"/>
            </w:tcMar>
            <w:vAlign w:val="center"/>
          </w:tcPr>
          <w:p>
            <w:pPr>
              <w:topLinePunct/>
              <w:spacing w:before="40" w:after="40"/>
              <w:jc w:val="center"/>
              <w:rPr>
                <w:sz w:val="18"/>
                <w:szCs w:val="18"/>
              </w:rPr>
            </w:pPr>
            <w:r>
              <w:rPr>
                <w:rFonts w:hint="eastAsia"/>
                <w:sz w:val="18"/>
                <w:szCs w:val="18"/>
              </w:rPr>
              <w:t>1</w:t>
            </w:r>
          </w:p>
        </w:tc>
        <w:tc>
          <w:tcPr>
            <w:tcW w:w="1431" w:type="dxa"/>
            <w:tcMar>
              <w:left w:w="57" w:type="dxa"/>
              <w:right w:w="57" w:type="dxa"/>
            </w:tcMar>
            <w:vAlign w:val="center"/>
          </w:tcPr>
          <w:p>
            <w:pPr>
              <w:topLinePunct/>
              <w:spacing w:before="40" w:after="40"/>
              <w:rPr>
                <w:sz w:val="18"/>
                <w:szCs w:val="18"/>
              </w:rPr>
            </w:pPr>
          </w:p>
        </w:tc>
        <w:tc>
          <w:tcPr>
            <w:tcW w:w="1887" w:type="dxa"/>
            <w:tcMar>
              <w:left w:w="57" w:type="dxa"/>
              <w:right w:w="57" w:type="dxa"/>
            </w:tcMar>
            <w:vAlign w:val="center"/>
          </w:tcPr>
          <w:p>
            <w:pPr>
              <w:topLinePunct/>
              <w:spacing w:before="40" w:after="40"/>
              <w:rPr>
                <w:sz w:val="18"/>
                <w:szCs w:val="18"/>
              </w:rPr>
            </w:pPr>
          </w:p>
        </w:tc>
        <w:tc>
          <w:tcPr>
            <w:tcW w:w="1957" w:type="dxa"/>
            <w:tcMar>
              <w:left w:w="57" w:type="dxa"/>
              <w:right w:w="57" w:type="dxa"/>
            </w:tcMar>
            <w:vAlign w:val="center"/>
          </w:tcPr>
          <w:p>
            <w:pPr>
              <w:topLinePunct/>
              <w:spacing w:before="40" w:after="40"/>
              <w:rPr>
                <w:sz w:val="18"/>
                <w:szCs w:val="18"/>
              </w:rPr>
            </w:pPr>
          </w:p>
        </w:tc>
        <w:tc>
          <w:tcPr>
            <w:tcW w:w="1768" w:type="dxa"/>
            <w:tcMar>
              <w:left w:w="57" w:type="dxa"/>
              <w:right w:w="57" w:type="dxa"/>
            </w:tcMar>
            <w:vAlign w:val="center"/>
          </w:tcPr>
          <w:p>
            <w:pPr>
              <w:topLinePunct/>
              <w:spacing w:before="40" w:after="40"/>
              <w:rPr>
                <w:sz w:val="18"/>
                <w:szCs w:val="18"/>
              </w:rPr>
            </w:pPr>
          </w:p>
        </w:tc>
        <w:tc>
          <w:tcPr>
            <w:tcW w:w="1149" w:type="dxa"/>
            <w:tcMar>
              <w:left w:w="57" w:type="dxa"/>
              <w:right w:w="57" w:type="dxa"/>
            </w:tcMar>
            <w:vAlign w:val="center"/>
          </w:tcPr>
          <w:p>
            <w:pPr>
              <w:topLinePunct/>
              <w:spacing w:before="40" w:after="4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80" w:type="dxa"/>
            <w:tcMar>
              <w:left w:w="57" w:type="dxa"/>
              <w:right w:w="57" w:type="dxa"/>
            </w:tcMar>
            <w:vAlign w:val="center"/>
          </w:tcPr>
          <w:p>
            <w:pPr>
              <w:topLinePunct/>
              <w:spacing w:before="40" w:after="40"/>
              <w:jc w:val="center"/>
              <w:rPr>
                <w:sz w:val="18"/>
                <w:szCs w:val="18"/>
              </w:rPr>
            </w:pPr>
            <w:r>
              <w:rPr>
                <w:rFonts w:hint="eastAsia"/>
                <w:sz w:val="18"/>
                <w:szCs w:val="18"/>
              </w:rPr>
              <w:t>2</w:t>
            </w:r>
          </w:p>
        </w:tc>
        <w:tc>
          <w:tcPr>
            <w:tcW w:w="1431" w:type="dxa"/>
            <w:tcMar>
              <w:left w:w="57" w:type="dxa"/>
              <w:right w:w="57" w:type="dxa"/>
            </w:tcMar>
            <w:vAlign w:val="center"/>
          </w:tcPr>
          <w:p>
            <w:pPr>
              <w:topLinePunct/>
              <w:spacing w:before="40" w:after="40"/>
              <w:rPr>
                <w:sz w:val="18"/>
                <w:szCs w:val="18"/>
              </w:rPr>
            </w:pPr>
          </w:p>
        </w:tc>
        <w:tc>
          <w:tcPr>
            <w:tcW w:w="1887" w:type="dxa"/>
            <w:tcMar>
              <w:left w:w="57" w:type="dxa"/>
              <w:right w:w="57" w:type="dxa"/>
            </w:tcMar>
            <w:vAlign w:val="center"/>
          </w:tcPr>
          <w:p>
            <w:pPr>
              <w:topLinePunct/>
              <w:spacing w:before="40" w:after="40"/>
              <w:rPr>
                <w:sz w:val="18"/>
                <w:szCs w:val="18"/>
              </w:rPr>
            </w:pPr>
          </w:p>
        </w:tc>
        <w:tc>
          <w:tcPr>
            <w:tcW w:w="1957" w:type="dxa"/>
            <w:tcMar>
              <w:left w:w="57" w:type="dxa"/>
              <w:right w:w="57" w:type="dxa"/>
            </w:tcMar>
            <w:vAlign w:val="center"/>
          </w:tcPr>
          <w:p>
            <w:pPr>
              <w:topLinePunct/>
              <w:spacing w:before="40" w:after="40"/>
              <w:rPr>
                <w:sz w:val="18"/>
                <w:szCs w:val="18"/>
              </w:rPr>
            </w:pPr>
          </w:p>
        </w:tc>
        <w:tc>
          <w:tcPr>
            <w:tcW w:w="1768" w:type="dxa"/>
            <w:tcMar>
              <w:left w:w="57" w:type="dxa"/>
              <w:right w:w="57" w:type="dxa"/>
            </w:tcMar>
            <w:vAlign w:val="center"/>
          </w:tcPr>
          <w:p>
            <w:pPr>
              <w:topLinePunct/>
              <w:spacing w:before="40" w:after="40"/>
              <w:rPr>
                <w:sz w:val="18"/>
                <w:szCs w:val="18"/>
              </w:rPr>
            </w:pPr>
          </w:p>
        </w:tc>
        <w:tc>
          <w:tcPr>
            <w:tcW w:w="1149" w:type="dxa"/>
            <w:tcMar>
              <w:left w:w="57" w:type="dxa"/>
              <w:right w:w="57" w:type="dxa"/>
            </w:tcMar>
            <w:vAlign w:val="center"/>
          </w:tcPr>
          <w:p>
            <w:pPr>
              <w:topLinePunct/>
              <w:spacing w:before="40" w:after="4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80" w:type="dxa"/>
            <w:tcMar>
              <w:left w:w="57" w:type="dxa"/>
              <w:right w:w="57" w:type="dxa"/>
            </w:tcMar>
            <w:vAlign w:val="center"/>
          </w:tcPr>
          <w:p>
            <w:pPr>
              <w:topLinePunct/>
              <w:spacing w:before="40" w:after="40"/>
              <w:jc w:val="center"/>
              <w:rPr>
                <w:sz w:val="18"/>
                <w:szCs w:val="18"/>
              </w:rPr>
            </w:pPr>
            <w:r>
              <w:rPr>
                <w:rFonts w:hint="eastAsia"/>
                <w:sz w:val="18"/>
                <w:szCs w:val="18"/>
              </w:rPr>
              <w:t>3</w:t>
            </w:r>
          </w:p>
        </w:tc>
        <w:tc>
          <w:tcPr>
            <w:tcW w:w="1431" w:type="dxa"/>
            <w:tcMar>
              <w:left w:w="57" w:type="dxa"/>
              <w:right w:w="57" w:type="dxa"/>
            </w:tcMar>
            <w:vAlign w:val="center"/>
          </w:tcPr>
          <w:p>
            <w:pPr>
              <w:topLinePunct/>
              <w:spacing w:before="40" w:after="40"/>
              <w:rPr>
                <w:sz w:val="18"/>
                <w:szCs w:val="18"/>
              </w:rPr>
            </w:pPr>
          </w:p>
        </w:tc>
        <w:tc>
          <w:tcPr>
            <w:tcW w:w="1887" w:type="dxa"/>
            <w:tcMar>
              <w:left w:w="57" w:type="dxa"/>
              <w:right w:w="57" w:type="dxa"/>
            </w:tcMar>
            <w:vAlign w:val="center"/>
          </w:tcPr>
          <w:p>
            <w:pPr>
              <w:topLinePunct/>
              <w:spacing w:before="40" w:after="40"/>
              <w:rPr>
                <w:sz w:val="18"/>
                <w:szCs w:val="18"/>
              </w:rPr>
            </w:pPr>
          </w:p>
        </w:tc>
        <w:tc>
          <w:tcPr>
            <w:tcW w:w="1957" w:type="dxa"/>
            <w:tcMar>
              <w:left w:w="57" w:type="dxa"/>
              <w:right w:w="57" w:type="dxa"/>
            </w:tcMar>
            <w:vAlign w:val="center"/>
          </w:tcPr>
          <w:p>
            <w:pPr>
              <w:topLinePunct/>
              <w:spacing w:before="40" w:after="40"/>
              <w:rPr>
                <w:sz w:val="18"/>
                <w:szCs w:val="18"/>
              </w:rPr>
            </w:pPr>
          </w:p>
        </w:tc>
        <w:tc>
          <w:tcPr>
            <w:tcW w:w="1768" w:type="dxa"/>
            <w:tcMar>
              <w:left w:w="57" w:type="dxa"/>
              <w:right w:w="57" w:type="dxa"/>
            </w:tcMar>
            <w:vAlign w:val="center"/>
          </w:tcPr>
          <w:p>
            <w:pPr>
              <w:topLinePunct/>
              <w:spacing w:before="40" w:after="40"/>
              <w:rPr>
                <w:sz w:val="18"/>
                <w:szCs w:val="18"/>
              </w:rPr>
            </w:pPr>
          </w:p>
        </w:tc>
        <w:tc>
          <w:tcPr>
            <w:tcW w:w="1149" w:type="dxa"/>
            <w:tcMar>
              <w:left w:w="57" w:type="dxa"/>
              <w:right w:w="57" w:type="dxa"/>
            </w:tcMar>
            <w:vAlign w:val="center"/>
          </w:tcPr>
          <w:p>
            <w:pPr>
              <w:topLinePunct/>
              <w:spacing w:before="40" w:after="40"/>
              <w:rPr>
                <w:sz w:val="18"/>
                <w:szCs w:val="18"/>
              </w:rPr>
            </w:pPr>
          </w:p>
        </w:tc>
      </w:tr>
    </w:tbl>
    <w:p>
      <w:pPr>
        <w:pStyle w:val="3"/>
        <w:topLinePunct/>
        <w:spacing w:before="0" w:after="0" w:line="240" w:lineRule="auto"/>
        <w:ind w:firstLine="420"/>
        <w:rPr>
          <w:rFonts w:eastAsia="宋体"/>
          <w:sz w:val="21"/>
          <w:szCs w:val="21"/>
        </w:rPr>
      </w:pPr>
      <w:bookmarkStart w:id="97" w:name="_Toc19132"/>
      <w:bookmarkStart w:id="98" w:name="_Toc253134753"/>
      <w:r>
        <w:rPr>
          <w:rFonts w:hint="eastAsia" w:eastAsia="宋体"/>
          <w:sz w:val="21"/>
          <w:szCs w:val="21"/>
        </w:rPr>
        <w:t>7.2 产品部件列表</w:t>
      </w:r>
      <w:bookmarkEnd w:id="97"/>
      <w:bookmarkEnd w:id="98"/>
    </w:p>
    <w:p>
      <w:pPr>
        <w:pStyle w:val="142"/>
        <w:spacing w:before="156" w:beforeLines="50"/>
        <w:ind w:firstLine="420" w:firstLineChars="200"/>
        <w:rPr>
          <w:szCs w:val="21"/>
        </w:rPr>
      </w:pPr>
      <w:r>
        <w:rPr>
          <w:rFonts w:hint="eastAsia"/>
          <w:szCs w:val="21"/>
        </w:rPr>
        <w:t>投标人按技术规范2.2要求提供构成表5-1应急电缆的全部部件、模块。</w:t>
      </w:r>
    </w:p>
    <w:p>
      <w:pPr>
        <w:pStyle w:val="140"/>
        <w:rPr>
          <w:rFonts w:eastAsia="宋体"/>
        </w:rPr>
      </w:pPr>
      <w:r>
        <w:rPr>
          <w:rFonts w:hint="eastAsia" w:eastAsia="宋体"/>
        </w:rPr>
        <w:t>表7-2  产品部件列表</w:t>
      </w:r>
    </w:p>
    <w:tbl>
      <w:tblPr>
        <w:tblStyle w:val="62"/>
        <w:tblW w:w="92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700"/>
        <w:gridCol w:w="1896"/>
        <w:gridCol w:w="1668"/>
        <w:gridCol w:w="1957"/>
        <w:gridCol w:w="1768"/>
        <w:gridCol w:w="12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700" w:type="dxa"/>
            <w:tcMar>
              <w:left w:w="57" w:type="dxa"/>
              <w:right w:w="57" w:type="dxa"/>
            </w:tcMar>
            <w:vAlign w:val="center"/>
          </w:tcPr>
          <w:p>
            <w:pPr>
              <w:pStyle w:val="143"/>
              <w:spacing w:before="30" w:after="30"/>
              <w:jc w:val="center"/>
            </w:pPr>
            <w:bookmarkStart w:id="99" w:name="_Toc155171519"/>
            <w:r>
              <w:rPr>
                <w:rFonts w:hint="eastAsia"/>
              </w:rPr>
              <w:t>序号</w:t>
            </w:r>
          </w:p>
        </w:tc>
        <w:tc>
          <w:tcPr>
            <w:tcW w:w="1896" w:type="dxa"/>
            <w:tcMar>
              <w:left w:w="57" w:type="dxa"/>
              <w:right w:w="57" w:type="dxa"/>
            </w:tcMar>
            <w:vAlign w:val="center"/>
          </w:tcPr>
          <w:p>
            <w:pPr>
              <w:pStyle w:val="143"/>
              <w:spacing w:before="30" w:after="30"/>
              <w:jc w:val="center"/>
            </w:pPr>
            <w:r>
              <w:rPr>
                <w:rFonts w:hint="eastAsia"/>
              </w:rPr>
              <w:t>部件代码</w:t>
            </w:r>
          </w:p>
        </w:tc>
        <w:tc>
          <w:tcPr>
            <w:tcW w:w="1668" w:type="dxa"/>
            <w:tcMar>
              <w:left w:w="57" w:type="dxa"/>
              <w:right w:w="57" w:type="dxa"/>
            </w:tcMar>
            <w:vAlign w:val="center"/>
          </w:tcPr>
          <w:p>
            <w:pPr>
              <w:pStyle w:val="143"/>
              <w:spacing w:before="30" w:after="30"/>
              <w:jc w:val="center"/>
            </w:pPr>
            <w:r>
              <w:rPr>
                <w:rFonts w:hint="eastAsia"/>
              </w:rPr>
              <w:t>英文名称</w:t>
            </w:r>
          </w:p>
        </w:tc>
        <w:tc>
          <w:tcPr>
            <w:tcW w:w="1957" w:type="dxa"/>
            <w:tcMar>
              <w:left w:w="57" w:type="dxa"/>
              <w:right w:w="57" w:type="dxa"/>
            </w:tcMar>
            <w:vAlign w:val="center"/>
          </w:tcPr>
          <w:p>
            <w:pPr>
              <w:pStyle w:val="143"/>
              <w:spacing w:before="30" w:after="30"/>
              <w:jc w:val="center"/>
            </w:pPr>
            <w:r>
              <w:rPr>
                <w:rFonts w:hint="eastAsia"/>
              </w:rPr>
              <w:t>中文名称</w:t>
            </w:r>
          </w:p>
        </w:tc>
        <w:tc>
          <w:tcPr>
            <w:tcW w:w="1768" w:type="dxa"/>
            <w:tcMar>
              <w:left w:w="57" w:type="dxa"/>
              <w:right w:w="57" w:type="dxa"/>
            </w:tcMar>
            <w:vAlign w:val="center"/>
          </w:tcPr>
          <w:p>
            <w:pPr>
              <w:pStyle w:val="143"/>
              <w:spacing w:before="30" w:after="30"/>
              <w:jc w:val="center"/>
            </w:pPr>
            <w:r>
              <w:rPr>
                <w:rFonts w:hint="eastAsia"/>
              </w:rPr>
              <w:t>数量</w:t>
            </w:r>
          </w:p>
        </w:tc>
        <w:tc>
          <w:tcPr>
            <w:tcW w:w="1253" w:type="dxa"/>
            <w:tcMar>
              <w:left w:w="57" w:type="dxa"/>
              <w:right w:w="57" w:type="dxa"/>
            </w:tcMar>
            <w:vAlign w:val="center"/>
          </w:tcPr>
          <w:p>
            <w:pPr>
              <w:pStyle w:val="143"/>
              <w:spacing w:before="30" w:after="30"/>
              <w:jc w:val="center"/>
            </w:pPr>
            <w:r>
              <w:rPr>
                <w:rFonts w:hint="eastAsia"/>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700" w:type="dxa"/>
            <w:tcMar>
              <w:left w:w="57" w:type="dxa"/>
              <w:right w:w="57" w:type="dxa"/>
            </w:tcMar>
            <w:vAlign w:val="center"/>
          </w:tcPr>
          <w:p>
            <w:pPr>
              <w:pStyle w:val="143"/>
              <w:spacing w:before="30" w:after="30"/>
              <w:jc w:val="center"/>
            </w:pPr>
            <w:r>
              <w:rPr>
                <w:rFonts w:hint="eastAsia"/>
              </w:rPr>
              <w:t>1</w:t>
            </w:r>
          </w:p>
        </w:tc>
        <w:tc>
          <w:tcPr>
            <w:tcW w:w="1896" w:type="dxa"/>
            <w:tcMar>
              <w:left w:w="57" w:type="dxa"/>
              <w:right w:w="57" w:type="dxa"/>
            </w:tcMar>
            <w:vAlign w:val="center"/>
          </w:tcPr>
          <w:p>
            <w:pPr>
              <w:pStyle w:val="143"/>
              <w:spacing w:before="30" w:after="30"/>
              <w:jc w:val="center"/>
            </w:pPr>
          </w:p>
        </w:tc>
        <w:tc>
          <w:tcPr>
            <w:tcW w:w="1668" w:type="dxa"/>
            <w:tcMar>
              <w:left w:w="57" w:type="dxa"/>
              <w:right w:w="57" w:type="dxa"/>
            </w:tcMar>
            <w:vAlign w:val="center"/>
          </w:tcPr>
          <w:p>
            <w:pPr>
              <w:pStyle w:val="143"/>
              <w:spacing w:before="30" w:after="30"/>
              <w:jc w:val="center"/>
            </w:pPr>
          </w:p>
        </w:tc>
        <w:tc>
          <w:tcPr>
            <w:tcW w:w="1957" w:type="dxa"/>
            <w:tcMar>
              <w:left w:w="57" w:type="dxa"/>
              <w:right w:w="57" w:type="dxa"/>
            </w:tcMar>
            <w:vAlign w:val="center"/>
          </w:tcPr>
          <w:p>
            <w:pPr>
              <w:pStyle w:val="143"/>
              <w:spacing w:before="30" w:after="30"/>
              <w:jc w:val="center"/>
            </w:pPr>
          </w:p>
        </w:tc>
        <w:tc>
          <w:tcPr>
            <w:tcW w:w="1768" w:type="dxa"/>
            <w:tcMar>
              <w:left w:w="57" w:type="dxa"/>
              <w:right w:w="57" w:type="dxa"/>
            </w:tcMar>
            <w:vAlign w:val="center"/>
          </w:tcPr>
          <w:p>
            <w:pPr>
              <w:pStyle w:val="143"/>
              <w:spacing w:before="30" w:after="30"/>
              <w:jc w:val="center"/>
            </w:pPr>
          </w:p>
        </w:tc>
        <w:tc>
          <w:tcPr>
            <w:tcW w:w="1253" w:type="dxa"/>
            <w:tcMar>
              <w:left w:w="57" w:type="dxa"/>
              <w:right w:w="57" w:type="dxa"/>
            </w:tcMar>
            <w:vAlign w:val="center"/>
          </w:tcPr>
          <w:p>
            <w:pPr>
              <w:pStyle w:val="143"/>
              <w:spacing w:before="30" w:after="3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700" w:type="dxa"/>
            <w:tcMar>
              <w:left w:w="57" w:type="dxa"/>
              <w:right w:w="57" w:type="dxa"/>
            </w:tcMar>
            <w:vAlign w:val="center"/>
          </w:tcPr>
          <w:p>
            <w:pPr>
              <w:pStyle w:val="143"/>
              <w:spacing w:before="30" w:after="30"/>
              <w:jc w:val="center"/>
            </w:pPr>
            <w:r>
              <w:rPr>
                <w:rFonts w:hint="eastAsia"/>
              </w:rPr>
              <w:t>2</w:t>
            </w:r>
          </w:p>
        </w:tc>
        <w:tc>
          <w:tcPr>
            <w:tcW w:w="1896" w:type="dxa"/>
            <w:tcMar>
              <w:left w:w="57" w:type="dxa"/>
              <w:right w:w="57" w:type="dxa"/>
            </w:tcMar>
            <w:vAlign w:val="center"/>
          </w:tcPr>
          <w:p>
            <w:pPr>
              <w:pStyle w:val="143"/>
              <w:spacing w:before="30" w:after="30"/>
              <w:jc w:val="center"/>
            </w:pPr>
          </w:p>
        </w:tc>
        <w:tc>
          <w:tcPr>
            <w:tcW w:w="1668" w:type="dxa"/>
            <w:tcMar>
              <w:left w:w="57" w:type="dxa"/>
              <w:right w:w="57" w:type="dxa"/>
            </w:tcMar>
            <w:vAlign w:val="center"/>
          </w:tcPr>
          <w:p>
            <w:pPr>
              <w:pStyle w:val="143"/>
              <w:spacing w:before="30" w:after="30"/>
              <w:jc w:val="center"/>
            </w:pPr>
          </w:p>
        </w:tc>
        <w:tc>
          <w:tcPr>
            <w:tcW w:w="1957" w:type="dxa"/>
            <w:tcMar>
              <w:left w:w="57" w:type="dxa"/>
              <w:right w:w="57" w:type="dxa"/>
            </w:tcMar>
            <w:vAlign w:val="center"/>
          </w:tcPr>
          <w:p>
            <w:pPr>
              <w:pStyle w:val="143"/>
              <w:spacing w:before="30" w:after="30"/>
              <w:jc w:val="center"/>
            </w:pPr>
          </w:p>
        </w:tc>
        <w:tc>
          <w:tcPr>
            <w:tcW w:w="1768" w:type="dxa"/>
            <w:tcMar>
              <w:left w:w="57" w:type="dxa"/>
              <w:right w:w="57" w:type="dxa"/>
            </w:tcMar>
            <w:vAlign w:val="center"/>
          </w:tcPr>
          <w:p>
            <w:pPr>
              <w:pStyle w:val="143"/>
              <w:spacing w:before="30" w:after="30"/>
              <w:jc w:val="center"/>
            </w:pPr>
          </w:p>
        </w:tc>
        <w:tc>
          <w:tcPr>
            <w:tcW w:w="1253" w:type="dxa"/>
            <w:tcMar>
              <w:left w:w="57" w:type="dxa"/>
              <w:right w:w="57" w:type="dxa"/>
            </w:tcMar>
            <w:vAlign w:val="center"/>
          </w:tcPr>
          <w:p>
            <w:pPr>
              <w:pStyle w:val="143"/>
              <w:spacing w:before="30" w:after="3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700" w:type="dxa"/>
            <w:tcMar>
              <w:left w:w="57" w:type="dxa"/>
              <w:right w:w="57" w:type="dxa"/>
            </w:tcMar>
            <w:vAlign w:val="center"/>
          </w:tcPr>
          <w:p>
            <w:pPr>
              <w:pStyle w:val="143"/>
              <w:spacing w:before="30" w:after="30"/>
              <w:jc w:val="center"/>
            </w:pPr>
            <w:r>
              <w:rPr>
                <w:rFonts w:hint="eastAsia"/>
              </w:rPr>
              <w:t>3</w:t>
            </w:r>
          </w:p>
        </w:tc>
        <w:tc>
          <w:tcPr>
            <w:tcW w:w="1896" w:type="dxa"/>
            <w:tcMar>
              <w:left w:w="57" w:type="dxa"/>
              <w:right w:w="57" w:type="dxa"/>
            </w:tcMar>
            <w:vAlign w:val="center"/>
          </w:tcPr>
          <w:p>
            <w:pPr>
              <w:pStyle w:val="143"/>
              <w:spacing w:before="30" w:after="30"/>
              <w:jc w:val="center"/>
            </w:pPr>
          </w:p>
        </w:tc>
        <w:tc>
          <w:tcPr>
            <w:tcW w:w="1668" w:type="dxa"/>
            <w:tcMar>
              <w:left w:w="57" w:type="dxa"/>
              <w:right w:w="57" w:type="dxa"/>
            </w:tcMar>
            <w:vAlign w:val="center"/>
          </w:tcPr>
          <w:p>
            <w:pPr>
              <w:pStyle w:val="143"/>
              <w:spacing w:before="30" w:after="30"/>
              <w:jc w:val="center"/>
            </w:pPr>
          </w:p>
        </w:tc>
        <w:tc>
          <w:tcPr>
            <w:tcW w:w="1957" w:type="dxa"/>
            <w:tcMar>
              <w:left w:w="57" w:type="dxa"/>
              <w:right w:w="57" w:type="dxa"/>
            </w:tcMar>
            <w:vAlign w:val="center"/>
          </w:tcPr>
          <w:p>
            <w:pPr>
              <w:pStyle w:val="143"/>
              <w:spacing w:before="30" w:after="30"/>
              <w:jc w:val="center"/>
            </w:pPr>
          </w:p>
        </w:tc>
        <w:tc>
          <w:tcPr>
            <w:tcW w:w="1768" w:type="dxa"/>
            <w:tcMar>
              <w:left w:w="57" w:type="dxa"/>
              <w:right w:w="57" w:type="dxa"/>
            </w:tcMar>
            <w:vAlign w:val="center"/>
          </w:tcPr>
          <w:p>
            <w:pPr>
              <w:pStyle w:val="143"/>
              <w:spacing w:before="30" w:after="30"/>
              <w:jc w:val="center"/>
            </w:pPr>
          </w:p>
        </w:tc>
        <w:tc>
          <w:tcPr>
            <w:tcW w:w="1253" w:type="dxa"/>
            <w:tcMar>
              <w:left w:w="57" w:type="dxa"/>
              <w:right w:w="57" w:type="dxa"/>
            </w:tcMar>
            <w:vAlign w:val="center"/>
          </w:tcPr>
          <w:p>
            <w:pPr>
              <w:pStyle w:val="143"/>
              <w:spacing w:before="30" w:after="30"/>
              <w:jc w:val="center"/>
            </w:pPr>
          </w:p>
        </w:tc>
      </w:tr>
      <w:bookmarkEnd w:id="99"/>
    </w:tbl>
    <w:p>
      <w:pPr>
        <w:pStyle w:val="3"/>
        <w:topLinePunct/>
        <w:spacing w:before="0" w:after="0" w:line="240" w:lineRule="auto"/>
        <w:ind w:firstLine="420"/>
        <w:rPr>
          <w:rFonts w:eastAsia="宋体"/>
          <w:sz w:val="21"/>
          <w:szCs w:val="21"/>
        </w:rPr>
      </w:pPr>
      <w:bookmarkStart w:id="100" w:name="_Toc253134754"/>
      <w:bookmarkStart w:id="101" w:name="_Toc14592"/>
      <w:r>
        <w:rPr>
          <w:rFonts w:hint="eastAsia" w:eastAsia="宋体"/>
          <w:sz w:val="21"/>
          <w:szCs w:val="21"/>
        </w:rPr>
        <w:t>7.3 推荐的备品备件、专用工具和仪器仪表供货表</w:t>
      </w:r>
      <w:bookmarkEnd w:id="100"/>
      <w:bookmarkEnd w:id="101"/>
    </w:p>
    <w:p/>
    <w:p>
      <w:pPr>
        <w:pStyle w:val="140"/>
        <w:rPr>
          <w:rFonts w:eastAsia="宋体"/>
        </w:rPr>
      </w:pPr>
      <w:r>
        <w:rPr>
          <w:rFonts w:hint="eastAsia" w:eastAsia="宋体"/>
        </w:rPr>
        <w:t>表7-3  推荐的备品备件、专用工具和仪器仪表供货表</w:t>
      </w:r>
    </w:p>
    <w:tbl>
      <w:tblPr>
        <w:tblStyle w:val="62"/>
        <w:tblW w:w="92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57"/>
        <w:gridCol w:w="3336"/>
        <w:gridCol w:w="2773"/>
        <w:gridCol w:w="1039"/>
        <w:gridCol w:w="9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57" w:type="dxa"/>
            <w:vAlign w:val="center"/>
          </w:tcPr>
          <w:p>
            <w:pPr>
              <w:topLinePunct/>
              <w:spacing w:before="36" w:after="36"/>
              <w:jc w:val="center"/>
              <w:rPr>
                <w:sz w:val="18"/>
                <w:szCs w:val="18"/>
              </w:rPr>
            </w:pPr>
            <w:r>
              <w:rPr>
                <w:rFonts w:hint="eastAsia"/>
                <w:sz w:val="18"/>
                <w:szCs w:val="18"/>
              </w:rPr>
              <w:t>序号</w:t>
            </w:r>
          </w:p>
        </w:tc>
        <w:tc>
          <w:tcPr>
            <w:tcW w:w="3336" w:type="dxa"/>
            <w:vAlign w:val="center"/>
          </w:tcPr>
          <w:p>
            <w:pPr>
              <w:topLinePunct/>
              <w:spacing w:before="36" w:after="36"/>
              <w:jc w:val="center"/>
              <w:rPr>
                <w:sz w:val="18"/>
                <w:szCs w:val="18"/>
              </w:rPr>
            </w:pPr>
            <w:r>
              <w:rPr>
                <w:rFonts w:hint="eastAsia"/>
                <w:sz w:val="18"/>
                <w:szCs w:val="18"/>
              </w:rPr>
              <w:t>名  称</w:t>
            </w:r>
          </w:p>
        </w:tc>
        <w:tc>
          <w:tcPr>
            <w:tcW w:w="2773" w:type="dxa"/>
            <w:vAlign w:val="center"/>
          </w:tcPr>
          <w:p>
            <w:pPr>
              <w:topLinePunct/>
              <w:spacing w:before="36" w:after="36"/>
              <w:jc w:val="center"/>
              <w:rPr>
                <w:sz w:val="18"/>
                <w:szCs w:val="18"/>
              </w:rPr>
            </w:pPr>
            <w:r>
              <w:rPr>
                <w:rFonts w:hint="eastAsia"/>
                <w:sz w:val="18"/>
                <w:szCs w:val="18"/>
              </w:rPr>
              <w:t>型号和规格</w:t>
            </w:r>
          </w:p>
        </w:tc>
        <w:tc>
          <w:tcPr>
            <w:tcW w:w="1039" w:type="dxa"/>
            <w:vAlign w:val="center"/>
          </w:tcPr>
          <w:p>
            <w:pPr>
              <w:topLinePunct/>
              <w:spacing w:before="36" w:after="36"/>
              <w:jc w:val="center"/>
              <w:rPr>
                <w:sz w:val="18"/>
                <w:szCs w:val="18"/>
              </w:rPr>
            </w:pPr>
            <w:r>
              <w:rPr>
                <w:rFonts w:hint="eastAsia"/>
                <w:sz w:val="18"/>
                <w:szCs w:val="18"/>
              </w:rPr>
              <w:t>单位</w:t>
            </w:r>
          </w:p>
        </w:tc>
        <w:tc>
          <w:tcPr>
            <w:tcW w:w="937" w:type="dxa"/>
            <w:vAlign w:val="center"/>
          </w:tcPr>
          <w:p>
            <w:pPr>
              <w:topLinePunct/>
              <w:spacing w:before="36" w:after="36"/>
              <w:jc w:val="center"/>
              <w:rPr>
                <w:sz w:val="18"/>
                <w:szCs w:val="18"/>
              </w:rPr>
            </w:pPr>
            <w:r>
              <w:rPr>
                <w:rFonts w:hint="eastAsia"/>
                <w:sz w:val="18"/>
                <w:szCs w:val="18"/>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57" w:type="dxa"/>
            <w:vAlign w:val="center"/>
          </w:tcPr>
          <w:p>
            <w:pPr>
              <w:topLinePunct/>
              <w:spacing w:before="36" w:after="36"/>
              <w:jc w:val="center"/>
              <w:rPr>
                <w:sz w:val="18"/>
                <w:szCs w:val="18"/>
              </w:rPr>
            </w:pPr>
            <w:r>
              <w:rPr>
                <w:rFonts w:hint="eastAsia"/>
                <w:sz w:val="18"/>
                <w:szCs w:val="18"/>
              </w:rPr>
              <w:t>1</w:t>
            </w:r>
          </w:p>
        </w:tc>
        <w:tc>
          <w:tcPr>
            <w:tcW w:w="3336" w:type="dxa"/>
            <w:vAlign w:val="center"/>
          </w:tcPr>
          <w:p>
            <w:pPr>
              <w:topLinePunct/>
              <w:spacing w:before="36" w:after="36"/>
              <w:jc w:val="center"/>
              <w:rPr>
                <w:sz w:val="18"/>
                <w:szCs w:val="18"/>
              </w:rPr>
            </w:pPr>
          </w:p>
        </w:tc>
        <w:tc>
          <w:tcPr>
            <w:tcW w:w="2773" w:type="dxa"/>
            <w:vAlign w:val="center"/>
          </w:tcPr>
          <w:p>
            <w:pPr>
              <w:topLinePunct/>
              <w:spacing w:before="36" w:after="36"/>
              <w:jc w:val="center"/>
              <w:rPr>
                <w:sz w:val="18"/>
                <w:szCs w:val="18"/>
              </w:rPr>
            </w:pPr>
          </w:p>
        </w:tc>
        <w:tc>
          <w:tcPr>
            <w:tcW w:w="1039" w:type="dxa"/>
            <w:vAlign w:val="center"/>
          </w:tcPr>
          <w:p>
            <w:pPr>
              <w:topLinePunct/>
              <w:spacing w:before="36" w:after="36"/>
              <w:jc w:val="center"/>
              <w:rPr>
                <w:sz w:val="18"/>
                <w:szCs w:val="18"/>
              </w:rPr>
            </w:pPr>
          </w:p>
        </w:tc>
        <w:tc>
          <w:tcPr>
            <w:tcW w:w="937" w:type="dxa"/>
            <w:vAlign w:val="center"/>
          </w:tcPr>
          <w:p>
            <w:pPr>
              <w:topLinePunct/>
              <w:spacing w:before="36" w:after="36"/>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57" w:type="dxa"/>
            <w:vAlign w:val="center"/>
          </w:tcPr>
          <w:p>
            <w:pPr>
              <w:topLinePunct/>
              <w:spacing w:before="36" w:after="36"/>
              <w:jc w:val="center"/>
              <w:rPr>
                <w:sz w:val="18"/>
                <w:szCs w:val="18"/>
              </w:rPr>
            </w:pPr>
            <w:r>
              <w:rPr>
                <w:rFonts w:hint="eastAsia"/>
                <w:sz w:val="18"/>
                <w:szCs w:val="18"/>
              </w:rPr>
              <w:t>2</w:t>
            </w:r>
          </w:p>
        </w:tc>
        <w:tc>
          <w:tcPr>
            <w:tcW w:w="3336" w:type="dxa"/>
            <w:vAlign w:val="center"/>
          </w:tcPr>
          <w:p>
            <w:pPr>
              <w:topLinePunct/>
              <w:spacing w:before="36" w:after="36"/>
              <w:jc w:val="center"/>
              <w:rPr>
                <w:sz w:val="18"/>
                <w:szCs w:val="18"/>
              </w:rPr>
            </w:pPr>
          </w:p>
        </w:tc>
        <w:tc>
          <w:tcPr>
            <w:tcW w:w="2773" w:type="dxa"/>
            <w:vAlign w:val="center"/>
          </w:tcPr>
          <w:p>
            <w:pPr>
              <w:topLinePunct/>
              <w:spacing w:before="36" w:after="36"/>
              <w:jc w:val="center"/>
              <w:rPr>
                <w:sz w:val="18"/>
                <w:szCs w:val="18"/>
              </w:rPr>
            </w:pPr>
          </w:p>
        </w:tc>
        <w:tc>
          <w:tcPr>
            <w:tcW w:w="1039" w:type="dxa"/>
            <w:vAlign w:val="center"/>
          </w:tcPr>
          <w:p>
            <w:pPr>
              <w:topLinePunct/>
              <w:spacing w:before="36" w:after="36"/>
              <w:jc w:val="center"/>
              <w:rPr>
                <w:sz w:val="18"/>
                <w:szCs w:val="18"/>
              </w:rPr>
            </w:pPr>
          </w:p>
        </w:tc>
        <w:tc>
          <w:tcPr>
            <w:tcW w:w="937" w:type="dxa"/>
            <w:vAlign w:val="center"/>
          </w:tcPr>
          <w:p>
            <w:pPr>
              <w:topLinePunct/>
              <w:spacing w:before="36" w:after="36"/>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157" w:type="dxa"/>
            <w:vAlign w:val="center"/>
          </w:tcPr>
          <w:p>
            <w:pPr>
              <w:topLinePunct/>
              <w:spacing w:before="36" w:after="36"/>
              <w:jc w:val="center"/>
              <w:rPr>
                <w:sz w:val="18"/>
                <w:szCs w:val="18"/>
              </w:rPr>
            </w:pPr>
            <w:r>
              <w:rPr>
                <w:rFonts w:hint="eastAsia"/>
                <w:sz w:val="18"/>
                <w:szCs w:val="18"/>
              </w:rPr>
              <w:t>3</w:t>
            </w:r>
          </w:p>
        </w:tc>
        <w:tc>
          <w:tcPr>
            <w:tcW w:w="3336" w:type="dxa"/>
            <w:vAlign w:val="center"/>
          </w:tcPr>
          <w:p>
            <w:pPr>
              <w:topLinePunct/>
              <w:spacing w:before="36" w:after="36"/>
              <w:jc w:val="center"/>
              <w:rPr>
                <w:sz w:val="18"/>
                <w:szCs w:val="18"/>
              </w:rPr>
            </w:pPr>
          </w:p>
        </w:tc>
        <w:tc>
          <w:tcPr>
            <w:tcW w:w="2773" w:type="dxa"/>
            <w:vAlign w:val="center"/>
          </w:tcPr>
          <w:p>
            <w:pPr>
              <w:topLinePunct/>
              <w:spacing w:before="36" w:after="36"/>
              <w:jc w:val="center"/>
              <w:rPr>
                <w:sz w:val="18"/>
                <w:szCs w:val="18"/>
              </w:rPr>
            </w:pPr>
          </w:p>
        </w:tc>
        <w:tc>
          <w:tcPr>
            <w:tcW w:w="1039" w:type="dxa"/>
            <w:vAlign w:val="center"/>
          </w:tcPr>
          <w:p>
            <w:pPr>
              <w:topLinePunct/>
              <w:spacing w:before="36" w:after="36"/>
              <w:jc w:val="center"/>
              <w:rPr>
                <w:sz w:val="18"/>
                <w:szCs w:val="18"/>
              </w:rPr>
            </w:pPr>
          </w:p>
        </w:tc>
        <w:tc>
          <w:tcPr>
            <w:tcW w:w="937" w:type="dxa"/>
            <w:vAlign w:val="center"/>
          </w:tcPr>
          <w:p>
            <w:pPr>
              <w:topLinePunct/>
              <w:spacing w:before="36" w:after="36"/>
              <w:jc w:val="center"/>
              <w:rPr>
                <w:sz w:val="18"/>
                <w:szCs w:val="18"/>
              </w:rPr>
            </w:pPr>
          </w:p>
        </w:tc>
      </w:tr>
    </w:tbl>
    <w:p>
      <w:pPr>
        <w:pStyle w:val="3"/>
        <w:topLinePunct/>
        <w:spacing w:before="0" w:after="0" w:line="240" w:lineRule="auto"/>
        <w:ind w:firstLine="420"/>
        <w:rPr>
          <w:rFonts w:eastAsia="宋体"/>
          <w:sz w:val="21"/>
          <w:szCs w:val="21"/>
        </w:rPr>
      </w:pPr>
      <w:bookmarkStart w:id="102" w:name="_Toc253134755"/>
      <w:bookmarkStart w:id="103" w:name="_Toc24031"/>
      <w:r>
        <w:rPr>
          <w:rFonts w:hint="eastAsia" w:eastAsia="宋体"/>
          <w:sz w:val="21"/>
          <w:szCs w:val="21"/>
        </w:rPr>
        <w:t>7.4  销售及运行业绩表</w:t>
      </w:r>
      <w:bookmarkEnd w:id="102"/>
      <w:bookmarkEnd w:id="103"/>
    </w:p>
    <w:p>
      <w:pPr>
        <w:pStyle w:val="140"/>
        <w:rPr>
          <w:rFonts w:eastAsia="宋体"/>
        </w:rPr>
      </w:pPr>
      <w:r>
        <w:rPr>
          <w:rFonts w:hint="eastAsia" w:eastAsia="宋体"/>
        </w:rPr>
        <w:t>表7-4 销售及运行业绩表</w:t>
      </w:r>
      <w:bookmarkEnd w:id="96"/>
    </w:p>
    <w:tbl>
      <w:tblPr>
        <w:tblStyle w:val="62"/>
        <w:tblW w:w="92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212"/>
        <w:gridCol w:w="739"/>
        <w:gridCol w:w="1063"/>
        <w:gridCol w:w="1590"/>
        <w:gridCol w:w="1941"/>
        <w:gridCol w:w="1211"/>
        <w:gridCol w:w="7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topLinePunct/>
              <w:spacing w:before="20" w:after="20"/>
              <w:jc w:val="center"/>
              <w:rPr>
                <w:sz w:val="18"/>
                <w:szCs w:val="18"/>
              </w:rPr>
            </w:pPr>
            <w:r>
              <w:rPr>
                <w:rFonts w:hint="eastAsia"/>
                <w:sz w:val="18"/>
                <w:szCs w:val="18"/>
              </w:rPr>
              <w:t>序号</w:t>
            </w:r>
          </w:p>
        </w:tc>
        <w:tc>
          <w:tcPr>
            <w:tcW w:w="1212" w:type="dxa"/>
            <w:vAlign w:val="center"/>
          </w:tcPr>
          <w:p>
            <w:pPr>
              <w:topLinePunct/>
              <w:spacing w:before="20" w:after="20"/>
              <w:jc w:val="center"/>
              <w:rPr>
                <w:sz w:val="18"/>
                <w:szCs w:val="18"/>
              </w:rPr>
            </w:pPr>
            <w:r>
              <w:rPr>
                <w:rFonts w:hint="eastAsia"/>
                <w:sz w:val="18"/>
                <w:szCs w:val="18"/>
              </w:rPr>
              <w:t>型号规格</w:t>
            </w:r>
          </w:p>
        </w:tc>
        <w:tc>
          <w:tcPr>
            <w:tcW w:w="739" w:type="dxa"/>
            <w:vAlign w:val="center"/>
          </w:tcPr>
          <w:p>
            <w:pPr>
              <w:topLinePunct/>
              <w:spacing w:before="20" w:after="20"/>
              <w:jc w:val="center"/>
              <w:rPr>
                <w:sz w:val="18"/>
                <w:szCs w:val="18"/>
              </w:rPr>
            </w:pPr>
            <w:r>
              <w:rPr>
                <w:rFonts w:hint="eastAsia"/>
                <w:sz w:val="18"/>
                <w:szCs w:val="18"/>
              </w:rPr>
              <w:t>数量</w:t>
            </w:r>
          </w:p>
        </w:tc>
        <w:tc>
          <w:tcPr>
            <w:tcW w:w="1063" w:type="dxa"/>
            <w:vAlign w:val="center"/>
          </w:tcPr>
          <w:p>
            <w:pPr>
              <w:topLinePunct/>
              <w:spacing w:before="20" w:after="20"/>
              <w:jc w:val="center"/>
              <w:rPr>
                <w:sz w:val="18"/>
                <w:szCs w:val="18"/>
              </w:rPr>
            </w:pPr>
            <w:r>
              <w:rPr>
                <w:rFonts w:hint="eastAsia"/>
                <w:sz w:val="18"/>
                <w:szCs w:val="18"/>
              </w:rPr>
              <w:t>用户单位</w:t>
            </w:r>
          </w:p>
        </w:tc>
        <w:tc>
          <w:tcPr>
            <w:tcW w:w="1590" w:type="dxa"/>
            <w:vAlign w:val="center"/>
          </w:tcPr>
          <w:p>
            <w:pPr>
              <w:topLinePunct/>
              <w:spacing w:before="20" w:after="20"/>
              <w:jc w:val="center"/>
              <w:rPr>
                <w:sz w:val="18"/>
                <w:szCs w:val="18"/>
              </w:rPr>
            </w:pPr>
            <w:r>
              <w:rPr>
                <w:rFonts w:hint="eastAsia"/>
                <w:sz w:val="18"/>
                <w:szCs w:val="18"/>
              </w:rPr>
              <w:t>用户联系人</w:t>
            </w:r>
          </w:p>
        </w:tc>
        <w:tc>
          <w:tcPr>
            <w:tcW w:w="1941" w:type="dxa"/>
            <w:vAlign w:val="center"/>
          </w:tcPr>
          <w:p>
            <w:pPr>
              <w:topLinePunct/>
              <w:spacing w:before="20" w:after="20"/>
              <w:jc w:val="center"/>
              <w:rPr>
                <w:sz w:val="18"/>
                <w:szCs w:val="18"/>
              </w:rPr>
            </w:pPr>
            <w:r>
              <w:rPr>
                <w:rFonts w:hint="eastAsia"/>
                <w:sz w:val="18"/>
                <w:szCs w:val="18"/>
              </w:rPr>
              <w:t>用户联系人电话</w:t>
            </w:r>
          </w:p>
        </w:tc>
        <w:tc>
          <w:tcPr>
            <w:tcW w:w="1211" w:type="dxa"/>
            <w:vAlign w:val="center"/>
          </w:tcPr>
          <w:p>
            <w:pPr>
              <w:topLinePunct/>
              <w:spacing w:before="20" w:after="20"/>
              <w:jc w:val="center"/>
              <w:rPr>
                <w:sz w:val="18"/>
                <w:szCs w:val="18"/>
              </w:rPr>
            </w:pPr>
            <w:r>
              <w:rPr>
                <w:rFonts w:hint="eastAsia"/>
                <w:sz w:val="18"/>
                <w:szCs w:val="18"/>
              </w:rPr>
              <w:t>投运时间</w:t>
            </w:r>
          </w:p>
        </w:tc>
        <w:tc>
          <w:tcPr>
            <w:tcW w:w="739" w:type="dxa"/>
            <w:vAlign w:val="center"/>
          </w:tcPr>
          <w:p>
            <w:pPr>
              <w:topLinePunct/>
              <w:spacing w:before="20" w:after="20"/>
              <w:jc w:val="center"/>
              <w:rPr>
                <w:sz w:val="18"/>
                <w:szCs w:val="18"/>
              </w:rPr>
            </w:pPr>
            <w:r>
              <w:rPr>
                <w:rFonts w:hint="eastAsia"/>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topLinePunct/>
              <w:spacing w:before="20" w:after="20"/>
              <w:jc w:val="center"/>
              <w:rPr>
                <w:sz w:val="18"/>
                <w:szCs w:val="18"/>
              </w:rPr>
            </w:pPr>
            <w:r>
              <w:rPr>
                <w:rFonts w:hint="eastAsia"/>
                <w:sz w:val="18"/>
                <w:szCs w:val="18"/>
              </w:rPr>
              <w:t>1</w:t>
            </w:r>
          </w:p>
        </w:tc>
        <w:tc>
          <w:tcPr>
            <w:tcW w:w="1212" w:type="dxa"/>
            <w:vAlign w:val="center"/>
          </w:tcPr>
          <w:p>
            <w:pPr>
              <w:topLinePunct/>
              <w:spacing w:before="20" w:after="20"/>
              <w:jc w:val="center"/>
              <w:rPr>
                <w:sz w:val="18"/>
                <w:szCs w:val="18"/>
              </w:rPr>
            </w:pPr>
          </w:p>
        </w:tc>
        <w:tc>
          <w:tcPr>
            <w:tcW w:w="739" w:type="dxa"/>
            <w:vAlign w:val="center"/>
          </w:tcPr>
          <w:p>
            <w:pPr>
              <w:topLinePunct/>
              <w:spacing w:before="20" w:after="20"/>
              <w:jc w:val="center"/>
              <w:rPr>
                <w:sz w:val="18"/>
                <w:szCs w:val="18"/>
              </w:rPr>
            </w:pPr>
          </w:p>
        </w:tc>
        <w:tc>
          <w:tcPr>
            <w:tcW w:w="1063" w:type="dxa"/>
            <w:vAlign w:val="center"/>
          </w:tcPr>
          <w:p>
            <w:pPr>
              <w:topLinePunct/>
              <w:spacing w:before="20" w:after="20"/>
              <w:jc w:val="center"/>
              <w:rPr>
                <w:sz w:val="18"/>
                <w:szCs w:val="18"/>
              </w:rPr>
            </w:pPr>
          </w:p>
        </w:tc>
        <w:tc>
          <w:tcPr>
            <w:tcW w:w="1590" w:type="dxa"/>
            <w:vAlign w:val="center"/>
          </w:tcPr>
          <w:p>
            <w:pPr>
              <w:topLinePunct/>
              <w:spacing w:before="20" w:after="20"/>
              <w:jc w:val="center"/>
              <w:rPr>
                <w:sz w:val="18"/>
                <w:szCs w:val="18"/>
              </w:rPr>
            </w:pPr>
          </w:p>
        </w:tc>
        <w:tc>
          <w:tcPr>
            <w:tcW w:w="1941" w:type="dxa"/>
            <w:vAlign w:val="center"/>
          </w:tcPr>
          <w:p>
            <w:pPr>
              <w:topLinePunct/>
              <w:spacing w:before="20" w:after="20"/>
              <w:jc w:val="center"/>
              <w:rPr>
                <w:sz w:val="18"/>
                <w:szCs w:val="18"/>
              </w:rPr>
            </w:pPr>
          </w:p>
        </w:tc>
        <w:tc>
          <w:tcPr>
            <w:tcW w:w="1211" w:type="dxa"/>
            <w:vAlign w:val="center"/>
          </w:tcPr>
          <w:p>
            <w:pPr>
              <w:topLinePunct/>
              <w:spacing w:before="20" w:after="20"/>
              <w:jc w:val="center"/>
              <w:rPr>
                <w:sz w:val="18"/>
                <w:szCs w:val="18"/>
              </w:rPr>
            </w:pPr>
          </w:p>
        </w:tc>
        <w:tc>
          <w:tcPr>
            <w:tcW w:w="739" w:type="dxa"/>
            <w:vAlign w:val="center"/>
          </w:tcPr>
          <w:p>
            <w:pPr>
              <w:topLinePunct/>
              <w:spacing w:before="20" w:after="2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topLinePunct/>
              <w:spacing w:before="20" w:after="20"/>
              <w:jc w:val="center"/>
              <w:rPr>
                <w:sz w:val="18"/>
                <w:szCs w:val="18"/>
              </w:rPr>
            </w:pPr>
            <w:r>
              <w:rPr>
                <w:rFonts w:hint="eastAsia"/>
                <w:sz w:val="18"/>
                <w:szCs w:val="18"/>
              </w:rPr>
              <w:t>2</w:t>
            </w:r>
          </w:p>
        </w:tc>
        <w:tc>
          <w:tcPr>
            <w:tcW w:w="1212" w:type="dxa"/>
            <w:vAlign w:val="center"/>
          </w:tcPr>
          <w:p>
            <w:pPr>
              <w:topLinePunct/>
              <w:spacing w:before="20" w:after="20"/>
              <w:jc w:val="center"/>
              <w:rPr>
                <w:sz w:val="18"/>
                <w:szCs w:val="18"/>
              </w:rPr>
            </w:pPr>
          </w:p>
        </w:tc>
        <w:tc>
          <w:tcPr>
            <w:tcW w:w="739" w:type="dxa"/>
            <w:vAlign w:val="center"/>
          </w:tcPr>
          <w:p>
            <w:pPr>
              <w:topLinePunct/>
              <w:spacing w:before="20" w:after="20"/>
              <w:jc w:val="center"/>
              <w:rPr>
                <w:sz w:val="18"/>
                <w:szCs w:val="18"/>
              </w:rPr>
            </w:pPr>
          </w:p>
        </w:tc>
        <w:tc>
          <w:tcPr>
            <w:tcW w:w="1063" w:type="dxa"/>
            <w:vAlign w:val="center"/>
          </w:tcPr>
          <w:p>
            <w:pPr>
              <w:topLinePunct/>
              <w:spacing w:before="20" w:after="20"/>
              <w:jc w:val="center"/>
              <w:rPr>
                <w:sz w:val="18"/>
                <w:szCs w:val="18"/>
              </w:rPr>
            </w:pPr>
          </w:p>
        </w:tc>
        <w:tc>
          <w:tcPr>
            <w:tcW w:w="1590" w:type="dxa"/>
            <w:vAlign w:val="center"/>
          </w:tcPr>
          <w:p>
            <w:pPr>
              <w:topLinePunct/>
              <w:spacing w:before="20" w:after="20"/>
              <w:jc w:val="center"/>
              <w:rPr>
                <w:sz w:val="18"/>
                <w:szCs w:val="18"/>
              </w:rPr>
            </w:pPr>
          </w:p>
        </w:tc>
        <w:tc>
          <w:tcPr>
            <w:tcW w:w="1941" w:type="dxa"/>
            <w:vAlign w:val="center"/>
          </w:tcPr>
          <w:p>
            <w:pPr>
              <w:topLinePunct/>
              <w:spacing w:before="20" w:after="20"/>
              <w:jc w:val="center"/>
              <w:rPr>
                <w:sz w:val="18"/>
                <w:szCs w:val="18"/>
              </w:rPr>
            </w:pPr>
          </w:p>
        </w:tc>
        <w:tc>
          <w:tcPr>
            <w:tcW w:w="1211" w:type="dxa"/>
            <w:vAlign w:val="center"/>
          </w:tcPr>
          <w:p>
            <w:pPr>
              <w:topLinePunct/>
              <w:spacing w:before="20" w:after="20"/>
              <w:jc w:val="center"/>
              <w:rPr>
                <w:sz w:val="18"/>
                <w:szCs w:val="18"/>
              </w:rPr>
            </w:pPr>
          </w:p>
        </w:tc>
        <w:tc>
          <w:tcPr>
            <w:tcW w:w="739" w:type="dxa"/>
            <w:vAlign w:val="center"/>
          </w:tcPr>
          <w:p>
            <w:pPr>
              <w:topLinePunct/>
              <w:spacing w:before="20" w:after="20"/>
              <w:jc w:val="center"/>
              <w:rPr>
                <w:sz w:val="18"/>
                <w:szCs w:val="18"/>
              </w:rPr>
            </w:pPr>
          </w:p>
        </w:tc>
      </w:tr>
    </w:tbl>
    <w:p>
      <w:pPr>
        <w:pStyle w:val="3"/>
        <w:topLinePunct/>
        <w:spacing w:before="0" w:after="0" w:line="240" w:lineRule="auto"/>
        <w:ind w:firstLine="420"/>
        <w:rPr>
          <w:rFonts w:eastAsia="宋体"/>
          <w:sz w:val="21"/>
          <w:szCs w:val="21"/>
        </w:rPr>
      </w:pPr>
      <w:bookmarkStart w:id="104" w:name="_Toc250720821"/>
      <w:bookmarkStart w:id="105" w:name="_Toc253134756"/>
      <w:bookmarkStart w:id="106" w:name="_Toc29875"/>
      <w:r>
        <w:rPr>
          <w:rFonts w:hint="eastAsia" w:eastAsia="宋体"/>
          <w:sz w:val="21"/>
          <w:szCs w:val="21"/>
        </w:rPr>
        <w:t>7.5 用户使用情况证明或有关合同证明材料</w:t>
      </w:r>
      <w:bookmarkEnd w:id="104"/>
      <w:bookmarkEnd w:id="105"/>
      <w:bookmarkEnd w:id="106"/>
    </w:p>
    <w:p/>
    <w:p>
      <w:r>
        <w:rPr>
          <w:rFonts w:hint="eastAsia"/>
        </w:rPr>
        <w:t>无</w:t>
      </w:r>
    </w:p>
    <w:p>
      <w:pPr>
        <w:pStyle w:val="3"/>
        <w:topLinePunct/>
        <w:spacing w:before="0" w:after="0" w:line="240" w:lineRule="auto"/>
        <w:ind w:firstLine="420"/>
        <w:rPr>
          <w:rFonts w:eastAsia="宋体"/>
          <w:sz w:val="21"/>
          <w:szCs w:val="21"/>
        </w:rPr>
      </w:pPr>
      <w:bookmarkStart w:id="107" w:name="_Toc253134757"/>
      <w:bookmarkStart w:id="108" w:name="_Toc25236"/>
      <w:bookmarkStart w:id="109" w:name="_Toc250720822"/>
      <w:r>
        <w:rPr>
          <w:rFonts w:hint="eastAsia" w:eastAsia="宋体"/>
          <w:sz w:val="21"/>
          <w:szCs w:val="21"/>
        </w:rPr>
        <w:t>7.6本投标产品其他有关资料及说明</w:t>
      </w:r>
      <w:bookmarkEnd w:id="70"/>
      <w:bookmarkEnd w:id="107"/>
      <w:bookmarkEnd w:id="108"/>
      <w:bookmarkEnd w:id="109"/>
    </w:p>
    <w:p>
      <w:pPr>
        <w:rPr>
          <w:szCs w:val="21"/>
        </w:rPr>
      </w:pPr>
      <w:r>
        <w:rPr>
          <w:rFonts w:hint="eastAsia"/>
          <w:szCs w:val="21"/>
        </w:rPr>
        <w:t>无</w:t>
      </w:r>
    </w:p>
    <w:sectPr>
      <w:footerReference r:id="rId3" w:type="default"/>
      <w:footerReference r:id="rId4" w:type="even"/>
      <w:pgSz w:w="11906" w:h="16838"/>
      <w:pgMar w:top="1440" w:right="1797" w:bottom="1440" w:left="1797"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HJOHK M+ Times">
    <w:altName w:val="宋体"/>
    <w:panose1 w:val="00000000000000000000"/>
    <w:charset w:val="86"/>
    <w:family w:val="roman"/>
    <w:pitch w:val="default"/>
    <w:sig w:usb0="00000000" w:usb1="00000000" w:usb2="00000010" w:usb3="00000000" w:csb0="00040000" w:csb1="00000000"/>
  </w:font>
  <w:font w:name="Cambria Math">
    <w:altName w:val="Segoe Print"/>
    <w:panose1 w:val="02040503050406030204"/>
    <w:charset w:val="00"/>
    <w:family w:val="roman"/>
    <w:pitch w:val="default"/>
    <w:sig w:usb0="00000000" w:usb1="00000000" w:usb2="02000000"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rPr>
        <w:rStyle w:val="109"/>
      </w:rPr>
    </w:pPr>
    <w:r>
      <w:rPr>
        <w:rStyle w:val="109"/>
      </w:rPr>
      <w:fldChar w:fldCharType="begin"/>
    </w:r>
    <w:r>
      <w:rPr>
        <w:rStyle w:val="109"/>
      </w:rPr>
      <w:instrText xml:space="preserve">PAGE  </w:instrText>
    </w:r>
    <w:r>
      <w:rPr>
        <w:rStyle w:val="109"/>
      </w:rPr>
      <w:fldChar w:fldCharType="separate"/>
    </w:r>
    <w:r>
      <w:rPr>
        <w:rStyle w:val="109"/>
      </w:rPr>
      <w:t>5</w:t>
    </w:r>
    <w:r>
      <w:rPr>
        <w:rStyle w:val="109"/>
      </w:rPr>
      <w:fldChar w:fldCharType="end"/>
    </w:r>
  </w:p>
  <w:p>
    <w:pPr>
      <w:pStyle w:val="4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center" w:y="1"/>
      <w:rPr>
        <w:rStyle w:val="109"/>
      </w:rPr>
    </w:pPr>
    <w:r>
      <w:rPr>
        <w:rStyle w:val="109"/>
      </w:rPr>
      <w:fldChar w:fldCharType="begin"/>
    </w:r>
    <w:r>
      <w:rPr>
        <w:rStyle w:val="109"/>
      </w:rPr>
      <w:instrText xml:space="preserve">PAGE  </w:instrText>
    </w:r>
    <w:r>
      <w:rPr>
        <w:rStyle w:val="109"/>
      </w:rPr>
      <w:fldChar w:fldCharType="end"/>
    </w:r>
  </w:p>
  <w:p>
    <w:pPr>
      <w:pStyle w:val="40"/>
      <w:jc w:val="center"/>
    </w:pPr>
    <w:r>
      <w:rPr>
        <w:kern w:val="0"/>
        <w:szCs w:val="21"/>
      </w:rPr>
      <w:t>-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47"/>
      <w:lvlText w:val="%1."/>
      <w:lvlJc w:val="left"/>
      <w:pPr>
        <w:tabs>
          <w:tab w:val="left" w:pos="2040"/>
        </w:tabs>
        <w:ind w:left="2040" w:hanging="360"/>
      </w:pPr>
    </w:lvl>
  </w:abstractNum>
  <w:abstractNum w:abstractNumId="1">
    <w:nsid w:val="FFFFFF7D"/>
    <w:multiLevelType w:val="singleLevel"/>
    <w:tmpl w:val="FFFFFF7D"/>
    <w:lvl w:ilvl="0" w:tentative="0">
      <w:start w:val="1"/>
      <w:numFmt w:val="decimal"/>
      <w:pStyle w:val="35"/>
      <w:lvlText w:val="%1."/>
      <w:lvlJc w:val="left"/>
      <w:pPr>
        <w:tabs>
          <w:tab w:val="left" w:pos="1620"/>
        </w:tabs>
        <w:ind w:left="1620" w:hanging="360"/>
      </w:pPr>
    </w:lvl>
  </w:abstractNum>
  <w:abstractNum w:abstractNumId="2">
    <w:nsid w:val="FFFFFF7E"/>
    <w:multiLevelType w:val="singleLevel"/>
    <w:tmpl w:val="FFFFFF7E"/>
    <w:lvl w:ilvl="0" w:tentative="0">
      <w:start w:val="1"/>
      <w:numFmt w:val="decimal"/>
      <w:pStyle w:val="27"/>
      <w:lvlText w:val="%1."/>
      <w:lvlJc w:val="left"/>
      <w:pPr>
        <w:tabs>
          <w:tab w:val="left" w:pos="1200"/>
        </w:tabs>
        <w:ind w:left="1200" w:hanging="360"/>
      </w:pPr>
    </w:lvl>
  </w:abstractNum>
  <w:abstractNum w:abstractNumId="3">
    <w:nsid w:val="FFFFFF7F"/>
    <w:multiLevelType w:val="singleLevel"/>
    <w:tmpl w:val="FFFFFF7F"/>
    <w:lvl w:ilvl="0" w:tentative="0">
      <w:start w:val="1"/>
      <w:numFmt w:val="decimal"/>
      <w:pStyle w:val="12"/>
      <w:lvlText w:val="%1."/>
      <w:lvlJc w:val="left"/>
      <w:pPr>
        <w:tabs>
          <w:tab w:val="left" w:pos="780"/>
        </w:tabs>
        <w:ind w:left="780" w:hanging="360"/>
      </w:pPr>
    </w:lvl>
  </w:abstractNum>
  <w:abstractNum w:abstractNumId="4">
    <w:nsid w:val="FFFFFF80"/>
    <w:multiLevelType w:val="singleLevel"/>
    <w:tmpl w:val="FFFFFF80"/>
    <w:lvl w:ilvl="0" w:tentative="0">
      <w:start w:val="1"/>
      <w:numFmt w:val="bullet"/>
      <w:pStyle w:val="34"/>
      <w:lvlText w:val=""/>
      <w:lvlJc w:val="left"/>
      <w:pPr>
        <w:tabs>
          <w:tab w:val="left" w:pos="2040"/>
        </w:tabs>
        <w:ind w:left="2040" w:hanging="360"/>
      </w:pPr>
      <w:rPr>
        <w:rFonts w:hint="default" w:ascii="Times New Roman" w:hAnsi="Times New Roman"/>
      </w:rPr>
    </w:lvl>
  </w:abstractNum>
  <w:abstractNum w:abstractNumId="5">
    <w:nsid w:val="FFFFFF81"/>
    <w:multiLevelType w:val="singleLevel"/>
    <w:tmpl w:val="FFFFFF81"/>
    <w:lvl w:ilvl="0" w:tentative="0">
      <w:start w:val="1"/>
      <w:numFmt w:val="bullet"/>
      <w:pStyle w:val="14"/>
      <w:lvlText w:val=""/>
      <w:lvlJc w:val="left"/>
      <w:pPr>
        <w:tabs>
          <w:tab w:val="left" w:pos="1620"/>
        </w:tabs>
        <w:ind w:left="1620" w:hanging="360"/>
      </w:pPr>
      <w:rPr>
        <w:rFonts w:hint="default" w:ascii="Times New Roman" w:hAnsi="Times New Roman"/>
      </w:rPr>
    </w:lvl>
  </w:abstractNum>
  <w:abstractNum w:abstractNumId="6">
    <w:nsid w:val="FFFFFF82"/>
    <w:multiLevelType w:val="singleLevel"/>
    <w:tmpl w:val="FFFFFF82"/>
    <w:lvl w:ilvl="0" w:tentative="0">
      <w:start w:val="1"/>
      <w:numFmt w:val="bullet"/>
      <w:pStyle w:val="24"/>
      <w:lvlText w:val=""/>
      <w:lvlJc w:val="left"/>
      <w:pPr>
        <w:tabs>
          <w:tab w:val="left" w:pos="1200"/>
        </w:tabs>
        <w:ind w:left="1200" w:hanging="360"/>
      </w:pPr>
      <w:rPr>
        <w:rFonts w:hint="default" w:ascii="Times New Roman" w:hAnsi="Times New Roman"/>
      </w:rPr>
    </w:lvl>
  </w:abstractNum>
  <w:abstractNum w:abstractNumId="7">
    <w:nsid w:val="FFFFFF83"/>
    <w:multiLevelType w:val="singleLevel"/>
    <w:tmpl w:val="FFFFFF83"/>
    <w:lvl w:ilvl="0" w:tentative="0">
      <w:start w:val="1"/>
      <w:numFmt w:val="bullet"/>
      <w:pStyle w:val="31"/>
      <w:lvlText w:val=""/>
      <w:lvlJc w:val="left"/>
      <w:pPr>
        <w:tabs>
          <w:tab w:val="left" w:pos="780"/>
        </w:tabs>
        <w:ind w:left="780" w:hanging="360"/>
      </w:pPr>
      <w:rPr>
        <w:rFonts w:hint="default" w:ascii="Times New Roman" w:hAnsi="Times New Roman"/>
      </w:rPr>
    </w:lvl>
  </w:abstractNum>
  <w:abstractNum w:abstractNumId="8">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18"/>
      <w:lvlText w:val=""/>
      <w:lvlJc w:val="left"/>
      <w:pPr>
        <w:tabs>
          <w:tab w:val="left" w:pos="360"/>
        </w:tabs>
        <w:ind w:left="360" w:hanging="360"/>
      </w:pPr>
      <w:rPr>
        <w:rFonts w:hint="default" w:ascii="Times New Roman" w:hAnsi="Times New Roman"/>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hideSpellingErrors/>
  <w:hideGrammatical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0YmU1OWFiZjkzNzUwM2RiZDE2NzEwMWQ2YWI2YmUifQ=="/>
  </w:docVars>
  <w:rsids>
    <w:rsidRoot w:val="00DA3631"/>
    <w:rsid w:val="000004C9"/>
    <w:rsid w:val="00000E2C"/>
    <w:rsid w:val="0000160F"/>
    <w:rsid w:val="00002F94"/>
    <w:rsid w:val="000030CF"/>
    <w:rsid w:val="0000343C"/>
    <w:rsid w:val="00003FFC"/>
    <w:rsid w:val="00004EC4"/>
    <w:rsid w:val="000060EA"/>
    <w:rsid w:val="000062D6"/>
    <w:rsid w:val="0001032C"/>
    <w:rsid w:val="0001226F"/>
    <w:rsid w:val="00013FF7"/>
    <w:rsid w:val="0001639A"/>
    <w:rsid w:val="00016DFC"/>
    <w:rsid w:val="0002054D"/>
    <w:rsid w:val="0002081A"/>
    <w:rsid w:val="00024451"/>
    <w:rsid w:val="000252E3"/>
    <w:rsid w:val="000254BA"/>
    <w:rsid w:val="00026B4A"/>
    <w:rsid w:val="0002700D"/>
    <w:rsid w:val="0003101C"/>
    <w:rsid w:val="000314BD"/>
    <w:rsid w:val="000320BD"/>
    <w:rsid w:val="00032758"/>
    <w:rsid w:val="000356DB"/>
    <w:rsid w:val="0003648E"/>
    <w:rsid w:val="0003684C"/>
    <w:rsid w:val="00037293"/>
    <w:rsid w:val="0003774D"/>
    <w:rsid w:val="0004010A"/>
    <w:rsid w:val="000419AD"/>
    <w:rsid w:val="00041E98"/>
    <w:rsid w:val="000445E2"/>
    <w:rsid w:val="00045690"/>
    <w:rsid w:val="0004636D"/>
    <w:rsid w:val="00046523"/>
    <w:rsid w:val="000466ED"/>
    <w:rsid w:val="00046EE0"/>
    <w:rsid w:val="000505B8"/>
    <w:rsid w:val="000511F4"/>
    <w:rsid w:val="00051608"/>
    <w:rsid w:val="00052B1A"/>
    <w:rsid w:val="00052B73"/>
    <w:rsid w:val="000540C6"/>
    <w:rsid w:val="000551DC"/>
    <w:rsid w:val="00055BA0"/>
    <w:rsid w:val="0006173B"/>
    <w:rsid w:val="000635CC"/>
    <w:rsid w:val="000662A0"/>
    <w:rsid w:val="000665F6"/>
    <w:rsid w:val="00067285"/>
    <w:rsid w:val="00072298"/>
    <w:rsid w:val="000730A6"/>
    <w:rsid w:val="000748D3"/>
    <w:rsid w:val="00076BB6"/>
    <w:rsid w:val="000776BF"/>
    <w:rsid w:val="00077C49"/>
    <w:rsid w:val="0008081C"/>
    <w:rsid w:val="00080DEE"/>
    <w:rsid w:val="000812B5"/>
    <w:rsid w:val="00081554"/>
    <w:rsid w:val="0008162D"/>
    <w:rsid w:val="00084DAD"/>
    <w:rsid w:val="00090633"/>
    <w:rsid w:val="00090742"/>
    <w:rsid w:val="00090898"/>
    <w:rsid w:val="000943E7"/>
    <w:rsid w:val="000949E6"/>
    <w:rsid w:val="0009544C"/>
    <w:rsid w:val="000957D1"/>
    <w:rsid w:val="00096643"/>
    <w:rsid w:val="000A1788"/>
    <w:rsid w:val="000A4925"/>
    <w:rsid w:val="000A4C73"/>
    <w:rsid w:val="000A5D56"/>
    <w:rsid w:val="000B0E82"/>
    <w:rsid w:val="000B164A"/>
    <w:rsid w:val="000B239A"/>
    <w:rsid w:val="000B5213"/>
    <w:rsid w:val="000B6882"/>
    <w:rsid w:val="000B78BE"/>
    <w:rsid w:val="000C11AF"/>
    <w:rsid w:val="000C1223"/>
    <w:rsid w:val="000C3D77"/>
    <w:rsid w:val="000C40CD"/>
    <w:rsid w:val="000C530E"/>
    <w:rsid w:val="000D16CF"/>
    <w:rsid w:val="000D1F63"/>
    <w:rsid w:val="000D28D8"/>
    <w:rsid w:val="000D2C52"/>
    <w:rsid w:val="000D41C1"/>
    <w:rsid w:val="000D4BE3"/>
    <w:rsid w:val="000D5880"/>
    <w:rsid w:val="000E0B08"/>
    <w:rsid w:val="000E170E"/>
    <w:rsid w:val="000E21D7"/>
    <w:rsid w:val="000E43EA"/>
    <w:rsid w:val="000E4AA2"/>
    <w:rsid w:val="000E5618"/>
    <w:rsid w:val="000E6CDB"/>
    <w:rsid w:val="000F0AA5"/>
    <w:rsid w:val="000F12BE"/>
    <w:rsid w:val="000F3FC1"/>
    <w:rsid w:val="000F444F"/>
    <w:rsid w:val="000F481B"/>
    <w:rsid w:val="000F4B85"/>
    <w:rsid w:val="000F501D"/>
    <w:rsid w:val="000F5C10"/>
    <w:rsid w:val="000F5FD4"/>
    <w:rsid w:val="00100DCD"/>
    <w:rsid w:val="00100F75"/>
    <w:rsid w:val="00104B1D"/>
    <w:rsid w:val="00104F9E"/>
    <w:rsid w:val="00105653"/>
    <w:rsid w:val="0010654D"/>
    <w:rsid w:val="00107C7B"/>
    <w:rsid w:val="00110237"/>
    <w:rsid w:val="001111B6"/>
    <w:rsid w:val="00111E0C"/>
    <w:rsid w:val="00112DD0"/>
    <w:rsid w:val="001133DA"/>
    <w:rsid w:val="0011622D"/>
    <w:rsid w:val="00117DC1"/>
    <w:rsid w:val="001209B3"/>
    <w:rsid w:val="00122820"/>
    <w:rsid w:val="00122895"/>
    <w:rsid w:val="00123E9F"/>
    <w:rsid w:val="00124560"/>
    <w:rsid w:val="00124686"/>
    <w:rsid w:val="00125542"/>
    <w:rsid w:val="001324A5"/>
    <w:rsid w:val="00133DDD"/>
    <w:rsid w:val="00133DFA"/>
    <w:rsid w:val="001341BF"/>
    <w:rsid w:val="0013497B"/>
    <w:rsid w:val="00134B25"/>
    <w:rsid w:val="00134C60"/>
    <w:rsid w:val="0014111D"/>
    <w:rsid w:val="0014164D"/>
    <w:rsid w:val="00141D08"/>
    <w:rsid w:val="00143576"/>
    <w:rsid w:val="00144872"/>
    <w:rsid w:val="00144C7D"/>
    <w:rsid w:val="00144FB1"/>
    <w:rsid w:val="00145C04"/>
    <w:rsid w:val="001461D2"/>
    <w:rsid w:val="001472D0"/>
    <w:rsid w:val="0015091E"/>
    <w:rsid w:val="0015116D"/>
    <w:rsid w:val="001548DB"/>
    <w:rsid w:val="0015556B"/>
    <w:rsid w:val="00157405"/>
    <w:rsid w:val="00157CA8"/>
    <w:rsid w:val="001611E1"/>
    <w:rsid w:val="0016272B"/>
    <w:rsid w:val="00163452"/>
    <w:rsid w:val="00172349"/>
    <w:rsid w:val="00172A47"/>
    <w:rsid w:val="0017526E"/>
    <w:rsid w:val="00175749"/>
    <w:rsid w:val="00176667"/>
    <w:rsid w:val="00177AD6"/>
    <w:rsid w:val="001807A9"/>
    <w:rsid w:val="0018190D"/>
    <w:rsid w:val="00182E96"/>
    <w:rsid w:val="0018428D"/>
    <w:rsid w:val="00187142"/>
    <w:rsid w:val="0018717F"/>
    <w:rsid w:val="001900C9"/>
    <w:rsid w:val="001918A8"/>
    <w:rsid w:val="00191DDE"/>
    <w:rsid w:val="0019336B"/>
    <w:rsid w:val="001946BE"/>
    <w:rsid w:val="001949EE"/>
    <w:rsid w:val="00194B1E"/>
    <w:rsid w:val="0019655D"/>
    <w:rsid w:val="001968FA"/>
    <w:rsid w:val="001A0D88"/>
    <w:rsid w:val="001A1757"/>
    <w:rsid w:val="001A2909"/>
    <w:rsid w:val="001A4217"/>
    <w:rsid w:val="001B0062"/>
    <w:rsid w:val="001B056C"/>
    <w:rsid w:val="001B068F"/>
    <w:rsid w:val="001B116A"/>
    <w:rsid w:val="001B466A"/>
    <w:rsid w:val="001B4DF6"/>
    <w:rsid w:val="001B55BB"/>
    <w:rsid w:val="001B7406"/>
    <w:rsid w:val="001C0F79"/>
    <w:rsid w:val="001C1187"/>
    <w:rsid w:val="001C254D"/>
    <w:rsid w:val="001C2B56"/>
    <w:rsid w:val="001C2D5E"/>
    <w:rsid w:val="001C2E51"/>
    <w:rsid w:val="001C37D3"/>
    <w:rsid w:val="001C487A"/>
    <w:rsid w:val="001C526F"/>
    <w:rsid w:val="001D0689"/>
    <w:rsid w:val="001D0991"/>
    <w:rsid w:val="001D17A8"/>
    <w:rsid w:val="001D17AF"/>
    <w:rsid w:val="001D2D3F"/>
    <w:rsid w:val="001D35FE"/>
    <w:rsid w:val="001E0D90"/>
    <w:rsid w:val="001E1877"/>
    <w:rsid w:val="001E2272"/>
    <w:rsid w:val="001E39B6"/>
    <w:rsid w:val="001E39FA"/>
    <w:rsid w:val="001E45B5"/>
    <w:rsid w:val="001F0E8E"/>
    <w:rsid w:val="001F1851"/>
    <w:rsid w:val="001F253D"/>
    <w:rsid w:val="001F4F68"/>
    <w:rsid w:val="001F5722"/>
    <w:rsid w:val="001F624C"/>
    <w:rsid w:val="001F6CB3"/>
    <w:rsid w:val="00202FF0"/>
    <w:rsid w:val="0020484D"/>
    <w:rsid w:val="002053EE"/>
    <w:rsid w:val="00205CA4"/>
    <w:rsid w:val="002069F1"/>
    <w:rsid w:val="00206ED4"/>
    <w:rsid w:val="00211441"/>
    <w:rsid w:val="002147DD"/>
    <w:rsid w:val="0021586C"/>
    <w:rsid w:val="0021634F"/>
    <w:rsid w:val="0022000C"/>
    <w:rsid w:val="00222B84"/>
    <w:rsid w:val="00222D90"/>
    <w:rsid w:val="002263DD"/>
    <w:rsid w:val="00227AB5"/>
    <w:rsid w:val="00231467"/>
    <w:rsid w:val="00231BD2"/>
    <w:rsid w:val="00232219"/>
    <w:rsid w:val="00232EFD"/>
    <w:rsid w:val="00234065"/>
    <w:rsid w:val="002367C2"/>
    <w:rsid w:val="00237170"/>
    <w:rsid w:val="00237F41"/>
    <w:rsid w:val="00240410"/>
    <w:rsid w:val="00240E6B"/>
    <w:rsid w:val="002443A2"/>
    <w:rsid w:val="00244EBB"/>
    <w:rsid w:val="00245F07"/>
    <w:rsid w:val="002524F3"/>
    <w:rsid w:val="00252D36"/>
    <w:rsid w:val="0025458C"/>
    <w:rsid w:val="00262A89"/>
    <w:rsid w:val="00264A73"/>
    <w:rsid w:val="00264EF2"/>
    <w:rsid w:val="00265790"/>
    <w:rsid w:val="00266A5F"/>
    <w:rsid w:val="00267D3F"/>
    <w:rsid w:val="00272175"/>
    <w:rsid w:val="002727E1"/>
    <w:rsid w:val="00273367"/>
    <w:rsid w:val="0027510B"/>
    <w:rsid w:val="002779E4"/>
    <w:rsid w:val="00277AFF"/>
    <w:rsid w:val="00280811"/>
    <w:rsid w:val="00282078"/>
    <w:rsid w:val="00284812"/>
    <w:rsid w:val="0029004D"/>
    <w:rsid w:val="00290F76"/>
    <w:rsid w:val="00291505"/>
    <w:rsid w:val="00292BE0"/>
    <w:rsid w:val="002940E0"/>
    <w:rsid w:val="002949DF"/>
    <w:rsid w:val="00295CBE"/>
    <w:rsid w:val="00296A51"/>
    <w:rsid w:val="00297C8E"/>
    <w:rsid w:val="002A02F9"/>
    <w:rsid w:val="002A15AD"/>
    <w:rsid w:val="002A1AB8"/>
    <w:rsid w:val="002A29AF"/>
    <w:rsid w:val="002A4981"/>
    <w:rsid w:val="002A5F4E"/>
    <w:rsid w:val="002B2883"/>
    <w:rsid w:val="002B42D6"/>
    <w:rsid w:val="002B6482"/>
    <w:rsid w:val="002B6529"/>
    <w:rsid w:val="002B6AF6"/>
    <w:rsid w:val="002C093C"/>
    <w:rsid w:val="002C124D"/>
    <w:rsid w:val="002C275D"/>
    <w:rsid w:val="002C29D6"/>
    <w:rsid w:val="002C3807"/>
    <w:rsid w:val="002C5804"/>
    <w:rsid w:val="002C6575"/>
    <w:rsid w:val="002C73B2"/>
    <w:rsid w:val="002D17D2"/>
    <w:rsid w:val="002D1DC8"/>
    <w:rsid w:val="002D3238"/>
    <w:rsid w:val="002E0056"/>
    <w:rsid w:val="002E136E"/>
    <w:rsid w:val="002E2A71"/>
    <w:rsid w:val="002E402E"/>
    <w:rsid w:val="002E4494"/>
    <w:rsid w:val="002E5FE7"/>
    <w:rsid w:val="002E6BB2"/>
    <w:rsid w:val="002E6D27"/>
    <w:rsid w:val="002F0347"/>
    <w:rsid w:val="002F03B3"/>
    <w:rsid w:val="002F23AD"/>
    <w:rsid w:val="002F2D26"/>
    <w:rsid w:val="002F4D50"/>
    <w:rsid w:val="002F580B"/>
    <w:rsid w:val="002F710D"/>
    <w:rsid w:val="002F7969"/>
    <w:rsid w:val="003022CF"/>
    <w:rsid w:val="003034D9"/>
    <w:rsid w:val="0030355D"/>
    <w:rsid w:val="003048BD"/>
    <w:rsid w:val="0030513A"/>
    <w:rsid w:val="003071D6"/>
    <w:rsid w:val="0031181A"/>
    <w:rsid w:val="00312035"/>
    <w:rsid w:val="003125C4"/>
    <w:rsid w:val="0031337E"/>
    <w:rsid w:val="00315EE7"/>
    <w:rsid w:val="00317695"/>
    <w:rsid w:val="003178E8"/>
    <w:rsid w:val="00321375"/>
    <w:rsid w:val="00324729"/>
    <w:rsid w:val="00324A95"/>
    <w:rsid w:val="00326340"/>
    <w:rsid w:val="003311E1"/>
    <w:rsid w:val="00331BC3"/>
    <w:rsid w:val="00332798"/>
    <w:rsid w:val="003331F8"/>
    <w:rsid w:val="0033556F"/>
    <w:rsid w:val="00335918"/>
    <w:rsid w:val="00342FD6"/>
    <w:rsid w:val="00343B52"/>
    <w:rsid w:val="00343BB9"/>
    <w:rsid w:val="00345DF1"/>
    <w:rsid w:val="00345FD8"/>
    <w:rsid w:val="00346CDA"/>
    <w:rsid w:val="003502F3"/>
    <w:rsid w:val="00351EDE"/>
    <w:rsid w:val="00353463"/>
    <w:rsid w:val="00356099"/>
    <w:rsid w:val="00356ABA"/>
    <w:rsid w:val="00356DCC"/>
    <w:rsid w:val="00357276"/>
    <w:rsid w:val="00357D70"/>
    <w:rsid w:val="00357EEB"/>
    <w:rsid w:val="003605A3"/>
    <w:rsid w:val="00362C5B"/>
    <w:rsid w:val="00362E82"/>
    <w:rsid w:val="00362F2D"/>
    <w:rsid w:val="00363BC1"/>
    <w:rsid w:val="00364999"/>
    <w:rsid w:val="00364D5D"/>
    <w:rsid w:val="00365442"/>
    <w:rsid w:val="00365F1D"/>
    <w:rsid w:val="003673A5"/>
    <w:rsid w:val="00367446"/>
    <w:rsid w:val="00367986"/>
    <w:rsid w:val="00374BB9"/>
    <w:rsid w:val="003757DD"/>
    <w:rsid w:val="00376AD0"/>
    <w:rsid w:val="003770CE"/>
    <w:rsid w:val="003807F7"/>
    <w:rsid w:val="00380B68"/>
    <w:rsid w:val="0038237E"/>
    <w:rsid w:val="00382AA6"/>
    <w:rsid w:val="00383A0B"/>
    <w:rsid w:val="003840D2"/>
    <w:rsid w:val="00384FC6"/>
    <w:rsid w:val="0038663F"/>
    <w:rsid w:val="00387E9E"/>
    <w:rsid w:val="00390F5E"/>
    <w:rsid w:val="00392F9D"/>
    <w:rsid w:val="00393DCA"/>
    <w:rsid w:val="0039433B"/>
    <w:rsid w:val="003956F4"/>
    <w:rsid w:val="00396365"/>
    <w:rsid w:val="00396427"/>
    <w:rsid w:val="00397F1C"/>
    <w:rsid w:val="003A0058"/>
    <w:rsid w:val="003A1304"/>
    <w:rsid w:val="003A1923"/>
    <w:rsid w:val="003A4966"/>
    <w:rsid w:val="003A6424"/>
    <w:rsid w:val="003A6664"/>
    <w:rsid w:val="003A6DD2"/>
    <w:rsid w:val="003A7938"/>
    <w:rsid w:val="003A7AE6"/>
    <w:rsid w:val="003B03F8"/>
    <w:rsid w:val="003B1FCA"/>
    <w:rsid w:val="003B331D"/>
    <w:rsid w:val="003B4E6F"/>
    <w:rsid w:val="003B64AA"/>
    <w:rsid w:val="003C0DF9"/>
    <w:rsid w:val="003C5EC5"/>
    <w:rsid w:val="003D044A"/>
    <w:rsid w:val="003D07F8"/>
    <w:rsid w:val="003D1AEC"/>
    <w:rsid w:val="003D38FB"/>
    <w:rsid w:val="003D4B1E"/>
    <w:rsid w:val="003D4B71"/>
    <w:rsid w:val="003D5E16"/>
    <w:rsid w:val="003D646D"/>
    <w:rsid w:val="003D7003"/>
    <w:rsid w:val="003D7336"/>
    <w:rsid w:val="003D7EC4"/>
    <w:rsid w:val="003E0CBB"/>
    <w:rsid w:val="003E11D7"/>
    <w:rsid w:val="003E12C1"/>
    <w:rsid w:val="003E2278"/>
    <w:rsid w:val="003E2802"/>
    <w:rsid w:val="003E2BEA"/>
    <w:rsid w:val="003E469C"/>
    <w:rsid w:val="003E52AE"/>
    <w:rsid w:val="003E5726"/>
    <w:rsid w:val="003E5856"/>
    <w:rsid w:val="003E63B5"/>
    <w:rsid w:val="003E6AAD"/>
    <w:rsid w:val="003E6CE4"/>
    <w:rsid w:val="003E75D9"/>
    <w:rsid w:val="003F047C"/>
    <w:rsid w:val="003F253C"/>
    <w:rsid w:val="003F28DE"/>
    <w:rsid w:val="003F390B"/>
    <w:rsid w:val="003F3D2D"/>
    <w:rsid w:val="003F5599"/>
    <w:rsid w:val="003F5EAD"/>
    <w:rsid w:val="0040187A"/>
    <w:rsid w:val="004024F1"/>
    <w:rsid w:val="00402DA4"/>
    <w:rsid w:val="0040363F"/>
    <w:rsid w:val="004036B5"/>
    <w:rsid w:val="00405F16"/>
    <w:rsid w:val="00413B1F"/>
    <w:rsid w:val="00414E3B"/>
    <w:rsid w:val="00415282"/>
    <w:rsid w:val="004158E9"/>
    <w:rsid w:val="00416317"/>
    <w:rsid w:val="00417B8F"/>
    <w:rsid w:val="00421D47"/>
    <w:rsid w:val="00424FDC"/>
    <w:rsid w:val="00425E26"/>
    <w:rsid w:val="004271FC"/>
    <w:rsid w:val="00427696"/>
    <w:rsid w:val="00432C08"/>
    <w:rsid w:val="0043528F"/>
    <w:rsid w:val="00435CD4"/>
    <w:rsid w:val="004374DD"/>
    <w:rsid w:val="00442EB1"/>
    <w:rsid w:val="004448F3"/>
    <w:rsid w:val="00444A41"/>
    <w:rsid w:val="00445577"/>
    <w:rsid w:val="004463A3"/>
    <w:rsid w:val="00447103"/>
    <w:rsid w:val="004473A3"/>
    <w:rsid w:val="00454F10"/>
    <w:rsid w:val="00454F23"/>
    <w:rsid w:val="004562B2"/>
    <w:rsid w:val="00461393"/>
    <w:rsid w:val="004613A1"/>
    <w:rsid w:val="004617DA"/>
    <w:rsid w:val="004619FC"/>
    <w:rsid w:val="0046225E"/>
    <w:rsid w:val="0046388F"/>
    <w:rsid w:val="00463C1B"/>
    <w:rsid w:val="00465BA9"/>
    <w:rsid w:val="00471593"/>
    <w:rsid w:val="0047275E"/>
    <w:rsid w:val="0047514E"/>
    <w:rsid w:val="00476B21"/>
    <w:rsid w:val="004806BF"/>
    <w:rsid w:val="004815EC"/>
    <w:rsid w:val="00482CFC"/>
    <w:rsid w:val="00483F72"/>
    <w:rsid w:val="004857AF"/>
    <w:rsid w:val="0048638B"/>
    <w:rsid w:val="004864C6"/>
    <w:rsid w:val="00490C26"/>
    <w:rsid w:val="004917A7"/>
    <w:rsid w:val="00491E8F"/>
    <w:rsid w:val="00491FB6"/>
    <w:rsid w:val="004920D2"/>
    <w:rsid w:val="0049240F"/>
    <w:rsid w:val="00494452"/>
    <w:rsid w:val="00494EE4"/>
    <w:rsid w:val="0049644F"/>
    <w:rsid w:val="0049786A"/>
    <w:rsid w:val="004A01A0"/>
    <w:rsid w:val="004A2C58"/>
    <w:rsid w:val="004A3B85"/>
    <w:rsid w:val="004A5B32"/>
    <w:rsid w:val="004A6297"/>
    <w:rsid w:val="004A6549"/>
    <w:rsid w:val="004B03BF"/>
    <w:rsid w:val="004B0D5C"/>
    <w:rsid w:val="004B25AE"/>
    <w:rsid w:val="004B27FC"/>
    <w:rsid w:val="004B292B"/>
    <w:rsid w:val="004B3A8F"/>
    <w:rsid w:val="004B47F3"/>
    <w:rsid w:val="004B4F0A"/>
    <w:rsid w:val="004B689F"/>
    <w:rsid w:val="004B6F6A"/>
    <w:rsid w:val="004C092C"/>
    <w:rsid w:val="004C0C63"/>
    <w:rsid w:val="004C0EF8"/>
    <w:rsid w:val="004C2132"/>
    <w:rsid w:val="004C37CE"/>
    <w:rsid w:val="004C394D"/>
    <w:rsid w:val="004C3D18"/>
    <w:rsid w:val="004C3FD3"/>
    <w:rsid w:val="004C65DC"/>
    <w:rsid w:val="004D1317"/>
    <w:rsid w:val="004D146A"/>
    <w:rsid w:val="004D173E"/>
    <w:rsid w:val="004D1B30"/>
    <w:rsid w:val="004D2145"/>
    <w:rsid w:val="004D36CC"/>
    <w:rsid w:val="004D3B11"/>
    <w:rsid w:val="004D3D76"/>
    <w:rsid w:val="004D4950"/>
    <w:rsid w:val="004D4FA9"/>
    <w:rsid w:val="004D7A00"/>
    <w:rsid w:val="004D7C41"/>
    <w:rsid w:val="004E0C92"/>
    <w:rsid w:val="004E0E63"/>
    <w:rsid w:val="004E2E29"/>
    <w:rsid w:val="004E32E0"/>
    <w:rsid w:val="004E413C"/>
    <w:rsid w:val="004E65B5"/>
    <w:rsid w:val="004E6E45"/>
    <w:rsid w:val="004E76A3"/>
    <w:rsid w:val="004F0FDF"/>
    <w:rsid w:val="004F1CE1"/>
    <w:rsid w:val="004F1DA8"/>
    <w:rsid w:val="004F4288"/>
    <w:rsid w:val="004F4E0C"/>
    <w:rsid w:val="004F4E36"/>
    <w:rsid w:val="00500720"/>
    <w:rsid w:val="005007EC"/>
    <w:rsid w:val="005035DD"/>
    <w:rsid w:val="005048B4"/>
    <w:rsid w:val="0050658F"/>
    <w:rsid w:val="00506F6A"/>
    <w:rsid w:val="00507705"/>
    <w:rsid w:val="00507C3A"/>
    <w:rsid w:val="00507D64"/>
    <w:rsid w:val="00507E38"/>
    <w:rsid w:val="00510395"/>
    <w:rsid w:val="0051111D"/>
    <w:rsid w:val="005122FA"/>
    <w:rsid w:val="00513E05"/>
    <w:rsid w:val="00515F86"/>
    <w:rsid w:val="00515FDC"/>
    <w:rsid w:val="00515FEE"/>
    <w:rsid w:val="00516D4A"/>
    <w:rsid w:val="00521D72"/>
    <w:rsid w:val="005220DD"/>
    <w:rsid w:val="00522C81"/>
    <w:rsid w:val="00525F9C"/>
    <w:rsid w:val="00526BA5"/>
    <w:rsid w:val="0052734A"/>
    <w:rsid w:val="00531044"/>
    <w:rsid w:val="005345EE"/>
    <w:rsid w:val="005347C0"/>
    <w:rsid w:val="00536383"/>
    <w:rsid w:val="00541B85"/>
    <w:rsid w:val="00541C61"/>
    <w:rsid w:val="00542539"/>
    <w:rsid w:val="00543DDB"/>
    <w:rsid w:val="00546A85"/>
    <w:rsid w:val="00546E6D"/>
    <w:rsid w:val="0055000D"/>
    <w:rsid w:val="005500AA"/>
    <w:rsid w:val="0055054A"/>
    <w:rsid w:val="00550A26"/>
    <w:rsid w:val="00552109"/>
    <w:rsid w:val="005543FC"/>
    <w:rsid w:val="00554A50"/>
    <w:rsid w:val="0055565E"/>
    <w:rsid w:val="005563F4"/>
    <w:rsid w:val="0055672A"/>
    <w:rsid w:val="005572D6"/>
    <w:rsid w:val="0056020C"/>
    <w:rsid w:val="00562580"/>
    <w:rsid w:val="00562CD9"/>
    <w:rsid w:val="00563576"/>
    <w:rsid w:val="00563FC4"/>
    <w:rsid w:val="00564616"/>
    <w:rsid w:val="00564E20"/>
    <w:rsid w:val="005662FD"/>
    <w:rsid w:val="0057110A"/>
    <w:rsid w:val="005720C4"/>
    <w:rsid w:val="00572199"/>
    <w:rsid w:val="005751D5"/>
    <w:rsid w:val="00576AB3"/>
    <w:rsid w:val="005777CF"/>
    <w:rsid w:val="005806D6"/>
    <w:rsid w:val="0058185E"/>
    <w:rsid w:val="00583773"/>
    <w:rsid w:val="00584C32"/>
    <w:rsid w:val="00584CBE"/>
    <w:rsid w:val="00586295"/>
    <w:rsid w:val="00587B2A"/>
    <w:rsid w:val="00590346"/>
    <w:rsid w:val="005919CA"/>
    <w:rsid w:val="00592722"/>
    <w:rsid w:val="0059376B"/>
    <w:rsid w:val="00593D7E"/>
    <w:rsid w:val="005957FC"/>
    <w:rsid w:val="005972C3"/>
    <w:rsid w:val="00597A4E"/>
    <w:rsid w:val="005A2528"/>
    <w:rsid w:val="005A2AC6"/>
    <w:rsid w:val="005A48BF"/>
    <w:rsid w:val="005A5651"/>
    <w:rsid w:val="005A7A4A"/>
    <w:rsid w:val="005B19F1"/>
    <w:rsid w:val="005B39B6"/>
    <w:rsid w:val="005B3E4E"/>
    <w:rsid w:val="005B41E0"/>
    <w:rsid w:val="005B6F9B"/>
    <w:rsid w:val="005C00B3"/>
    <w:rsid w:val="005C0D0D"/>
    <w:rsid w:val="005C221F"/>
    <w:rsid w:val="005C2308"/>
    <w:rsid w:val="005C5F80"/>
    <w:rsid w:val="005C7379"/>
    <w:rsid w:val="005C7976"/>
    <w:rsid w:val="005C7AAE"/>
    <w:rsid w:val="005D02B1"/>
    <w:rsid w:val="005D03BB"/>
    <w:rsid w:val="005D16EB"/>
    <w:rsid w:val="005D1804"/>
    <w:rsid w:val="005D3A1C"/>
    <w:rsid w:val="005D46BB"/>
    <w:rsid w:val="005D4880"/>
    <w:rsid w:val="005D4FCF"/>
    <w:rsid w:val="005D601F"/>
    <w:rsid w:val="005D677B"/>
    <w:rsid w:val="005D6F27"/>
    <w:rsid w:val="005E19CA"/>
    <w:rsid w:val="005E1E75"/>
    <w:rsid w:val="005E42F9"/>
    <w:rsid w:val="005E5893"/>
    <w:rsid w:val="005E5997"/>
    <w:rsid w:val="005E661F"/>
    <w:rsid w:val="005E7094"/>
    <w:rsid w:val="005E7853"/>
    <w:rsid w:val="005F07D6"/>
    <w:rsid w:val="005F0A0E"/>
    <w:rsid w:val="005F1F02"/>
    <w:rsid w:val="005F3624"/>
    <w:rsid w:val="005F44F0"/>
    <w:rsid w:val="005F4CF0"/>
    <w:rsid w:val="005F652C"/>
    <w:rsid w:val="0060169F"/>
    <w:rsid w:val="006021E5"/>
    <w:rsid w:val="0060256D"/>
    <w:rsid w:val="0060517F"/>
    <w:rsid w:val="00606179"/>
    <w:rsid w:val="006066F2"/>
    <w:rsid w:val="006103C5"/>
    <w:rsid w:val="00610F1A"/>
    <w:rsid w:val="00614D34"/>
    <w:rsid w:val="00616979"/>
    <w:rsid w:val="00616F20"/>
    <w:rsid w:val="00621FA0"/>
    <w:rsid w:val="00622162"/>
    <w:rsid w:val="00623741"/>
    <w:rsid w:val="00623772"/>
    <w:rsid w:val="0062602B"/>
    <w:rsid w:val="00631654"/>
    <w:rsid w:val="00632AA7"/>
    <w:rsid w:val="00632E0E"/>
    <w:rsid w:val="006333C4"/>
    <w:rsid w:val="0063353B"/>
    <w:rsid w:val="00633B8E"/>
    <w:rsid w:val="00636718"/>
    <w:rsid w:val="00636A4A"/>
    <w:rsid w:val="006375D0"/>
    <w:rsid w:val="00641C72"/>
    <w:rsid w:val="00642D10"/>
    <w:rsid w:val="00643259"/>
    <w:rsid w:val="006439C3"/>
    <w:rsid w:val="00643EF0"/>
    <w:rsid w:val="006447FB"/>
    <w:rsid w:val="00646EB1"/>
    <w:rsid w:val="00653B69"/>
    <w:rsid w:val="00653CA4"/>
    <w:rsid w:val="00653DEF"/>
    <w:rsid w:val="006548B4"/>
    <w:rsid w:val="00654FD5"/>
    <w:rsid w:val="006555AF"/>
    <w:rsid w:val="00656915"/>
    <w:rsid w:val="00661833"/>
    <w:rsid w:val="00661C7C"/>
    <w:rsid w:val="00661D74"/>
    <w:rsid w:val="00663D03"/>
    <w:rsid w:val="006665E6"/>
    <w:rsid w:val="006668D0"/>
    <w:rsid w:val="006671DB"/>
    <w:rsid w:val="00667A65"/>
    <w:rsid w:val="00667AB9"/>
    <w:rsid w:val="00670304"/>
    <w:rsid w:val="00671387"/>
    <w:rsid w:val="006718B6"/>
    <w:rsid w:val="00672DC5"/>
    <w:rsid w:val="00674B22"/>
    <w:rsid w:val="006759FA"/>
    <w:rsid w:val="00675E35"/>
    <w:rsid w:val="006761ED"/>
    <w:rsid w:val="006763FD"/>
    <w:rsid w:val="00676AB9"/>
    <w:rsid w:val="00676D21"/>
    <w:rsid w:val="00676FEE"/>
    <w:rsid w:val="006777E7"/>
    <w:rsid w:val="00680F25"/>
    <w:rsid w:val="006813A5"/>
    <w:rsid w:val="00681E41"/>
    <w:rsid w:val="00686198"/>
    <w:rsid w:val="00686A12"/>
    <w:rsid w:val="00686CF7"/>
    <w:rsid w:val="00686F56"/>
    <w:rsid w:val="006878A7"/>
    <w:rsid w:val="00690002"/>
    <w:rsid w:val="00691243"/>
    <w:rsid w:val="00691D63"/>
    <w:rsid w:val="00692382"/>
    <w:rsid w:val="006939F1"/>
    <w:rsid w:val="00693A24"/>
    <w:rsid w:val="006A1DE5"/>
    <w:rsid w:val="006A3F95"/>
    <w:rsid w:val="006A4416"/>
    <w:rsid w:val="006A6D6C"/>
    <w:rsid w:val="006A7C12"/>
    <w:rsid w:val="006B1019"/>
    <w:rsid w:val="006B11F7"/>
    <w:rsid w:val="006B20C8"/>
    <w:rsid w:val="006B21C6"/>
    <w:rsid w:val="006B34DF"/>
    <w:rsid w:val="006B38B5"/>
    <w:rsid w:val="006B3DC7"/>
    <w:rsid w:val="006B43E9"/>
    <w:rsid w:val="006B5497"/>
    <w:rsid w:val="006B5E6D"/>
    <w:rsid w:val="006B6BDC"/>
    <w:rsid w:val="006B7926"/>
    <w:rsid w:val="006C026D"/>
    <w:rsid w:val="006C1481"/>
    <w:rsid w:val="006C157A"/>
    <w:rsid w:val="006C2C8B"/>
    <w:rsid w:val="006C4DF3"/>
    <w:rsid w:val="006C6366"/>
    <w:rsid w:val="006D0521"/>
    <w:rsid w:val="006D1B97"/>
    <w:rsid w:val="006D2E4B"/>
    <w:rsid w:val="006D3062"/>
    <w:rsid w:val="006D41DF"/>
    <w:rsid w:val="006D4F86"/>
    <w:rsid w:val="006D6E28"/>
    <w:rsid w:val="006D73EF"/>
    <w:rsid w:val="006E157C"/>
    <w:rsid w:val="006E2AFA"/>
    <w:rsid w:val="006E395C"/>
    <w:rsid w:val="006E428B"/>
    <w:rsid w:val="006E4536"/>
    <w:rsid w:val="006E4D86"/>
    <w:rsid w:val="006E6DC6"/>
    <w:rsid w:val="006E7280"/>
    <w:rsid w:val="006F0B7A"/>
    <w:rsid w:val="006F22C9"/>
    <w:rsid w:val="006F2346"/>
    <w:rsid w:val="006F2567"/>
    <w:rsid w:val="006F28E8"/>
    <w:rsid w:val="006F5111"/>
    <w:rsid w:val="006F5662"/>
    <w:rsid w:val="006F65A6"/>
    <w:rsid w:val="006F7957"/>
    <w:rsid w:val="007001BE"/>
    <w:rsid w:val="00702664"/>
    <w:rsid w:val="00703851"/>
    <w:rsid w:val="00704952"/>
    <w:rsid w:val="007121D0"/>
    <w:rsid w:val="00712452"/>
    <w:rsid w:val="00712EC0"/>
    <w:rsid w:val="00713A25"/>
    <w:rsid w:val="00715285"/>
    <w:rsid w:val="00716942"/>
    <w:rsid w:val="007175D2"/>
    <w:rsid w:val="007229C9"/>
    <w:rsid w:val="007236A4"/>
    <w:rsid w:val="007238C3"/>
    <w:rsid w:val="00723B79"/>
    <w:rsid w:val="00725E64"/>
    <w:rsid w:val="00726440"/>
    <w:rsid w:val="00727193"/>
    <w:rsid w:val="00730767"/>
    <w:rsid w:val="00731327"/>
    <w:rsid w:val="007329C5"/>
    <w:rsid w:val="00732FB4"/>
    <w:rsid w:val="007365D8"/>
    <w:rsid w:val="007366EA"/>
    <w:rsid w:val="007374C2"/>
    <w:rsid w:val="0074080A"/>
    <w:rsid w:val="00742303"/>
    <w:rsid w:val="0074314D"/>
    <w:rsid w:val="007434EE"/>
    <w:rsid w:val="00743E4A"/>
    <w:rsid w:val="00743FA3"/>
    <w:rsid w:val="007465A8"/>
    <w:rsid w:val="007472E1"/>
    <w:rsid w:val="00750C3A"/>
    <w:rsid w:val="00750E81"/>
    <w:rsid w:val="007516F8"/>
    <w:rsid w:val="00753A1F"/>
    <w:rsid w:val="00753F23"/>
    <w:rsid w:val="00755353"/>
    <w:rsid w:val="0075674F"/>
    <w:rsid w:val="00762363"/>
    <w:rsid w:val="00763463"/>
    <w:rsid w:val="00765640"/>
    <w:rsid w:val="00765DA3"/>
    <w:rsid w:val="0077091F"/>
    <w:rsid w:val="00770EA4"/>
    <w:rsid w:val="0077133B"/>
    <w:rsid w:val="007717DB"/>
    <w:rsid w:val="007726CD"/>
    <w:rsid w:val="007740BD"/>
    <w:rsid w:val="007805B1"/>
    <w:rsid w:val="00781611"/>
    <w:rsid w:val="00782439"/>
    <w:rsid w:val="007842FA"/>
    <w:rsid w:val="0078623E"/>
    <w:rsid w:val="0078708A"/>
    <w:rsid w:val="007877F2"/>
    <w:rsid w:val="00787CEE"/>
    <w:rsid w:val="0079096A"/>
    <w:rsid w:val="00791067"/>
    <w:rsid w:val="0079202E"/>
    <w:rsid w:val="007936A6"/>
    <w:rsid w:val="00794C4F"/>
    <w:rsid w:val="00795AF8"/>
    <w:rsid w:val="00797AED"/>
    <w:rsid w:val="00797CF4"/>
    <w:rsid w:val="007A08CC"/>
    <w:rsid w:val="007A10B8"/>
    <w:rsid w:val="007A255E"/>
    <w:rsid w:val="007A35D8"/>
    <w:rsid w:val="007A36A5"/>
    <w:rsid w:val="007A44FF"/>
    <w:rsid w:val="007A4BCA"/>
    <w:rsid w:val="007A506F"/>
    <w:rsid w:val="007A7987"/>
    <w:rsid w:val="007B3054"/>
    <w:rsid w:val="007B3B0E"/>
    <w:rsid w:val="007C2E8F"/>
    <w:rsid w:val="007C4447"/>
    <w:rsid w:val="007C7FB6"/>
    <w:rsid w:val="007D1727"/>
    <w:rsid w:val="007D23BE"/>
    <w:rsid w:val="007D2714"/>
    <w:rsid w:val="007D3F42"/>
    <w:rsid w:val="007D5179"/>
    <w:rsid w:val="007D51CA"/>
    <w:rsid w:val="007D6167"/>
    <w:rsid w:val="007E2198"/>
    <w:rsid w:val="007E5EFA"/>
    <w:rsid w:val="007E79C3"/>
    <w:rsid w:val="007F0141"/>
    <w:rsid w:val="007F167F"/>
    <w:rsid w:val="007F16A2"/>
    <w:rsid w:val="007F4095"/>
    <w:rsid w:val="007F4BA2"/>
    <w:rsid w:val="007F77F4"/>
    <w:rsid w:val="007F7CAE"/>
    <w:rsid w:val="008022FB"/>
    <w:rsid w:val="00803269"/>
    <w:rsid w:val="00812483"/>
    <w:rsid w:val="008124A9"/>
    <w:rsid w:val="00814743"/>
    <w:rsid w:val="00820E98"/>
    <w:rsid w:val="00821F13"/>
    <w:rsid w:val="00822C23"/>
    <w:rsid w:val="008236DD"/>
    <w:rsid w:val="00823D6F"/>
    <w:rsid w:val="008241F9"/>
    <w:rsid w:val="00826507"/>
    <w:rsid w:val="008307D4"/>
    <w:rsid w:val="00830D72"/>
    <w:rsid w:val="008324DC"/>
    <w:rsid w:val="00832BB2"/>
    <w:rsid w:val="00834491"/>
    <w:rsid w:val="00834542"/>
    <w:rsid w:val="00834FEC"/>
    <w:rsid w:val="00840419"/>
    <w:rsid w:val="00841E29"/>
    <w:rsid w:val="00842B3D"/>
    <w:rsid w:val="00843FA7"/>
    <w:rsid w:val="00844595"/>
    <w:rsid w:val="0084463C"/>
    <w:rsid w:val="008460A9"/>
    <w:rsid w:val="00851A2A"/>
    <w:rsid w:val="00852DB2"/>
    <w:rsid w:val="0085377F"/>
    <w:rsid w:val="00854290"/>
    <w:rsid w:val="00856534"/>
    <w:rsid w:val="008566E6"/>
    <w:rsid w:val="0086115F"/>
    <w:rsid w:val="00861CAA"/>
    <w:rsid w:val="008622E6"/>
    <w:rsid w:val="00862B70"/>
    <w:rsid w:val="00862E8D"/>
    <w:rsid w:val="0086398B"/>
    <w:rsid w:val="00863B06"/>
    <w:rsid w:val="00863E92"/>
    <w:rsid w:val="00864880"/>
    <w:rsid w:val="00866004"/>
    <w:rsid w:val="00871BCC"/>
    <w:rsid w:val="00872550"/>
    <w:rsid w:val="008727A4"/>
    <w:rsid w:val="00873EAD"/>
    <w:rsid w:val="008744A8"/>
    <w:rsid w:val="00880B08"/>
    <w:rsid w:val="00881434"/>
    <w:rsid w:val="00882DA0"/>
    <w:rsid w:val="0088476C"/>
    <w:rsid w:val="008854E2"/>
    <w:rsid w:val="008865F6"/>
    <w:rsid w:val="00887A56"/>
    <w:rsid w:val="00887D43"/>
    <w:rsid w:val="00890ED8"/>
    <w:rsid w:val="0089214C"/>
    <w:rsid w:val="008936ED"/>
    <w:rsid w:val="0089384B"/>
    <w:rsid w:val="0089532D"/>
    <w:rsid w:val="008964CE"/>
    <w:rsid w:val="00896843"/>
    <w:rsid w:val="0089709C"/>
    <w:rsid w:val="008A1AD4"/>
    <w:rsid w:val="008A436D"/>
    <w:rsid w:val="008A575A"/>
    <w:rsid w:val="008A6DA5"/>
    <w:rsid w:val="008A7B16"/>
    <w:rsid w:val="008A7C15"/>
    <w:rsid w:val="008B08F4"/>
    <w:rsid w:val="008B1274"/>
    <w:rsid w:val="008B2E3B"/>
    <w:rsid w:val="008B349A"/>
    <w:rsid w:val="008B7F6B"/>
    <w:rsid w:val="008C0411"/>
    <w:rsid w:val="008C0884"/>
    <w:rsid w:val="008C2819"/>
    <w:rsid w:val="008C64AF"/>
    <w:rsid w:val="008C6A7E"/>
    <w:rsid w:val="008C7233"/>
    <w:rsid w:val="008D0BE1"/>
    <w:rsid w:val="008D1155"/>
    <w:rsid w:val="008D13A3"/>
    <w:rsid w:val="008D2AC6"/>
    <w:rsid w:val="008D4C10"/>
    <w:rsid w:val="008D5106"/>
    <w:rsid w:val="008D6A02"/>
    <w:rsid w:val="008D7513"/>
    <w:rsid w:val="008E17EF"/>
    <w:rsid w:val="008E198E"/>
    <w:rsid w:val="008E34F7"/>
    <w:rsid w:val="008E5E77"/>
    <w:rsid w:val="008E6AFD"/>
    <w:rsid w:val="008E7811"/>
    <w:rsid w:val="008F1EA2"/>
    <w:rsid w:val="008F2706"/>
    <w:rsid w:val="008F2BFD"/>
    <w:rsid w:val="008F5E0A"/>
    <w:rsid w:val="008F6118"/>
    <w:rsid w:val="008F6885"/>
    <w:rsid w:val="008F7409"/>
    <w:rsid w:val="008F775E"/>
    <w:rsid w:val="008F7997"/>
    <w:rsid w:val="00900BBB"/>
    <w:rsid w:val="00900F30"/>
    <w:rsid w:val="009019AF"/>
    <w:rsid w:val="0090213C"/>
    <w:rsid w:val="00903C44"/>
    <w:rsid w:val="009072AF"/>
    <w:rsid w:val="009112DA"/>
    <w:rsid w:val="009126DB"/>
    <w:rsid w:val="00917FEF"/>
    <w:rsid w:val="009203E4"/>
    <w:rsid w:val="00921379"/>
    <w:rsid w:val="00922418"/>
    <w:rsid w:val="00923907"/>
    <w:rsid w:val="00924CF3"/>
    <w:rsid w:val="00927F23"/>
    <w:rsid w:val="00930338"/>
    <w:rsid w:val="0093193F"/>
    <w:rsid w:val="00931F04"/>
    <w:rsid w:val="009339BA"/>
    <w:rsid w:val="00934A8C"/>
    <w:rsid w:val="00936600"/>
    <w:rsid w:val="00936A24"/>
    <w:rsid w:val="00937B55"/>
    <w:rsid w:val="00940285"/>
    <w:rsid w:val="00940298"/>
    <w:rsid w:val="00941C31"/>
    <w:rsid w:val="009427CB"/>
    <w:rsid w:val="00943BBB"/>
    <w:rsid w:val="00943D87"/>
    <w:rsid w:val="009458E1"/>
    <w:rsid w:val="0094684B"/>
    <w:rsid w:val="009478DB"/>
    <w:rsid w:val="009528D8"/>
    <w:rsid w:val="009535FD"/>
    <w:rsid w:val="00953D2D"/>
    <w:rsid w:val="00957005"/>
    <w:rsid w:val="00957AC0"/>
    <w:rsid w:val="009636BC"/>
    <w:rsid w:val="009647B0"/>
    <w:rsid w:val="009650A8"/>
    <w:rsid w:val="00967A21"/>
    <w:rsid w:val="00967B36"/>
    <w:rsid w:val="00970B16"/>
    <w:rsid w:val="00971363"/>
    <w:rsid w:val="00971EDB"/>
    <w:rsid w:val="0097363A"/>
    <w:rsid w:val="009736AE"/>
    <w:rsid w:val="0097490B"/>
    <w:rsid w:val="00974DCB"/>
    <w:rsid w:val="00976272"/>
    <w:rsid w:val="009769CC"/>
    <w:rsid w:val="00977454"/>
    <w:rsid w:val="009824D0"/>
    <w:rsid w:val="00983615"/>
    <w:rsid w:val="00983CCE"/>
    <w:rsid w:val="0099025F"/>
    <w:rsid w:val="00990E30"/>
    <w:rsid w:val="00990E71"/>
    <w:rsid w:val="00991D87"/>
    <w:rsid w:val="009921EE"/>
    <w:rsid w:val="0099324F"/>
    <w:rsid w:val="00995418"/>
    <w:rsid w:val="0099639D"/>
    <w:rsid w:val="00996689"/>
    <w:rsid w:val="009A0ACE"/>
    <w:rsid w:val="009A0C70"/>
    <w:rsid w:val="009A1558"/>
    <w:rsid w:val="009A2919"/>
    <w:rsid w:val="009A4F6A"/>
    <w:rsid w:val="009A7438"/>
    <w:rsid w:val="009A754A"/>
    <w:rsid w:val="009A78D9"/>
    <w:rsid w:val="009B1E2C"/>
    <w:rsid w:val="009B1E99"/>
    <w:rsid w:val="009B2363"/>
    <w:rsid w:val="009B5988"/>
    <w:rsid w:val="009B633F"/>
    <w:rsid w:val="009B7B91"/>
    <w:rsid w:val="009C1871"/>
    <w:rsid w:val="009C24F8"/>
    <w:rsid w:val="009C3139"/>
    <w:rsid w:val="009C4CB2"/>
    <w:rsid w:val="009C5EC7"/>
    <w:rsid w:val="009C755A"/>
    <w:rsid w:val="009C7CAD"/>
    <w:rsid w:val="009D143F"/>
    <w:rsid w:val="009D17E4"/>
    <w:rsid w:val="009D3D5F"/>
    <w:rsid w:val="009D40A7"/>
    <w:rsid w:val="009D6155"/>
    <w:rsid w:val="009E011A"/>
    <w:rsid w:val="009E3D09"/>
    <w:rsid w:val="009E5A55"/>
    <w:rsid w:val="009E6194"/>
    <w:rsid w:val="009E6A3B"/>
    <w:rsid w:val="009E727D"/>
    <w:rsid w:val="009F0069"/>
    <w:rsid w:val="009F299A"/>
    <w:rsid w:val="009F68B6"/>
    <w:rsid w:val="00A00683"/>
    <w:rsid w:val="00A00EA3"/>
    <w:rsid w:val="00A032EE"/>
    <w:rsid w:val="00A04483"/>
    <w:rsid w:val="00A07A81"/>
    <w:rsid w:val="00A107E5"/>
    <w:rsid w:val="00A112E1"/>
    <w:rsid w:val="00A11A23"/>
    <w:rsid w:val="00A1211C"/>
    <w:rsid w:val="00A137B7"/>
    <w:rsid w:val="00A14273"/>
    <w:rsid w:val="00A150C6"/>
    <w:rsid w:val="00A150F5"/>
    <w:rsid w:val="00A15DEE"/>
    <w:rsid w:val="00A16D82"/>
    <w:rsid w:val="00A17F22"/>
    <w:rsid w:val="00A210CD"/>
    <w:rsid w:val="00A21D63"/>
    <w:rsid w:val="00A21FFB"/>
    <w:rsid w:val="00A24865"/>
    <w:rsid w:val="00A24877"/>
    <w:rsid w:val="00A24ACC"/>
    <w:rsid w:val="00A262AA"/>
    <w:rsid w:val="00A266B7"/>
    <w:rsid w:val="00A30184"/>
    <w:rsid w:val="00A3084D"/>
    <w:rsid w:val="00A312EC"/>
    <w:rsid w:val="00A3132D"/>
    <w:rsid w:val="00A32CE5"/>
    <w:rsid w:val="00A35276"/>
    <w:rsid w:val="00A376D4"/>
    <w:rsid w:val="00A37A05"/>
    <w:rsid w:val="00A41378"/>
    <w:rsid w:val="00A41921"/>
    <w:rsid w:val="00A420F0"/>
    <w:rsid w:val="00A42506"/>
    <w:rsid w:val="00A464DE"/>
    <w:rsid w:val="00A474AE"/>
    <w:rsid w:val="00A510DB"/>
    <w:rsid w:val="00A51303"/>
    <w:rsid w:val="00A51366"/>
    <w:rsid w:val="00A5193B"/>
    <w:rsid w:val="00A51EE1"/>
    <w:rsid w:val="00A53628"/>
    <w:rsid w:val="00A54834"/>
    <w:rsid w:val="00A5564E"/>
    <w:rsid w:val="00A5655C"/>
    <w:rsid w:val="00A60AAC"/>
    <w:rsid w:val="00A631D6"/>
    <w:rsid w:val="00A636D7"/>
    <w:rsid w:val="00A641B0"/>
    <w:rsid w:val="00A6598A"/>
    <w:rsid w:val="00A67B4B"/>
    <w:rsid w:val="00A67C05"/>
    <w:rsid w:val="00A70DDB"/>
    <w:rsid w:val="00A72D95"/>
    <w:rsid w:val="00A73932"/>
    <w:rsid w:val="00A75FEF"/>
    <w:rsid w:val="00A764A7"/>
    <w:rsid w:val="00A80C87"/>
    <w:rsid w:val="00A8180B"/>
    <w:rsid w:val="00A82C1B"/>
    <w:rsid w:val="00A84AF1"/>
    <w:rsid w:val="00A86622"/>
    <w:rsid w:val="00A87845"/>
    <w:rsid w:val="00A87884"/>
    <w:rsid w:val="00A905C9"/>
    <w:rsid w:val="00A91BA8"/>
    <w:rsid w:val="00A93303"/>
    <w:rsid w:val="00AA0B4D"/>
    <w:rsid w:val="00AA1C43"/>
    <w:rsid w:val="00AA241E"/>
    <w:rsid w:val="00AA2BB3"/>
    <w:rsid w:val="00AA36F7"/>
    <w:rsid w:val="00AA418B"/>
    <w:rsid w:val="00AA4E34"/>
    <w:rsid w:val="00AA5EA2"/>
    <w:rsid w:val="00AA6F0C"/>
    <w:rsid w:val="00AA7406"/>
    <w:rsid w:val="00AB184A"/>
    <w:rsid w:val="00AB3B84"/>
    <w:rsid w:val="00AB4885"/>
    <w:rsid w:val="00AB5FE7"/>
    <w:rsid w:val="00AB6D49"/>
    <w:rsid w:val="00AB780E"/>
    <w:rsid w:val="00AC0C5B"/>
    <w:rsid w:val="00AC15D1"/>
    <w:rsid w:val="00AC1A2B"/>
    <w:rsid w:val="00AC1C1D"/>
    <w:rsid w:val="00AC3CF2"/>
    <w:rsid w:val="00AC58DB"/>
    <w:rsid w:val="00AC5FD2"/>
    <w:rsid w:val="00AC78F6"/>
    <w:rsid w:val="00AC7A28"/>
    <w:rsid w:val="00AD1973"/>
    <w:rsid w:val="00AD1FC1"/>
    <w:rsid w:val="00AD2063"/>
    <w:rsid w:val="00AD3395"/>
    <w:rsid w:val="00AD3543"/>
    <w:rsid w:val="00AD4498"/>
    <w:rsid w:val="00AD4D8F"/>
    <w:rsid w:val="00AD52B5"/>
    <w:rsid w:val="00AD5CCD"/>
    <w:rsid w:val="00AD682C"/>
    <w:rsid w:val="00AD77FA"/>
    <w:rsid w:val="00AE02D7"/>
    <w:rsid w:val="00AE343C"/>
    <w:rsid w:val="00AE4FAD"/>
    <w:rsid w:val="00AE5AE3"/>
    <w:rsid w:val="00AE7C9F"/>
    <w:rsid w:val="00AF07F3"/>
    <w:rsid w:val="00AF0AB6"/>
    <w:rsid w:val="00AF3E8B"/>
    <w:rsid w:val="00AF5C3C"/>
    <w:rsid w:val="00B00400"/>
    <w:rsid w:val="00B10451"/>
    <w:rsid w:val="00B11C39"/>
    <w:rsid w:val="00B125C6"/>
    <w:rsid w:val="00B1346F"/>
    <w:rsid w:val="00B138E1"/>
    <w:rsid w:val="00B15054"/>
    <w:rsid w:val="00B157E0"/>
    <w:rsid w:val="00B206A1"/>
    <w:rsid w:val="00B2208E"/>
    <w:rsid w:val="00B24EF4"/>
    <w:rsid w:val="00B25C94"/>
    <w:rsid w:val="00B272F8"/>
    <w:rsid w:val="00B2732D"/>
    <w:rsid w:val="00B27811"/>
    <w:rsid w:val="00B278DC"/>
    <w:rsid w:val="00B300DD"/>
    <w:rsid w:val="00B310FE"/>
    <w:rsid w:val="00B31A79"/>
    <w:rsid w:val="00B327A3"/>
    <w:rsid w:val="00B35C36"/>
    <w:rsid w:val="00B371E7"/>
    <w:rsid w:val="00B40364"/>
    <w:rsid w:val="00B40569"/>
    <w:rsid w:val="00B40A8F"/>
    <w:rsid w:val="00B40C8D"/>
    <w:rsid w:val="00B41464"/>
    <w:rsid w:val="00B41811"/>
    <w:rsid w:val="00B419AC"/>
    <w:rsid w:val="00B43D57"/>
    <w:rsid w:val="00B449CD"/>
    <w:rsid w:val="00B4794F"/>
    <w:rsid w:val="00B47A10"/>
    <w:rsid w:val="00B51C56"/>
    <w:rsid w:val="00B52BA7"/>
    <w:rsid w:val="00B5346A"/>
    <w:rsid w:val="00B537F2"/>
    <w:rsid w:val="00B56576"/>
    <w:rsid w:val="00B57EE8"/>
    <w:rsid w:val="00B61DCB"/>
    <w:rsid w:val="00B63405"/>
    <w:rsid w:val="00B64386"/>
    <w:rsid w:val="00B663B5"/>
    <w:rsid w:val="00B669C7"/>
    <w:rsid w:val="00B75FB7"/>
    <w:rsid w:val="00B76482"/>
    <w:rsid w:val="00B779C5"/>
    <w:rsid w:val="00B77BB6"/>
    <w:rsid w:val="00B82BC9"/>
    <w:rsid w:val="00B83135"/>
    <w:rsid w:val="00B86FFD"/>
    <w:rsid w:val="00B9194E"/>
    <w:rsid w:val="00B94E49"/>
    <w:rsid w:val="00B95F0B"/>
    <w:rsid w:val="00BA050A"/>
    <w:rsid w:val="00BA0EFC"/>
    <w:rsid w:val="00BA141C"/>
    <w:rsid w:val="00BA17D9"/>
    <w:rsid w:val="00BA1E2E"/>
    <w:rsid w:val="00BA2AB3"/>
    <w:rsid w:val="00BA3042"/>
    <w:rsid w:val="00BA32D5"/>
    <w:rsid w:val="00BA338A"/>
    <w:rsid w:val="00BA4409"/>
    <w:rsid w:val="00BA700A"/>
    <w:rsid w:val="00BA7532"/>
    <w:rsid w:val="00BB1A55"/>
    <w:rsid w:val="00BB2873"/>
    <w:rsid w:val="00BB483F"/>
    <w:rsid w:val="00BB5E02"/>
    <w:rsid w:val="00BB6EF1"/>
    <w:rsid w:val="00BB73D6"/>
    <w:rsid w:val="00BB7ECB"/>
    <w:rsid w:val="00BC0CF4"/>
    <w:rsid w:val="00BC0F07"/>
    <w:rsid w:val="00BC14A1"/>
    <w:rsid w:val="00BC266C"/>
    <w:rsid w:val="00BC4793"/>
    <w:rsid w:val="00BC4896"/>
    <w:rsid w:val="00BC52F3"/>
    <w:rsid w:val="00BC5F41"/>
    <w:rsid w:val="00BC6F85"/>
    <w:rsid w:val="00BD3C3C"/>
    <w:rsid w:val="00BD436E"/>
    <w:rsid w:val="00BD46BB"/>
    <w:rsid w:val="00BD5940"/>
    <w:rsid w:val="00BD5F80"/>
    <w:rsid w:val="00BE059D"/>
    <w:rsid w:val="00BE066C"/>
    <w:rsid w:val="00BE1D2F"/>
    <w:rsid w:val="00BE207A"/>
    <w:rsid w:val="00BE60C8"/>
    <w:rsid w:val="00BE70AB"/>
    <w:rsid w:val="00BF042C"/>
    <w:rsid w:val="00BF0472"/>
    <w:rsid w:val="00BF1223"/>
    <w:rsid w:val="00BF1CD1"/>
    <w:rsid w:val="00BF1E2C"/>
    <w:rsid w:val="00BF27D9"/>
    <w:rsid w:val="00BF29C8"/>
    <w:rsid w:val="00BF308D"/>
    <w:rsid w:val="00BF7DEC"/>
    <w:rsid w:val="00C006CD"/>
    <w:rsid w:val="00C026D8"/>
    <w:rsid w:val="00C037D3"/>
    <w:rsid w:val="00C03ED9"/>
    <w:rsid w:val="00C06A41"/>
    <w:rsid w:val="00C11264"/>
    <w:rsid w:val="00C11543"/>
    <w:rsid w:val="00C11D73"/>
    <w:rsid w:val="00C168C2"/>
    <w:rsid w:val="00C171A2"/>
    <w:rsid w:val="00C17357"/>
    <w:rsid w:val="00C20870"/>
    <w:rsid w:val="00C21CC3"/>
    <w:rsid w:val="00C220B3"/>
    <w:rsid w:val="00C228BC"/>
    <w:rsid w:val="00C22AC0"/>
    <w:rsid w:val="00C23D40"/>
    <w:rsid w:val="00C244E6"/>
    <w:rsid w:val="00C24D65"/>
    <w:rsid w:val="00C25B46"/>
    <w:rsid w:val="00C269E8"/>
    <w:rsid w:val="00C26B59"/>
    <w:rsid w:val="00C307F4"/>
    <w:rsid w:val="00C36C17"/>
    <w:rsid w:val="00C40B17"/>
    <w:rsid w:val="00C41752"/>
    <w:rsid w:val="00C41F12"/>
    <w:rsid w:val="00C431FE"/>
    <w:rsid w:val="00C43C8D"/>
    <w:rsid w:val="00C4453A"/>
    <w:rsid w:val="00C445BB"/>
    <w:rsid w:val="00C45B54"/>
    <w:rsid w:val="00C45D23"/>
    <w:rsid w:val="00C46799"/>
    <w:rsid w:val="00C47B0C"/>
    <w:rsid w:val="00C52539"/>
    <w:rsid w:val="00C52C0B"/>
    <w:rsid w:val="00C53216"/>
    <w:rsid w:val="00C562C3"/>
    <w:rsid w:val="00C56D62"/>
    <w:rsid w:val="00C60D05"/>
    <w:rsid w:val="00C62873"/>
    <w:rsid w:val="00C630D3"/>
    <w:rsid w:val="00C648F6"/>
    <w:rsid w:val="00C64C5B"/>
    <w:rsid w:val="00C667D6"/>
    <w:rsid w:val="00C66D77"/>
    <w:rsid w:val="00C66F9A"/>
    <w:rsid w:val="00C67B68"/>
    <w:rsid w:val="00C75A77"/>
    <w:rsid w:val="00C762F6"/>
    <w:rsid w:val="00C771E8"/>
    <w:rsid w:val="00C80056"/>
    <w:rsid w:val="00C80C5E"/>
    <w:rsid w:val="00C8252E"/>
    <w:rsid w:val="00C841DD"/>
    <w:rsid w:val="00C86CE5"/>
    <w:rsid w:val="00C86F92"/>
    <w:rsid w:val="00C95F12"/>
    <w:rsid w:val="00C97692"/>
    <w:rsid w:val="00CA048C"/>
    <w:rsid w:val="00CA1225"/>
    <w:rsid w:val="00CA20C2"/>
    <w:rsid w:val="00CA5BDB"/>
    <w:rsid w:val="00CA5E4E"/>
    <w:rsid w:val="00CA66FA"/>
    <w:rsid w:val="00CA7DF8"/>
    <w:rsid w:val="00CB3B06"/>
    <w:rsid w:val="00CB49D3"/>
    <w:rsid w:val="00CB6528"/>
    <w:rsid w:val="00CB6B6B"/>
    <w:rsid w:val="00CC03C7"/>
    <w:rsid w:val="00CC0615"/>
    <w:rsid w:val="00CC1169"/>
    <w:rsid w:val="00CC1925"/>
    <w:rsid w:val="00CC2472"/>
    <w:rsid w:val="00CC25C8"/>
    <w:rsid w:val="00CC4FF6"/>
    <w:rsid w:val="00CC61C8"/>
    <w:rsid w:val="00CD08D8"/>
    <w:rsid w:val="00CD1000"/>
    <w:rsid w:val="00CD12A1"/>
    <w:rsid w:val="00CD1D4F"/>
    <w:rsid w:val="00CD2528"/>
    <w:rsid w:val="00CD4F57"/>
    <w:rsid w:val="00CD5EF1"/>
    <w:rsid w:val="00CE121B"/>
    <w:rsid w:val="00CE18C2"/>
    <w:rsid w:val="00CE45F4"/>
    <w:rsid w:val="00CE4CE9"/>
    <w:rsid w:val="00CE694D"/>
    <w:rsid w:val="00CE6EB6"/>
    <w:rsid w:val="00CE7A25"/>
    <w:rsid w:val="00CF77EF"/>
    <w:rsid w:val="00D00281"/>
    <w:rsid w:val="00D006E9"/>
    <w:rsid w:val="00D00BE5"/>
    <w:rsid w:val="00D010DB"/>
    <w:rsid w:val="00D01159"/>
    <w:rsid w:val="00D01BBF"/>
    <w:rsid w:val="00D03933"/>
    <w:rsid w:val="00D05249"/>
    <w:rsid w:val="00D05C90"/>
    <w:rsid w:val="00D06B2E"/>
    <w:rsid w:val="00D0712A"/>
    <w:rsid w:val="00D1708C"/>
    <w:rsid w:val="00D20ADF"/>
    <w:rsid w:val="00D21F80"/>
    <w:rsid w:val="00D22962"/>
    <w:rsid w:val="00D24EEC"/>
    <w:rsid w:val="00D25704"/>
    <w:rsid w:val="00D2699F"/>
    <w:rsid w:val="00D274A9"/>
    <w:rsid w:val="00D30167"/>
    <w:rsid w:val="00D30209"/>
    <w:rsid w:val="00D321E6"/>
    <w:rsid w:val="00D34EA1"/>
    <w:rsid w:val="00D352CB"/>
    <w:rsid w:val="00D36E3E"/>
    <w:rsid w:val="00D37B69"/>
    <w:rsid w:val="00D428E3"/>
    <w:rsid w:val="00D4608B"/>
    <w:rsid w:val="00D4698E"/>
    <w:rsid w:val="00D50110"/>
    <w:rsid w:val="00D5319C"/>
    <w:rsid w:val="00D54328"/>
    <w:rsid w:val="00D57234"/>
    <w:rsid w:val="00D610F5"/>
    <w:rsid w:val="00D61782"/>
    <w:rsid w:val="00D62DA3"/>
    <w:rsid w:val="00D638ED"/>
    <w:rsid w:val="00D63CF6"/>
    <w:rsid w:val="00D645DE"/>
    <w:rsid w:val="00D648A5"/>
    <w:rsid w:val="00D6590C"/>
    <w:rsid w:val="00D65BAB"/>
    <w:rsid w:val="00D66D6A"/>
    <w:rsid w:val="00D74071"/>
    <w:rsid w:val="00D744CB"/>
    <w:rsid w:val="00D75162"/>
    <w:rsid w:val="00D770D8"/>
    <w:rsid w:val="00D80E18"/>
    <w:rsid w:val="00D81337"/>
    <w:rsid w:val="00D8143C"/>
    <w:rsid w:val="00D84C0A"/>
    <w:rsid w:val="00D84EC7"/>
    <w:rsid w:val="00D876E1"/>
    <w:rsid w:val="00D87993"/>
    <w:rsid w:val="00D879C1"/>
    <w:rsid w:val="00D903AF"/>
    <w:rsid w:val="00D929E7"/>
    <w:rsid w:val="00D931EE"/>
    <w:rsid w:val="00D9405A"/>
    <w:rsid w:val="00D95786"/>
    <w:rsid w:val="00D95FC5"/>
    <w:rsid w:val="00D96C87"/>
    <w:rsid w:val="00DA0148"/>
    <w:rsid w:val="00DA3631"/>
    <w:rsid w:val="00DA3D2A"/>
    <w:rsid w:val="00DA40D1"/>
    <w:rsid w:val="00DA435A"/>
    <w:rsid w:val="00DA4CB4"/>
    <w:rsid w:val="00DA6B3E"/>
    <w:rsid w:val="00DA7454"/>
    <w:rsid w:val="00DA7812"/>
    <w:rsid w:val="00DB0D35"/>
    <w:rsid w:val="00DB17B6"/>
    <w:rsid w:val="00DB1CBD"/>
    <w:rsid w:val="00DB21F5"/>
    <w:rsid w:val="00DB494F"/>
    <w:rsid w:val="00DB74B9"/>
    <w:rsid w:val="00DC09CF"/>
    <w:rsid w:val="00DC3545"/>
    <w:rsid w:val="00DC5444"/>
    <w:rsid w:val="00DC7225"/>
    <w:rsid w:val="00DC78AE"/>
    <w:rsid w:val="00DD244E"/>
    <w:rsid w:val="00DD3320"/>
    <w:rsid w:val="00DD363F"/>
    <w:rsid w:val="00DD662B"/>
    <w:rsid w:val="00DD7F91"/>
    <w:rsid w:val="00DE050F"/>
    <w:rsid w:val="00DE1259"/>
    <w:rsid w:val="00DE19D3"/>
    <w:rsid w:val="00DE216D"/>
    <w:rsid w:val="00DE2E6D"/>
    <w:rsid w:val="00DE3321"/>
    <w:rsid w:val="00DE5B75"/>
    <w:rsid w:val="00DE70BF"/>
    <w:rsid w:val="00DE76CA"/>
    <w:rsid w:val="00DF01E6"/>
    <w:rsid w:val="00DF0638"/>
    <w:rsid w:val="00DF116C"/>
    <w:rsid w:val="00DF1233"/>
    <w:rsid w:val="00DF45CD"/>
    <w:rsid w:val="00DF4A4C"/>
    <w:rsid w:val="00DF56AA"/>
    <w:rsid w:val="00E009C7"/>
    <w:rsid w:val="00E01C0D"/>
    <w:rsid w:val="00E01CF4"/>
    <w:rsid w:val="00E02512"/>
    <w:rsid w:val="00E03C4A"/>
    <w:rsid w:val="00E0528E"/>
    <w:rsid w:val="00E10B1C"/>
    <w:rsid w:val="00E150EB"/>
    <w:rsid w:val="00E154AA"/>
    <w:rsid w:val="00E16BB7"/>
    <w:rsid w:val="00E16EE6"/>
    <w:rsid w:val="00E206DB"/>
    <w:rsid w:val="00E20E12"/>
    <w:rsid w:val="00E22E31"/>
    <w:rsid w:val="00E25376"/>
    <w:rsid w:val="00E25FF4"/>
    <w:rsid w:val="00E27B5A"/>
    <w:rsid w:val="00E32176"/>
    <w:rsid w:val="00E331E7"/>
    <w:rsid w:val="00E340FF"/>
    <w:rsid w:val="00E34A32"/>
    <w:rsid w:val="00E367D3"/>
    <w:rsid w:val="00E41EA5"/>
    <w:rsid w:val="00E45715"/>
    <w:rsid w:val="00E50531"/>
    <w:rsid w:val="00E54B97"/>
    <w:rsid w:val="00E55932"/>
    <w:rsid w:val="00E57056"/>
    <w:rsid w:val="00E60318"/>
    <w:rsid w:val="00E60855"/>
    <w:rsid w:val="00E61096"/>
    <w:rsid w:val="00E61B8D"/>
    <w:rsid w:val="00E62296"/>
    <w:rsid w:val="00E6295F"/>
    <w:rsid w:val="00E62AFE"/>
    <w:rsid w:val="00E62DE8"/>
    <w:rsid w:val="00E658AD"/>
    <w:rsid w:val="00E65E8F"/>
    <w:rsid w:val="00E672E2"/>
    <w:rsid w:val="00E67B70"/>
    <w:rsid w:val="00E71ADB"/>
    <w:rsid w:val="00E72B84"/>
    <w:rsid w:val="00E73DFC"/>
    <w:rsid w:val="00E75159"/>
    <w:rsid w:val="00E767EF"/>
    <w:rsid w:val="00E770BE"/>
    <w:rsid w:val="00E77B8B"/>
    <w:rsid w:val="00E77D0E"/>
    <w:rsid w:val="00E80F5E"/>
    <w:rsid w:val="00E81291"/>
    <w:rsid w:val="00E852BA"/>
    <w:rsid w:val="00E86551"/>
    <w:rsid w:val="00E86636"/>
    <w:rsid w:val="00E90C07"/>
    <w:rsid w:val="00E9320C"/>
    <w:rsid w:val="00E932A5"/>
    <w:rsid w:val="00E93501"/>
    <w:rsid w:val="00E93FBF"/>
    <w:rsid w:val="00E96306"/>
    <w:rsid w:val="00E9761E"/>
    <w:rsid w:val="00EA0467"/>
    <w:rsid w:val="00EA1028"/>
    <w:rsid w:val="00EA17D8"/>
    <w:rsid w:val="00EA1D55"/>
    <w:rsid w:val="00EA334B"/>
    <w:rsid w:val="00EA4636"/>
    <w:rsid w:val="00EA4AF5"/>
    <w:rsid w:val="00EA6452"/>
    <w:rsid w:val="00EA6566"/>
    <w:rsid w:val="00EB128D"/>
    <w:rsid w:val="00EB3D58"/>
    <w:rsid w:val="00EB3EF1"/>
    <w:rsid w:val="00EB440B"/>
    <w:rsid w:val="00EB585C"/>
    <w:rsid w:val="00EB5E1D"/>
    <w:rsid w:val="00EC029F"/>
    <w:rsid w:val="00EC081D"/>
    <w:rsid w:val="00EC0C7C"/>
    <w:rsid w:val="00EC2423"/>
    <w:rsid w:val="00EC4771"/>
    <w:rsid w:val="00EC4F73"/>
    <w:rsid w:val="00EC7F9A"/>
    <w:rsid w:val="00ED2000"/>
    <w:rsid w:val="00ED312B"/>
    <w:rsid w:val="00ED34AC"/>
    <w:rsid w:val="00ED4D07"/>
    <w:rsid w:val="00ED5B14"/>
    <w:rsid w:val="00ED5E44"/>
    <w:rsid w:val="00ED6137"/>
    <w:rsid w:val="00ED72D7"/>
    <w:rsid w:val="00EE17D1"/>
    <w:rsid w:val="00EE52E3"/>
    <w:rsid w:val="00EE72B0"/>
    <w:rsid w:val="00EF13EE"/>
    <w:rsid w:val="00EF1AC7"/>
    <w:rsid w:val="00EF2403"/>
    <w:rsid w:val="00EF5440"/>
    <w:rsid w:val="00EF73B1"/>
    <w:rsid w:val="00F01F5D"/>
    <w:rsid w:val="00F022AB"/>
    <w:rsid w:val="00F02745"/>
    <w:rsid w:val="00F03F9D"/>
    <w:rsid w:val="00F05A68"/>
    <w:rsid w:val="00F05EF2"/>
    <w:rsid w:val="00F109DF"/>
    <w:rsid w:val="00F11EA0"/>
    <w:rsid w:val="00F12C80"/>
    <w:rsid w:val="00F14DD2"/>
    <w:rsid w:val="00F1608F"/>
    <w:rsid w:val="00F16810"/>
    <w:rsid w:val="00F175C3"/>
    <w:rsid w:val="00F17EE3"/>
    <w:rsid w:val="00F20CD7"/>
    <w:rsid w:val="00F2588F"/>
    <w:rsid w:val="00F26209"/>
    <w:rsid w:val="00F27E68"/>
    <w:rsid w:val="00F3022C"/>
    <w:rsid w:val="00F31C06"/>
    <w:rsid w:val="00F327A3"/>
    <w:rsid w:val="00F36FDA"/>
    <w:rsid w:val="00F37149"/>
    <w:rsid w:val="00F377B0"/>
    <w:rsid w:val="00F37B40"/>
    <w:rsid w:val="00F40BC9"/>
    <w:rsid w:val="00F41CE6"/>
    <w:rsid w:val="00F43000"/>
    <w:rsid w:val="00F46B7F"/>
    <w:rsid w:val="00F50046"/>
    <w:rsid w:val="00F50D2E"/>
    <w:rsid w:val="00F561FF"/>
    <w:rsid w:val="00F576AF"/>
    <w:rsid w:val="00F60142"/>
    <w:rsid w:val="00F623BC"/>
    <w:rsid w:val="00F635C2"/>
    <w:rsid w:val="00F64FE7"/>
    <w:rsid w:val="00F6540F"/>
    <w:rsid w:val="00F65F3D"/>
    <w:rsid w:val="00F67057"/>
    <w:rsid w:val="00F67279"/>
    <w:rsid w:val="00F67403"/>
    <w:rsid w:val="00F70375"/>
    <w:rsid w:val="00F719CB"/>
    <w:rsid w:val="00F727E1"/>
    <w:rsid w:val="00F73A6C"/>
    <w:rsid w:val="00F73E23"/>
    <w:rsid w:val="00F7658A"/>
    <w:rsid w:val="00F77940"/>
    <w:rsid w:val="00F8043A"/>
    <w:rsid w:val="00F81103"/>
    <w:rsid w:val="00F832C8"/>
    <w:rsid w:val="00F83802"/>
    <w:rsid w:val="00F83F6A"/>
    <w:rsid w:val="00F847F8"/>
    <w:rsid w:val="00F856AC"/>
    <w:rsid w:val="00F85871"/>
    <w:rsid w:val="00F91625"/>
    <w:rsid w:val="00F91984"/>
    <w:rsid w:val="00F93A16"/>
    <w:rsid w:val="00F93E8C"/>
    <w:rsid w:val="00F9417C"/>
    <w:rsid w:val="00F94692"/>
    <w:rsid w:val="00F94940"/>
    <w:rsid w:val="00F974EF"/>
    <w:rsid w:val="00FA018B"/>
    <w:rsid w:val="00FA0A9D"/>
    <w:rsid w:val="00FA2395"/>
    <w:rsid w:val="00FA4F2A"/>
    <w:rsid w:val="00FA5B6D"/>
    <w:rsid w:val="00FA71DF"/>
    <w:rsid w:val="00FA7D6F"/>
    <w:rsid w:val="00FB3866"/>
    <w:rsid w:val="00FB5ACB"/>
    <w:rsid w:val="00FB6E7C"/>
    <w:rsid w:val="00FC0690"/>
    <w:rsid w:val="00FC246C"/>
    <w:rsid w:val="00FC340E"/>
    <w:rsid w:val="00FC3DCD"/>
    <w:rsid w:val="00FC461E"/>
    <w:rsid w:val="00FC5A9A"/>
    <w:rsid w:val="00FC5BDC"/>
    <w:rsid w:val="00FC64DD"/>
    <w:rsid w:val="00FC6745"/>
    <w:rsid w:val="00FC76BF"/>
    <w:rsid w:val="00FC7E76"/>
    <w:rsid w:val="00FD326D"/>
    <w:rsid w:val="00FD3E0F"/>
    <w:rsid w:val="00FD5705"/>
    <w:rsid w:val="00FD76FB"/>
    <w:rsid w:val="00FE0FA8"/>
    <w:rsid w:val="00FE264E"/>
    <w:rsid w:val="00FE3503"/>
    <w:rsid w:val="00FE3953"/>
    <w:rsid w:val="00FE39B3"/>
    <w:rsid w:val="00FE4020"/>
    <w:rsid w:val="00FF0768"/>
    <w:rsid w:val="00FF25B0"/>
    <w:rsid w:val="00FF344E"/>
    <w:rsid w:val="00FF5AD3"/>
    <w:rsid w:val="00FF67FD"/>
    <w:rsid w:val="00FF6810"/>
    <w:rsid w:val="016E6090"/>
    <w:rsid w:val="029C6EF1"/>
    <w:rsid w:val="02D818B3"/>
    <w:rsid w:val="04870AA2"/>
    <w:rsid w:val="04F53709"/>
    <w:rsid w:val="054F0A5A"/>
    <w:rsid w:val="076217BE"/>
    <w:rsid w:val="079474BE"/>
    <w:rsid w:val="0860780D"/>
    <w:rsid w:val="09A86B2B"/>
    <w:rsid w:val="10FD5A45"/>
    <w:rsid w:val="115E0222"/>
    <w:rsid w:val="12386039"/>
    <w:rsid w:val="1451425F"/>
    <w:rsid w:val="16F9158D"/>
    <w:rsid w:val="17443334"/>
    <w:rsid w:val="19C92C08"/>
    <w:rsid w:val="1B163F65"/>
    <w:rsid w:val="1D8D672F"/>
    <w:rsid w:val="1DB96E95"/>
    <w:rsid w:val="1E9455B1"/>
    <w:rsid w:val="1EA02D54"/>
    <w:rsid w:val="20341090"/>
    <w:rsid w:val="229009C2"/>
    <w:rsid w:val="23480D97"/>
    <w:rsid w:val="24236A39"/>
    <w:rsid w:val="29A27EF5"/>
    <w:rsid w:val="29CA00C5"/>
    <w:rsid w:val="2A7404F8"/>
    <w:rsid w:val="2D090E0E"/>
    <w:rsid w:val="2D5B0345"/>
    <w:rsid w:val="332A06EF"/>
    <w:rsid w:val="35971945"/>
    <w:rsid w:val="36161A63"/>
    <w:rsid w:val="384142D3"/>
    <w:rsid w:val="3A5D652F"/>
    <w:rsid w:val="3B8C643D"/>
    <w:rsid w:val="3BFD1192"/>
    <w:rsid w:val="3CF95CB0"/>
    <w:rsid w:val="3DFF4848"/>
    <w:rsid w:val="42576383"/>
    <w:rsid w:val="441E5BE5"/>
    <w:rsid w:val="44FD7AF2"/>
    <w:rsid w:val="46F536B2"/>
    <w:rsid w:val="483459B5"/>
    <w:rsid w:val="48A05FC8"/>
    <w:rsid w:val="4A4212A4"/>
    <w:rsid w:val="4B26165C"/>
    <w:rsid w:val="4C2E47C6"/>
    <w:rsid w:val="4C8828E7"/>
    <w:rsid w:val="4CFA08F6"/>
    <w:rsid w:val="4EA05235"/>
    <w:rsid w:val="4FDF5DAE"/>
    <w:rsid w:val="52A77AAA"/>
    <w:rsid w:val="52CA328C"/>
    <w:rsid w:val="53C54064"/>
    <w:rsid w:val="57C0629F"/>
    <w:rsid w:val="59B95CE1"/>
    <w:rsid w:val="5A5C61A9"/>
    <w:rsid w:val="5BB77877"/>
    <w:rsid w:val="5D6E187C"/>
    <w:rsid w:val="5F8F428A"/>
    <w:rsid w:val="62F00870"/>
    <w:rsid w:val="633A18E8"/>
    <w:rsid w:val="63B822E8"/>
    <w:rsid w:val="63C905F8"/>
    <w:rsid w:val="680C3281"/>
    <w:rsid w:val="68704727"/>
    <w:rsid w:val="6ADB72A8"/>
    <w:rsid w:val="6CC814D8"/>
    <w:rsid w:val="6DF75A0A"/>
    <w:rsid w:val="6E871893"/>
    <w:rsid w:val="6F3926A1"/>
    <w:rsid w:val="6F8707E8"/>
    <w:rsid w:val="6FE509DE"/>
    <w:rsid w:val="720E2CDF"/>
    <w:rsid w:val="72AB64F1"/>
    <w:rsid w:val="7801517C"/>
    <w:rsid w:val="7A916171"/>
    <w:rsid w:val="7B091B23"/>
    <w:rsid w:val="7B850D45"/>
    <w:rsid w:val="7BDA0098"/>
    <w:rsid w:val="7E7E5345"/>
    <w:rsid w:val="7F4810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qFormat="1" w:unhideWhenUsed="0" w:uiPriority="0" w:name="envelope address"/>
    <w:lsdException w:qFormat="1" w:unhideWhenUsed="0" w:uiPriority="0" w:name="envelope return"/>
    <w:lsdException w:unhideWhenUsed="0" w:uiPriority="0" w:semiHidden="0" w:name="footnote reference"/>
    <w:lsdException w:unhideWhenUsed="0" w:uiPriority="0" w:semiHidden="0" w:name="annotation reference"/>
    <w:lsdException w:qFormat="1" w:unhideWhenUsed="0" w:uiPriority="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qFormat="1" w:unhideWhenUsed="0" w:uiPriority="0" w:name="Closing"/>
    <w:lsdException w:qFormat="1" w:unhideWhenUsed="0" w:uiPriority="0" w:name="Signature"/>
    <w:lsdException w:qFormat="1" w:uiPriority="1" w:name="Default Paragraph Font"/>
    <w:lsdException w:qFormat="1" w:unhideWhenUsed="0" w:uiPriority="0" w:name="Body Text"/>
    <w:lsdException w:qFormat="1" w:unhideWhenUsed="0" w:uiPriority="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0" w:semiHidden="0" w:name="Subtitle"/>
    <w:lsdException w:qFormat="1" w:unhideWhenUsed="0" w:uiPriority="0" w:name="Salutation"/>
    <w:lsdException w:qFormat="1" w:unhideWhenUsed="0" w:uiPriority="0" w:name="Date"/>
    <w:lsdException w:qFormat="1" w:unhideWhenUsed="0" w:uiPriority="0" w:name="Body Text First Indent"/>
    <w:lsdException w:qFormat="1" w:unhideWhenUsed="0" w:uiPriority="0" w:name="Body Text First Indent 2"/>
    <w:lsdException w:qFormat="1" w:unhideWhenUsed="0" w:uiPriority="0" w:name="Note Heading"/>
    <w:lsdException w:qFormat="1" w:unhideWhenUsed="0" w:uiPriority="0" w:name="Body Text 2"/>
    <w:lsdException w:qFormat="1" w:unhideWhenUsed="0" w:uiPriority="0"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nhideWhenUsed="0"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name="Plain Text"/>
    <w:lsdException w:qFormat="1" w:unhideWhenUsed="0" w:uiPriority="0" w:name="E-mail Signature"/>
    <w:lsdException w:qFormat="1" w:unhideWhenUsed="0" w:uiPriority="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unhideWhenUsed="0" w:uiPriority="0" w:semiHidden="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4"/>
      <w:lang w:val="en-US" w:eastAsia="zh-CN" w:bidi="ar-SA"/>
    </w:rPr>
  </w:style>
  <w:style w:type="paragraph" w:styleId="2">
    <w:name w:val="heading 1"/>
    <w:basedOn w:val="1"/>
    <w:next w:val="1"/>
    <w:link w:val="123"/>
    <w:qFormat/>
    <w:uiPriority w:val="0"/>
    <w:pPr>
      <w:keepNext/>
      <w:keepLines/>
      <w:topLinePunct/>
      <w:spacing w:line="480" w:lineRule="auto"/>
      <w:ind w:firstLine="420"/>
      <w:textAlignment w:val="baseline"/>
      <w:outlineLvl w:val="0"/>
    </w:pPr>
    <w:rPr>
      <w:rFonts w:eastAsia="HJOHK M+ Times"/>
      <w:kern w:val="44"/>
      <w:sz w:val="22"/>
      <w:szCs w:val="22"/>
    </w:rPr>
  </w:style>
  <w:style w:type="paragraph" w:styleId="3">
    <w:name w:val="heading 2"/>
    <w:basedOn w:val="1"/>
    <w:next w:val="1"/>
    <w:link w:val="124"/>
    <w:qFormat/>
    <w:uiPriority w:val="0"/>
    <w:pPr>
      <w:keepNext/>
      <w:keepLines/>
      <w:spacing w:before="260" w:after="260" w:line="416" w:lineRule="auto"/>
      <w:outlineLvl w:val="1"/>
    </w:pPr>
    <w:rPr>
      <w:rFonts w:eastAsia="Cambria Math"/>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eastAsia="Cambria Math"/>
      <w:b/>
      <w:bCs/>
      <w:sz w:val="28"/>
      <w:szCs w:val="28"/>
    </w:rPr>
  </w:style>
  <w:style w:type="paragraph" w:styleId="6">
    <w:name w:val="heading 5"/>
    <w:basedOn w:val="1"/>
    <w:next w:val="1"/>
    <w:qFormat/>
    <w:uiPriority w:val="0"/>
    <w:pPr>
      <w:keepNext/>
      <w:keepLines/>
      <w:spacing w:line="360" w:lineRule="auto"/>
      <w:outlineLvl w:val="4"/>
    </w:pPr>
    <w:rPr>
      <w:rFonts w:eastAsia="Cambria Math"/>
      <w:bCs/>
      <w:szCs w:val="28"/>
    </w:rPr>
  </w:style>
  <w:style w:type="paragraph" w:styleId="7">
    <w:name w:val="heading 6"/>
    <w:basedOn w:val="1"/>
    <w:next w:val="1"/>
    <w:qFormat/>
    <w:uiPriority w:val="0"/>
    <w:pPr>
      <w:keepNext/>
      <w:keepLines/>
      <w:spacing w:before="240" w:after="64" w:line="320" w:lineRule="auto"/>
      <w:outlineLvl w:val="5"/>
    </w:pPr>
    <w:rPr>
      <w:rFonts w:eastAsia="Cambria Math"/>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eastAsia="Cambria Math"/>
      <w:sz w:val="24"/>
    </w:rPr>
  </w:style>
  <w:style w:type="paragraph" w:styleId="10">
    <w:name w:val="heading 9"/>
    <w:basedOn w:val="1"/>
    <w:next w:val="1"/>
    <w:qFormat/>
    <w:uiPriority w:val="0"/>
    <w:pPr>
      <w:keepNext/>
      <w:keepLines/>
      <w:spacing w:before="240" w:after="64" w:line="320" w:lineRule="auto"/>
      <w:outlineLvl w:val="8"/>
    </w:pPr>
    <w:rPr>
      <w:rFonts w:eastAsia="Cambria Math"/>
      <w:szCs w:val="21"/>
    </w:rPr>
  </w:style>
  <w:style w:type="character" w:default="1" w:styleId="107">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260" w:hanging="420"/>
    </w:pPr>
  </w:style>
  <w:style w:type="paragraph" w:styleId="12">
    <w:name w:val="List Number 2"/>
    <w:basedOn w:val="1"/>
    <w:semiHidden/>
    <w:qFormat/>
    <w:uiPriority w:val="0"/>
    <w:pPr>
      <w:numPr>
        <w:ilvl w:val="0"/>
        <w:numId w:val="1"/>
      </w:numPr>
    </w:pPr>
  </w:style>
  <w:style w:type="paragraph" w:styleId="13">
    <w:name w:val="Note Heading"/>
    <w:basedOn w:val="1"/>
    <w:next w:val="1"/>
    <w:semiHidden/>
    <w:qFormat/>
    <w:uiPriority w:val="0"/>
    <w:pPr>
      <w:jc w:val="center"/>
    </w:pPr>
  </w:style>
  <w:style w:type="paragraph" w:styleId="14">
    <w:name w:val="List Bullet 4"/>
    <w:basedOn w:val="1"/>
    <w:semiHidden/>
    <w:qFormat/>
    <w:uiPriority w:val="0"/>
    <w:pPr>
      <w:numPr>
        <w:ilvl w:val="0"/>
        <w:numId w:val="2"/>
      </w:numPr>
    </w:pPr>
  </w:style>
  <w:style w:type="paragraph" w:styleId="15">
    <w:name w:val="E-mail Signature"/>
    <w:basedOn w:val="1"/>
    <w:semiHidden/>
    <w:qFormat/>
    <w:uiPriority w:val="0"/>
  </w:style>
  <w:style w:type="paragraph" w:styleId="16">
    <w:name w:val="List Number"/>
    <w:basedOn w:val="1"/>
    <w:semiHidden/>
    <w:qFormat/>
    <w:uiPriority w:val="0"/>
    <w:pPr>
      <w:numPr>
        <w:ilvl w:val="0"/>
        <w:numId w:val="3"/>
      </w:numPr>
    </w:pPr>
  </w:style>
  <w:style w:type="paragraph" w:styleId="17">
    <w:name w:val="Normal Indent"/>
    <w:basedOn w:val="1"/>
    <w:semiHidden/>
    <w:qFormat/>
    <w:uiPriority w:val="0"/>
    <w:pPr>
      <w:ind w:firstLine="420"/>
    </w:pPr>
  </w:style>
  <w:style w:type="paragraph" w:styleId="18">
    <w:name w:val="List Bullet"/>
    <w:basedOn w:val="1"/>
    <w:semiHidden/>
    <w:qFormat/>
    <w:uiPriority w:val="0"/>
    <w:pPr>
      <w:numPr>
        <w:ilvl w:val="0"/>
        <w:numId w:val="4"/>
      </w:numPr>
    </w:pPr>
  </w:style>
  <w:style w:type="paragraph" w:styleId="19">
    <w:name w:val="envelope address"/>
    <w:basedOn w:val="1"/>
    <w:semiHidden/>
    <w:qFormat/>
    <w:uiPriority w:val="0"/>
    <w:pPr>
      <w:framePr w:w="7920" w:h="1980" w:hRule="exact" w:hSpace="180" w:wrap="around" w:vAnchor="margin" w:hAnchor="page" w:xAlign="center" w:yAlign="bottom"/>
      <w:snapToGrid w:val="0"/>
      <w:ind w:left="2880"/>
    </w:pPr>
    <w:rPr>
      <w:sz w:val="24"/>
    </w:rPr>
  </w:style>
  <w:style w:type="paragraph" w:styleId="20">
    <w:name w:val="Document Map"/>
    <w:basedOn w:val="1"/>
    <w:semiHidden/>
    <w:qFormat/>
    <w:uiPriority w:val="0"/>
    <w:pPr>
      <w:shd w:val="clear" w:color="auto" w:fill="000080"/>
    </w:pPr>
  </w:style>
  <w:style w:type="paragraph" w:styleId="21">
    <w:name w:val="Salutation"/>
    <w:basedOn w:val="1"/>
    <w:next w:val="1"/>
    <w:semiHidden/>
    <w:qFormat/>
    <w:uiPriority w:val="0"/>
  </w:style>
  <w:style w:type="paragraph" w:styleId="22">
    <w:name w:val="Body Text 3"/>
    <w:basedOn w:val="1"/>
    <w:semiHidden/>
    <w:qFormat/>
    <w:uiPriority w:val="0"/>
    <w:pPr>
      <w:spacing w:after="120"/>
    </w:pPr>
    <w:rPr>
      <w:sz w:val="16"/>
      <w:szCs w:val="16"/>
    </w:rPr>
  </w:style>
  <w:style w:type="paragraph" w:styleId="23">
    <w:name w:val="Closing"/>
    <w:basedOn w:val="1"/>
    <w:semiHidden/>
    <w:qFormat/>
    <w:uiPriority w:val="0"/>
    <w:pPr>
      <w:ind w:left="4320"/>
    </w:pPr>
  </w:style>
  <w:style w:type="paragraph" w:styleId="24">
    <w:name w:val="List Bullet 3"/>
    <w:basedOn w:val="1"/>
    <w:semiHidden/>
    <w:qFormat/>
    <w:uiPriority w:val="0"/>
    <w:pPr>
      <w:numPr>
        <w:ilvl w:val="0"/>
        <w:numId w:val="5"/>
      </w:numPr>
    </w:pPr>
  </w:style>
  <w:style w:type="paragraph" w:styleId="25">
    <w:name w:val="Body Text"/>
    <w:basedOn w:val="1"/>
    <w:semiHidden/>
    <w:qFormat/>
    <w:uiPriority w:val="0"/>
    <w:pPr>
      <w:spacing w:after="120"/>
    </w:pPr>
  </w:style>
  <w:style w:type="paragraph" w:styleId="26">
    <w:name w:val="Body Text Indent"/>
    <w:basedOn w:val="1"/>
    <w:semiHidden/>
    <w:qFormat/>
    <w:uiPriority w:val="0"/>
    <w:pPr>
      <w:spacing w:after="120"/>
      <w:ind w:left="420"/>
    </w:pPr>
  </w:style>
  <w:style w:type="paragraph" w:styleId="27">
    <w:name w:val="List Number 3"/>
    <w:basedOn w:val="1"/>
    <w:semiHidden/>
    <w:qFormat/>
    <w:uiPriority w:val="0"/>
    <w:pPr>
      <w:numPr>
        <w:ilvl w:val="0"/>
        <w:numId w:val="6"/>
      </w:numPr>
    </w:pPr>
  </w:style>
  <w:style w:type="paragraph" w:styleId="28">
    <w:name w:val="List 2"/>
    <w:basedOn w:val="1"/>
    <w:semiHidden/>
    <w:qFormat/>
    <w:uiPriority w:val="0"/>
    <w:pPr>
      <w:ind w:left="840" w:hanging="420"/>
    </w:pPr>
  </w:style>
  <w:style w:type="paragraph" w:styleId="29">
    <w:name w:val="List Continue"/>
    <w:basedOn w:val="1"/>
    <w:semiHidden/>
    <w:qFormat/>
    <w:uiPriority w:val="0"/>
    <w:pPr>
      <w:spacing w:after="120"/>
      <w:ind w:left="420"/>
    </w:pPr>
  </w:style>
  <w:style w:type="paragraph" w:styleId="30">
    <w:name w:val="Block Text"/>
    <w:basedOn w:val="1"/>
    <w:semiHidden/>
    <w:qFormat/>
    <w:uiPriority w:val="0"/>
    <w:pPr>
      <w:spacing w:after="120"/>
      <w:ind w:left="1440" w:right="1440"/>
    </w:pPr>
  </w:style>
  <w:style w:type="paragraph" w:styleId="31">
    <w:name w:val="List Bullet 2"/>
    <w:basedOn w:val="1"/>
    <w:semiHidden/>
    <w:qFormat/>
    <w:uiPriority w:val="0"/>
    <w:pPr>
      <w:numPr>
        <w:ilvl w:val="0"/>
        <w:numId w:val="7"/>
      </w:numPr>
    </w:pPr>
  </w:style>
  <w:style w:type="paragraph" w:styleId="32">
    <w:name w:val="HTML Address"/>
    <w:basedOn w:val="1"/>
    <w:semiHidden/>
    <w:qFormat/>
    <w:uiPriority w:val="0"/>
    <w:rPr>
      <w:i/>
      <w:iCs/>
    </w:rPr>
  </w:style>
  <w:style w:type="paragraph" w:styleId="33">
    <w:name w:val="Plain Text"/>
    <w:basedOn w:val="1"/>
    <w:semiHidden/>
    <w:qFormat/>
    <w:uiPriority w:val="0"/>
    <w:rPr>
      <w:rFonts w:ascii="Cambria Math"/>
      <w:szCs w:val="21"/>
    </w:rPr>
  </w:style>
  <w:style w:type="paragraph" w:styleId="34">
    <w:name w:val="List Bullet 5"/>
    <w:basedOn w:val="1"/>
    <w:semiHidden/>
    <w:qFormat/>
    <w:uiPriority w:val="0"/>
    <w:pPr>
      <w:numPr>
        <w:ilvl w:val="0"/>
        <w:numId w:val="8"/>
      </w:numPr>
    </w:pPr>
  </w:style>
  <w:style w:type="paragraph" w:styleId="35">
    <w:name w:val="List Number 4"/>
    <w:basedOn w:val="1"/>
    <w:semiHidden/>
    <w:qFormat/>
    <w:uiPriority w:val="0"/>
    <w:pPr>
      <w:numPr>
        <w:ilvl w:val="0"/>
        <w:numId w:val="9"/>
      </w:numPr>
    </w:pPr>
  </w:style>
  <w:style w:type="paragraph" w:styleId="36">
    <w:name w:val="Date"/>
    <w:basedOn w:val="1"/>
    <w:next w:val="1"/>
    <w:semiHidden/>
    <w:qFormat/>
    <w:uiPriority w:val="0"/>
  </w:style>
  <w:style w:type="paragraph" w:styleId="37">
    <w:name w:val="Body Text Indent 2"/>
    <w:basedOn w:val="1"/>
    <w:semiHidden/>
    <w:qFormat/>
    <w:uiPriority w:val="0"/>
    <w:pPr>
      <w:spacing w:after="120" w:line="480" w:lineRule="auto"/>
      <w:ind w:left="420"/>
    </w:pPr>
  </w:style>
  <w:style w:type="paragraph" w:styleId="38">
    <w:name w:val="List Continue 5"/>
    <w:basedOn w:val="1"/>
    <w:semiHidden/>
    <w:qFormat/>
    <w:uiPriority w:val="0"/>
    <w:pPr>
      <w:spacing w:after="120"/>
      <w:ind w:left="2100"/>
    </w:pPr>
  </w:style>
  <w:style w:type="paragraph" w:styleId="39">
    <w:name w:val="Balloon Text"/>
    <w:basedOn w:val="1"/>
    <w:semiHidden/>
    <w:qFormat/>
    <w:uiPriority w:val="0"/>
    <w:rPr>
      <w:sz w:val="18"/>
      <w:szCs w:val="18"/>
    </w:rPr>
  </w:style>
  <w:style w:type="paragraph" w:styleId="40">
    <w:name w:val="footer"/>
    <w:basedOn w:val="1"/>
    <w:semiHidden/>
    <w:qFormat/>
    <w:uiPriority w:val="0"/>
    <w:pPr>
      <w:tabs>
        <w:tab w:val="center" w:pos="4153"/>
        <w:tab w:val="right" w:pos="8306"/>
      </w:tabs>
      <w:snapToGrid w:val="0"/>
      <w:jc w:val="left"/>
    </w:pPr>
    <w:rPr>
      <w:sz w:val="18"/>
      <w:szCs w:val="18"/>
    </w:rPr>
  </w:style>
  <w:style w:type="paragraph" w:styleId="41">
    <w:name w:val="envelope return"/>
    <w:basedOn w:val="1"/>
    <w:semiHidden/>
    <w:qFormat/>
    <w:uiPriority w:val="0"/>
    <w:pPr>
      <w:snapToGrid w:val="0"/>
    </w:pPr>
  </w:style>
  <w:style w:type="paragraph" w:styleId="42">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43">
    <w:name w:val="Signature"/>
    <w:basedOn w:val="1"/>
    <w:semiHidden/>
    <w:qFormat/>
    <w:uiPriority w:val="0"/>
    <w:pPr>
      <w:ind w:left="4320"/>
    </w:pPr>
  </w:style>
  <w:style w:type="paragraph" w:styleId="44">
    <w:name w:val="toc 1"/>
    <w:basedOn w:val="1"/>
    <w:next w:val="1"/>
    <w:qFormat/>
    <w:uiPriority w:val="39"/>
  </w:style>
  <w:style w:type="paragraph" w:styleId="45">
    <w:name w:val="List Continue 4"/>
    <w:basedOn w:val="1"/>
    <w:semiHidden/>
    <w:qFormat/>
    <w:uiPriority w:val="0"/>
    <w:pPr>
      <w:spacing w:after="120"/>
      <w:ind w:left="1680"/>
    </w:pPr>
  </w:style>
  <w:style w:type="paragraph" w:styleId="46">
    <w:name w:val="Subtitle"/>
    <w:basedOn w:val="1"/>
    <w:qFormat/>
    <w:uiPriority w:val="0"/>
    <w:pPr>
      <w:spacing w:before="240" w:after="60" w:line="312" w:lineRule="auto"/>
      <w:jc w:val="center"/>
      <w:outlineLvl w:val="1"/>
    </w:pPr>
    <w:rPr>
      <w:b/>
      <w:bCs/>
      <w:kern w:val="28"/>
      <w:sz w:val="32"/>
      <w:szCs w:val="32"/>
    </w:rPr>
  </w:style>
  <w:style w:type="paragraph" w:styleId="47">
    <w:name w:val="List Number 5"/>
    <w:basedOn w:val="1"/>
    <w:semiHidden/>
    <w:qFormat/>
    <w:uiPriority w:val="0"/>
    <w:pPr>
      <w:numPr>
        <w:ilvl w:val="0"/>
        <w:numId w:val="10"/>
      </w:numPr>
    </w:pPr>
  </w:style>
  <w:style w:type="paragraph" w:styleId="48">
    <w:name w:val="List"/>
    <w:basedOn w:val="1"/>
    <w:semiHidden/>
    <w:qFormat/>
    <w:uiPriority w:val="0"/>
    <w:pPr>
      <w:ind w:left="420" w:hanging="420"/>
    </w:pPr>
  </w:style>
  <w:style w:type="paragraph" w:styleId="49">
    <w:name w:val="List 5"/>
    <w:basedOn w:val="1"/>
    <w:semiHidden/>
    <w:qFormat/>
    <w:uiPriority w:val="0"/>
    <w:pPr>
      <w:ind w:left="2100" w:hanging="420"/>
    </w:pPr>
  </w:style>
  <w:style w:type="paragraph" w:styleId="50">
    <w:name w:val="Body Text Indent 3"/>
    <w:basedOn w:val="1"/>
    <w:semiHidden/>
    <w:qFormat/>
    <w:uiPriority w:val="0"/>
    <w:pPr>
      <w:spacing w:after="120"/>
      <w:ind w:left="420"/>
    </w:pPr>
    <w:rPr>
      <w:sz w:val="16"/>
      <w:szCs w:val="16"/>
    </w:rPr>
  </w:style>
  <w:style w:type="paragraph" w:styleId="51">
    <w:name w:val="toc 2"/>
    <w:basedOn w:val="1"/>
    <w:next w:val="1"/>
    <w:qFormat/>
    <w:uiPriority w:val="39"/>
    <w:pPr>
      <w:ind w:left="420" w:leftChars="200"/>
    </w:pPr>
  </w:style>
  <w:style w:type="paragraph" w:styleId="52">
    <w:name w:val="Body Text 2"/>
    <w:basedOn w:val="1"/>
    <w:semiHidden/>
    <w:qFormat/>
    <w:uiPriority w:val="0"/>
    <w:pPr>
      <w:spacing w:after="120" w:line="480" w:lineRule="auto"/>
    </w:pPr>
  </w:style>
  <w:style w:type="paragraph" w:styleId="53">
    <w:name w:val="List 4"/>
    <w:basedOn w:val="1"/>
    <w:semiHidden/>
    <w:qFormat/>
    <w:uiPriority w:val="0"/>
    <w:pPr>
      <w:ind w:left="1680" w:hanging="420"/>
    </w:pPr>
  </w:style>
  <w:style w:type="paragraph" w:styleId="54">
    <w:name w:val="List Continue 2"/>
    <w:basedOn w:val="1"/>
    <w:semiHidden/>
    <w:qFormat/>
    <w:uiPriority w:val="0"/>
    <w:pPr>
      <w:spacing w:after="120"/>
      <w:ind w:left="840"/>
    </w:pPr>
  </w:style>
  <w:style w:type="paragraph" w:styleId="55">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sz w:val="24"/>
    </w:rPr>
  </w:style>
  <w:style w:type="paragraph" w:styleId="56">
    <w:name w:val="HTML Preformatted"/>
    <w:basedOn w:val="1"/>
    <w:semiHidden/>
    <w:qFormat/>
    <w:uiPriority w:val="0"/>
    <w:rPr>
      <w:sz w:val="20"/>
      <w:szCs w:val="20"/>
    </w:rPr>
  </w:style>
  <w:style w:type="paragraph" w:styleId="57">
    <w:name w:val="Normal (Web)"/>
    <w:basedOn w:val="1"/>
    <w:semiHidden/>
    <w:qFormat/>
    <w:uiPriority w:val="0"/>
    <w:rPr>
      <w:sz w:val="24"/>
    </w:rPr>
  </w:style>
  <w:style w:type="paragraph" w:styleId="58">
    <w:name w:val="List Continue 3"/>
    <w:basedOn w:val="1"/>
    <w:semiHidden/>
    <w:qFormat/>
    <w:uiPriority w:val="0"/>
    <w:pPr>
      <w:spacing w:after="120"/>
      <w:ind w:left="1260"/>
    </w:pPr>
  </w:style>
  <w:style w:type="paragraph" w:styleId="59">
    <w:name w:val="Title"/>
    <w:basedOn w:val="1"/>
    <w:qFormat/>
    <w:uiPriority w:val="0"/>
    <w:pPr>
      <w:spacing w:before="240" w:after="60"/>
      <w:jc w:val="center"/>
      <w:outlineLvl w:val="0"/>
    </w:pPr>
    <w:rPr>
      <w:b/>
      <w:bCs/>
      <w:sz w:val="32"/>
      <w:szCs w:val="32"/>
    </w:rPr>
  </w:style>
  <w:style w:type="paragraph" w:styleId="60">
    <w:name w:val="Body Text First Indent"/>
    <w:basedOn w:val="25"/>
    <w:semiHidden/>
    <w:qFormat/>
    <w:uiPriority w:val="0"/>
    <w:pPr>
      <w:ind w:firstLine="420"/>
    </w:pPr>
  </w:style>
  <w:style w:type="paragraph" w:styleId="61">
    <w:name w:val="Body Text First Indent 2"/>
    <w:basedOn w:val="26"/>
    <w:semiHidden/>
    <w:qFormat/>
    <w:uiPriority w:val="0"/>
    <w:pPr>
      <w:ind w:firstLine="420"/>
    </w:pPr>
  </w:style>
  <w:style w:type="table" w:styleId="63">
    <w:name w:val="Table Grid"/>
    <w:basedOn w:val="62"/>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4">
    <w:name w:val="Table Theme"/>
    <w:basedOn w:val="62"/>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5">
    <w:name w:val="Table Colorful 1"/>
    <w:basedOn w:val="62"/>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66">
    <w:name w:val="Table Colorful 2"/>
    <w:basedOn w:val="62"/>
    <w:semiHidden/>
    <w:qFormat/>
    <w:uiPriority w:val="0"/>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67">
    <w:name w:val="Table Colorful 3"/>
    <w:basedOn w:val="62"/>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68">
    <w:name w:val="Table Elegant"/>
    <w:basedOn w:val="62"/>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69">
    <w:name w:val="Table Classic 1"/>
    <w:basedOn w:val="62"/>
    <w:semiHidden/>
    <w:qFormat/>
    <w:uiPriority w:val="0"/>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70">
    <w:name w:val="Table Classic 2"/>
    <w:basedOn w:val="62"/>
    <w:semiHidden/>
    <w:qFormat/>
    <w:uiPriority w:val="0"/>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71">
    <w:name w:val="Table Classic 3"/>
    <w:basedOn w:val="62"/>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72">
    <w:name w:val="Table Classic 4"/>
    <w:basedOn w:val="62"/>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73">
    <w:name w:val="Table Simple 1"/>
    <w:basedOn w:val="62"/>
    <w:semiHidden/>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74">
    <w:name w:val="Table Simple 2"/>
    <w:basedOn w:val="62"/>
    <w:semiHidden/>
    <w:qFormat/>
    <w:uiPriority w:val="0"/>
    <w:pPr>
      <w:widowControl w:val="0"/>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75">
    <w:name w:val="Table Simple 3"/>
    <w:basedOn w:val="62"/>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76">
    <w:name w:val="Table Subtle 1"/>
    <w:basedOn w:val="62"/>
    <w:semiHidden/>
    <w:qFormat/>
    <w:uiPriority w:val="0"/>
    <w:pPr>
      <w:widowControl w:val="0"/>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77">
    <w:name w:val="Table Subtle 2"/>
    <w:basedOn w:val="62"/>
    <w:semiHidden/>
    <w:qFormat/>
    <w:uiPriority w:val="0"/>
    <w:pPr>
      <w:widowControl w:val="0"/>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78">
    <w:name w:val="Table 3D effects 1"/>
    <w:basedOn w:val="62"/>
    <w:semiHidden/>
    <w:qFormat/>
    <w:uiPriority w:val="0"/>
    <w:pPr>
      <w:widowControl w:val="0"/>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79">
    <w:name w:val="Table 3D effects 2"/>
    <w:basedOn w:val="62"/>
    <w:semiHidden/>
    <w:qFormat/>
    <w:uiPriority w:val="0"/>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80">
    <w:name w:val="Table 3D effects 3"/>
    <w:basedOn w:val="62"/>
    <w:semiHidden/>
    <w:qFormat/>
    <w:uiPriority w:val="0"/>
    <w:pPr>
      <w:widowControl w:val="0"/>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81">
    <w:name w:val="Table List 1"/>
    <w:basedOn w:val="62"/>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82">
    <w:name w:val="Table List 2"/>
    <w:basedOn w:val="62"/>
    <w:semiHidden/>
    <w:qFormat/>
    <w:uiPriority w:val="0"/>
    <w:pPr>
      <w:widowControl w:val="0"/>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83">
    <w:name w:val="Table List 3"/>
    <w:basedOn w:val="62"/>
    <w:semiHidden/>
    <w:qFormat/>
    <w:uiPriority w:val="0"/>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84">
    <w:name w:val="Table List 4"/>
    <w:basedOn w:val="62"/>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85">
    <w:name w:val="Table List 5"/>
    <w:basedOn w:val="62"/>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86">
    <w:name w:val="Table List 6"/>
    <w:basedOn w:val="62"/>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87">
    <w:name w:val="Table List 7"/>
    <w:basedOn w:val="62"/>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8">
    <w:name w:val="Table List 8"/>
    <w:basedOn w:val="62"/>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89">
    <w:name w:val="Table Contemporary"/>
    <w:basedOn w:val="62"/>
    <w:semiHidden/>
    <w:qFormat/>
    <w:uiPriority w:val="0"/>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90">
    <w:name w:val="Table Columns 1"/>
    <w:basedOn w:val="62"/>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1">
    <w:name w:val="Table Columns 2"/>
    <w:basedOn w:val="62"/>
    <w:semiHidden/>
    <w:qFormat/>
    <w:uiPriority w:val="0"/>
    <w:pPr>
      <w:widowControl w:val="0"/>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2">
    <w:name w:val="Table Columns 3"/>
    <w:basedOn w:val="62"/>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93">
    <w:name w:val="Table Columns 4"/>
    <w:basedOn w:val="62"/>
    <w:semiHidden/>
    <w:qFormat/>
    <w:uiPriority w:val="0"/>
    <w:pPr>
      <w:widowControl w:val="0"/>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94">
    <w:name w:val="Table Columns 5"/>
    <w:basedOn w:val="62"/>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95">
    <w:name w:val="Table Grid 1"/>
    <w:basedOn w:val="62"/>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96">
    <w:name w:val="Table Grid 2"/>
    <w:basedOn w:val="62"/>
    <w:semiHidden/>
    <w:qFormat/>
    <w:uiPriority w:val="0"/>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97">
    <w:name w:val="Table Grid 3"/>
    <w:basedOn w:val="62"/>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98">
    <w:name w:val="Table Grid 4"/>
    <w:basedOn w:val="62"/>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99">
    <w:name w:val="Table Grid 5"/>
    <w:basedOn w:val="62"/>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00">
    <w:name w:val="Table Grid 6"/>
    <w:basedOn w:val="62"/>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01">
    <w:name w:val="Table Grid 7"/>
    <w:basedOn w:val="62"/>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02">
    <w:name w:val="Table Grid 8"/>
    <w:basedOn w:val="62"/>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03">
    <w:name w:val="Table Web 1"/>
    <w:basedOn w:val="62"/>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04">
    <w:name w:val="Table Web 2"/>
    <w:basedOn w:val="62"/>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05">
    <w:name w:val="Table Web 3"/>
    <w:basedOn w:val="62"/>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06">
    <w:name w:val="Table Professional"/>
    <w:basedOn w:val="62"/>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108">
    <w:name w:val="Strong"/>
    <w:qFormat/>
    <w:uiPriority w:val="0"/>
    <w:rPr>
      <w:b/>
      <w:bCs/>
    </w:rPr>
  </w:style>
  <w:style w:type="character" w:styleId="109">
    <w:name w:val="page number"/>
    <w:basedOn w:val="107"/>
    <w:semiHidden/>
    <w:qFormat/>
    <w:uiPriority w:val="0"/>
  </w:style>
  <w:style w:type="character" w:styleId="110">
    <w:name w:val="FollowedHyperlink"/>
    <w:semiHidden/>
    <w:qFormat/>
    <w:uiPriority w:val="0"/>
    <w:rPr>
      <w:color w:val="800080"/>
      <w:u w:val="single"/>
    </w:rPr>
  </w:style>
  <w:style w:type="character" w:styleId="111">
    <w:name w:val="Emphasis"/>
    <w:qFormat/>
    <w:uiPriority w:val="0"/>
    <w:rPr>
      <w:i/>
      <w:iCs/>
    </w:rPr>
  </w:style>
  <w:style w:type="character" w:styleId="112">
    <w:name w:val="line number"/>
    <w:basedOn w:val="107"/>
    <w:semiHidden/>
    <w:qFormat/>
    <w:uiPriority w:val="0"/>
  </w:style>
  <w:style w:type="character" w:styleId="113">
    <w:name w:val="HTML Definition"/>
    <w:semiHidden/>
    <w:qFormat/>
    <w:uiPriority w:val="0"/>
    <w:rPr>
      <w:i/>
      <w:iCs/>
    </w:rPr>
  </w:style>
  <w:style w:type="character" w:styleId="114">
    <w:name w:val="HTML Typewriter"/>
    <w:semiHidden/>
    <w:qFormat/>
    <w:uiPriority w:val="0"/>
    <w:rPr>
      <w:rFonts w:ascii="宋体" w:hAnsi="宋体" w:cs="宋体"/>
      <w:sz w:val="20"/>
      <w:szCs w:val="20"/>
    </w:rPr>
  </w:style>
  <w:style w:type="character" w:styleId="115">
    <w:name w:val="HTML Acronym"/>
    <w:basedOn w:val="107"/>
    <w:semiHidden/>
    <w:qFormat/>
    <w:uiPriority w:val="0"/>
  </w:style>
  <w:style w:type="character" w:styleId="116">
    <w:name w:val="HTML Variable"/>
    <w:semiHidden/>
    <w:qFormat/>
    <w:uiPriority w:val="0"/>
    <w:rPr>
      <w:i/>
      <w:iCs/>
    </w:rPr>
  </w:style>
  <w:style w:type="character" w:styleId="117">
    <w:name w:val="Hyperlink"/>
    <w:qFormat/>
    <w:uiPriority w:val="99"/>
    <w:rPr>
      <w:rFonts w:ascii="Cambria Math" w:hAnsi="Cambria Math" w:eastAsia="Cambria Math"/>
      <w:b/>
      <w:color w:val="0000FF"/>
      <w:kern w:val="2"/>
      <w:sz w:val="24"/>
      <w:szCs w:val="24"/>
      <w:u w:val="single"/>
      <w:lang w:val="en-US" w:eastAsia="zh-CN" w:bidi="ar-SA"/>
    </w:rPr>
  </w:style>
  <w:style w:type="character" w:styleId="118">
    <w:name w:val="HTML Code"/>
    <w:semiHidden/>
    <w:qFormat/>
    <w:uiPriority w:val="0"/>
    <w:rPr>
      <w:rFonts w:ascii="宋体" w:hAnsi="宋体" w:cs="宋体"/>
      <w:sz w:val="20"/>
      <w:szCs w:val="20"/>
    </w:rPr>
  </w:style>
  <w:style w:type="character" w:styleId="119">
    <w:name w:val="HTML Cite"/>
    <w:semiHidden/>
    <w:qFormat/>
    <w:uiPriority w:val="0"/>
    <w:rPr>
      <w:i/>
      <w:iCs/>
    </w:rPr>
  </w:style>
  <w:style w:type="character" w:styleId="120">
    <w:name w:val="HTML Keyboard"/>
    <w:semiHidden/>
    <w:qFormat/>
    <w:uiPriority w:val="0"/>
    <w:rPr>
      <w:rFonts w:ascii="宋体" w:hAnsi="宋体" w:cs="宋体"/>
      <w:sz w:val="20"/>
      <w:szCs w:val="20"/>
    </w:rPr>
  </w:style>
  <w:style w:type="character" w:styleId="121">
    <w:name w:val="HTML Sample"/>
    <w:semiHidden/>
    <w:qFormat/>
    <w:uiPriority w:val="0"/>
    <w:rPr>
      <w:rFonts w:ascii="宋体" w:hAnsi="宋体" w:cs="宋体"/>
    </w:rPr>
  </w:style>
  <w:style w:type="paragraph" w:customStyle="1" w:styleId="122">
    <w:name w:val="默认段落字体 Para Char Char Char Char"/>
    <w:basedOn w:val="1"/>
    <w:semiHidden/>
    <w:qFormat/>
    <w:uiPriority w:val="0"/>
    <w:rPr>
      <w:rFonts w:ascii="Cambria Math" w:hAnsi="Cambria Math"/>
      <w:b/>
      <w:color w:val="000000"/>
      <w:sz w:val="24"/>
    </w:rPr>
  </w:style>
  <w:style w:type="character" w:customStyle="1" w:styleId="123">
    <w:name w:val="标题 1 Char"/>
    <w:link w:val="2"/>
    <w:qFormat/>
    <w:uiPriority w:val="0"/>
    <w:rPr>
      <w:rFonts w:eastAsia="HJOHK M+ Times"/>
      <w:kern w:val="44"/>
      <w:sz w:val="22"/>
      <w:szCs w:val="22"/>
      <w:lang w:val="en-US" w:eastAsia="zh-CN" w:bidi="ar-SA"/>
    </w:rPr>
  </w:style>
  <w:style w:type="character" w:customStyle="1" w:styleId="124">
    <w:name w:val="标题 2 Char"/>
    <w:link w:val="3"/>
    <w:qFormat/>
    <w:uiPriority w:val="0"/>
    <w:rPr>
      <w:rFonts w:ascii="宋体" w:hAnsi="宋体" w:eastAsia="Cambria Math"/>
      <w:b/>
      <w:bCs/>
      <w:kern w:val="2"/>
      <w:sz w:val="32"/>
      <w:szCs w:val="32"/>
      <w:lang w:val="en-US" w:eastAsia="zh-CN" w:bidi="ar-SA"/>
    </w:rPr>
  </w:style>
  <w:style w:type="paragraph" w:customStyle="1" w:styleId="125">
    <w:name w:val="图说"/>
    <w:basedOn w:val="1"/>
    <w:semiHidden/>
    <w:qFormat/>
    <w:uiPriority w:val="0"/>
    <w:pPr>
      <w:topLinePunct/>
      <w:spacing w:before="40" w:after="160"/>
      <w:jc w:val="center"/>
    </w:pPr>
    <w:rPr>
      <w:rFonts w:cs="Cambria Math"/>
      <w:sz w:val="18"/>
      <w:szCs w:val="20"/>
    </w:rPr>
  </w:style>
  <w:style w:type="paragraph" w:customStyle="1" w:styleId="126">
    <w:name w:val="样式1"/>
    <w:basedOn w:val="1"/>
    <w:semiHidden/>
    <w:qFormat/>
    <w:uiPriority w:val="0"/>
    <w:pPr>
      <w:keepNext/>
      <w:keepLines/>
      <w:topLinePunct/>
      <w:spacing w:line="1200" w:lineRule="auto"/>
      <w:jc w:val="center"/>
      <w:outlineLvl w:val="0"/>
    </w:pPr>
    <w:rPr>
      <w:rFonts w:cs="Cambria Math"/>
      <w:b/>
      <w:kern w:val="44"/>
      <w:sz w:val="52"/>
      <w:szCs w:val="52"/>
    </w:rPr>
  </w:style>
  <w:style w:type="paragraph" w:customStyle="1" w:styleId="127">
    <w:name w:val="样式2"/>
    <w:basedOn w:val="3"/>
    <w:semiHidden/>
    <w:qFormat/>
    <w:uiPriority w:val="0"/>
    <w:pPr>
      <w:tabs>
        <w:tab w:val="left" w:pos="567"/>
        <w:tab w:val="left" w:pos="850"/>
      </w:tabs>
      <w:topLinePunct/>
      <w:spacing w:before="0" w:after="0" w:line="960" w:lineRule="auto"/>
      <w:ind w:firstLine="420"/>
      <w:jc w:val="left"/>
    </w:pPr>
    <w:rPr>
      <w:bCs w:val="0"/>
      <w:sz w:val="36"/>
      <w:szCs w:val="36"/>
    </w:rPr>
  </w:style>
  <w:style w:type="paragraph" w:customStyle="1" w:styleId="128">
    <w:name w:val="样式3"/>
    <w:basedOn w:val="4"/>
    <w:semiHidden/>
    <w:qFormat/>
    <w:uiPriority w:val="0"/>
    <w:pPr>
      <w:tabs>
        <w:tab w:val="left" w:pos="709"/>
      </w:tabs>
      <w:topLinePunct/>
      <w:spacing w:before="0" w:after="0" w:line="720" w:lineRule="auto"/>
      <w:jc w:val="left"/>
    </w:pPr>
    <w:rPr>
      <w:rFonts w:eastAsia="Cambria Math"/>
      <w:b w:val="0"/>
      <w:bCs w:val="0"/>
      <w:sz w:val="30"/>
      <w:szCs w:val="30"/>
    </w:rPr>
  </w:style>
  <w:style w:type="paragraph" w:customStyle="1" w:styleId="129">
    <w:name w:val="样式4"/>
    <w:basedOn w:val="5"/>
    <w:semiHidden/>
    <w:qFormat/>
    <w:uiPriority w:val="0"/>
    <w:pPr>
      <w:topLinePunct/>
      <w:spacing w:before="0" w:after="0" w:line="480" w:lineRule="auto"/>
      <w:ind w:firstLine="420"/>
    </w:pPr>
    <w:rPr>
      <w:rFonts w:eastAsia="HJOHK M+ Times"/>
      <w:b w:val="0"/>
      <w:bCs w:val="0"/>
      <w:sz w:val="24"/>
      <w:szCs w:val="20"/>
    </w:rPr>
  </w:style>
  <w:style w:type="paragraph" w:customStyle="1" w:styleId="130">
    <w:name w:val="样式5"/>
    <w:semiHidden/>
    <w:qFormat/>
    <w:uiPriority w:val="0"/>
    <w:pPr>
      <w:snapToGrid w:val="0"/>
      <w:spacing w:before="160" w:after="40"/>
      <w:jc w:val="center"/>
    </w:pPr>
    <w:rPr>
      <w:rFonts w:ascii="宋体" w:hAnsi="宋体" w:eastAsia="宋体" w:cs="Cambria Math"/>
      <w:kern w:val="2"/>
      <w:sz w:val="18"/>
      <w:lang w:val="en-US" w:eastAsia="zh-CN" w:bidi="ar-SA"/>
    </w:rPr>
  </w:style>
  <w:style w:type="paragraph" w:customStyle="1" w:styleId="131">
    <w:name w:val="jl 正文"/>
    <w:basedOn w:val="1"/>
    <w:semiHidden/>
    <w:qFormat/>
    <w:uiPriority w:val="0"/>
    <w:pPr>
      <w:autoSpaceDE w:val="0"/>
      <w:autoSpaceDN w:val="0"/>
      <w:adjustRightInd w:val="0"/>
      <w:ind w:firstLine="200" w:firstLineChars="200"/>
      <w:jc w:val="left"/>
      <w:textAlignment w:val="baseline"/>
    </w:pPr>
    <w:rPr>
      <w:rFonts w:ascii="Cambria Math"/>
      <w:kern w:val="0"/>
      <w:sz w:val="24"/>
    </w:rPr>
  </w:style>
  <w:style w:type="paragraph" w:customStyle="1" w:styleId="132">
    <w:name w:val="标题 3 + 小四 段前: 0 磅 段后: 0 磅 行距: 1.5 倍行距"/>
    <w:basedOn w:val="4"/>
    <w:next w:val="4"/>
    <w:semiHidden/>
    <w:qFormat/>
    <w:uiPriority w:val="0"/>
    <w:pPr>
      <w:spacing w:before="0" w:after="0" w:line="360" w:lineRule="auto"/>
    </w:pPr>
    <w:rPr>
      <w:rFonts w:cs="Cambria Math"/>
      <w:sz w:val="24"/>
      <w:szCs w:val="20"/>
    </w:rPr>
  </w:style>
  <w:style w:type="paragraph" w:customStyle="1" w:styleId="133">
    <w:name w:val="默认段落字体 Para Char Char Char Char Char"/>
    <w:basedOn w:val="1"/>
    <w:semiHidden/>
    <w:qFormat/>
    <w:uiPriority w:val="0"/>
    <w:rPr>
      <w:rFonts w:ascii="Cambria Math" w:hAnsi="Cambria Math"/>
      <w:b/>
      <w:color w:val="000000"/>
      <w:sz w:val="24"/>
    </w:rPr>
  </w:style>
  <w:style w:type="paragraph" w:customStyle="1" w:styleId="134">
    <w:name w:val="Char Char Char Char Char Char Char"/>
    <w:basedOn w:val="1"/>
    <w:semiHidden/>
    <w:qFormat/>
    <w:uiPriority w:val="0"/>
  </w:style>
  <w:style w:type="paragraph" w:customStyle="1" w:styleId="135">
    <w:name w:val="jl 正文 Char Char"/>
    <w:basedOn w:val="1"/>
    <w:link w:val="136"/>
    <w:semiHidden/>
    <w:qFormat/>
    <w:uiPriority w:val="0"/>
    <w:pPr>
      <w:autoSpaceDE w:val="0"/>
      <w:autoSpaceDN w:val="0"/>
      <w:adjustRightInd w:val="0"/>
      <w:ind w:firstLine="200" w:firstLineChars="200"/>
      <w:jc w:val="left"/>
      <w:textAlignment w:val="baseline"/>
    </w:pPr>
    <w:rPr>
      <w:rFonts w:ascii="Cambria Math" w:eastAsia="Cambria Math"/>
      <w:sz w:val="24"/>
    </w:rPr>
  </w:style>
  <w:style w:type="character" w:customStyle="1" w:styleId="136">
    <w:name w:val="jl 正文 Char Char Char"/>
    <w:link w:val="135"/>
    <w:qFormat/>
    <w:uiPriority w:val="0"/>
    <w:rPr>
      <w:rFonts w:ascii="Cambria Math" w:eastAsia="Cambria Math"/>
      <w:kern w:val="2"/>
      <w:sz w:val="24"/>
      <w:szCs w:val="24"/>
      <w:lang w:val="en-US" w:eastAsia="zh-CN" w:bidi="ar-SA"/>
    </w:rPr>
  </w:style>
  <w:style w:type="paragraph" w:customStyle="1" w:styleId="137">
    <w:name w:val="jl 三级 Char"/>
    <w:basedOn w:val="1"/>
    <w:link w:val="138"/>
    <w:semiHidden/>
    <w:qFormat/>
    <w:uiPriority w:val="0"/>
    <w:pPr>
      <w:autoSpaceDE w:val="0"/>
      <w:autoSpaceDN w:val="0"/>
      <w:adjustRightInd w:val="0"/>
      <w:spacing w:beforeLines="50" w:afterLines="50"/>
      <w:ind w:firstLine="480" w:firstLineChars="200"/>
      <w:jc w:val="left"/>
      <w:textAlignment w:val="baseline"/>
      <w:outlineLvl w:val="2"/>
    </w:pPr>
    <w:rPr>
      <w:rFonts w:ascii="Cambria Math" w:hAnsi="Cambria Math" w:eastAsia="Cambria Math"/>
      <w:b/>
      <w:color w:val="000000"/>
      <w:sz w:val="24"/>
    </w:rPr>
  </w:style>
  <w:style w:type="character" w:customStyle="1" w:styleId="138">
    <w:name w:val="jl 三级 Char Char"/>
    <w:link w:val="137"/>
    <w:qFormat/>
    <w:uiPriority w:val="0"/>
    <w:rPr>
      <w:rFonts w:ascii="Cambria Math" w:hAnsi="Cambria Math" w:eastAsia="Cambria Math"/>
      <w:b/>
      <w:color w:val="000000"/>
      <w:kern w:val="2"/>
      <w:sz w:val="24"/>
      <w:szCs w:val="24"/>
      <w:lang w:val="en-US" w:eastAsia="zh-CN" w:bidi="ar-SA"/>
    </w:rPr>
  </w:style>
  <w:style w:type="paragraph" w:customStyle="1" w:styleId="139">
    <w:name w:val="附录"/>
    <w:basedOn w:val="2"/>
    <w:qFormat/>
    <w:uiPriority w:val="0"/>
    <w:pPr>
      <w:spacing w:line="960" w:lineRule="auto"/>
      <w:jc w:val="center"/>
    </w:pPr>
    <w:rPr>
      <w:rFonts w:eastAsia="Cambria Math"/>
      <w:kern w:val="2"/>
      <w:sz w:val="28"/>
      <w:szCs w:val="28"/>
    </w:rPr>
  </w:style>
  <w:style w:type="paragraph" w:customStyle="1" w:styleId="140">
    <w:name w:val="样式6"/>
    <w:basedOn w:val="1"/>
    <w:link w:val="141"/>
    <w:qFormat/>
    <w:uiPriority w:val="0"/>
    <w:pPr>
      <w:topLinePunct/>
      <w:spacing w:before="160" w:after="60"/>
      <w:jc w:val="center"/>
    </w:pPr>
    <w:rPr>
      <w:rFonts w:eastAsia="Cambria Math"/>
      <w:szCs w:val="21"/>
    </w:rPr>
  </w:style>
  <w:style w:type="character" w:customStyle="1" w:styleId="141">
    <w:name w:val="样式6 Char"/>
    <w:link w:val="140"/>
    <w:qFormat/>
    <w:uiPriority w:val="0"/>
    <w:rPr>
      <w:rFonts w:eastAsia="Cambria Math"/>
      <w:kern w:val="2"/>
      <w:sz w:val="21"/>
      <w:szCs w:val="21"/>
      <w:lang w:val="en-US" w:eastAsia="zh-CN" w:bidi="ar-SA"/>
    </w:rPr>
  </w:style>
  <w:style w:type="paragraph" w:customStyle="1" w:styleId="142">
    <w:name w:val="样式7"/>
    <w:basedOn w:val="1"/>
    <w:qFormat/>
    <w:uiPriority w:val="0"/>
    <w:pPr>
      <w:snapToGrid w:val="0"/>
    </w:pPr>
  </w:style>
  <w:style w:type="paragraph" w:customStyle="1" w:styleId="143">
    <w:name w:val="表文"/>
    <w:basedOn w:val="1"/>
    <w:qFormat/>
    <w:uiPriority w:val="0"/>
    <w:pPr>
      <w:topLinePunct/>
      <w:spacing w:before="40" w:after="40"/>
    </w:pPr>
    <w:rPr>
      <w:sz w:val="18"/>
      <w:szCs w:val="18"/>
    </w:rPr>
  </w:style>
  <w:style w:type="paragraph" w:customStyle="1" w:styleId="144">
    <w:name w:val="Char"/>
    <w:basedOn w:val="1"/>
    <w:semiHidden/>
    <w:qFormat/>
    <w:uiPriority w:val="0"/>
    <w:pPr>
      <w:spacing w:line="360" w:lineRule="auto"/>
    </w:pPr>
  </w:style>
  <w:style w:type="character" w:customStyle="1" w:styleId="145">
    <w:name w:val="Char Char1"/>
    <w:qFormat/>
    <w:uiPriority w:val="0"/>
    <w:rPr>
      <w:rFonts w:eastAsia="HJOHK M+ Times"/>
      <w:kern w:val="44"/>
      <w:sz w:val="22"/>
      <w:szCs w:val="22"/>
      <w:lang w:val="en-US" w:eastAsia="zh-CN" w:bidi="ar-SA"/>
    </w:rPr>
  </w:style>
  <w:style w:type="paragraph" w:customStyle="1" w:styleId="146">
    <w:name w:val="表头"/>
    <w:basedOn w:val="1"/>
    <w:qFormat/>
    <w:uiPriority w:val="0"/>
    <w:pPr>
      <w:topLinePunct/>
      <w:spacing w:before="160" w:after="60"/>
      <w:jc w:val="center"/>
    </w:pPr>
    <w:rPr>
      <w:rFonts w:eastAsia="Cambria Math"/>
      <w:szCs w:val="21"/>
    </w:rPr>
  </w:style>
  <w:style w:type="paragraph" w:customStyle="1" w:styleId="147">
    <w:name w:val="Char Char1 Char Char Char"/>
    <w:basedOn w:val="20"/>
    <w:qFormat/>
    <w:uiPriority w:val="0"/>
    <w:rPr>
      <w:rFonts w:ascii="Cambria Math" w:hAnsi="Cambria Math"/>
      <w:sz w:val="24"/>
    </w:rPr>
  </w:style>
  <w:style w:type="paragraph" w:customStyle="1" w:styleId="148">
    <w:name w:val="Char Char Char Char"/>
    <w:basedOn w:val="1"/>
    <w:qFormat/>
    <w:uiPriority w:val="0"/>
    <w:rPr>
      <w:szCs w:val="20"/>
    </w:rPr>
  </w:style>
  <w:style w:type="paragraph" w:customStyle="1" w:styleId="149">
    <w:name w:val="正文格式"/>
    <w:basedOn w:val="1"/>
    <w:qFormat/>
    <w:uiPriority w:val="0"/>
    <w:pPr>
      <w:topLinePunct/>
      <w:ind w:firstLine="420" w:firstLineChars="200"/>
    </w:pPr>
    <w:rPr>
      <w:rFonts w:ascii="Cambria Math" w:hAnsi="Cambria Math"/>
      <w:szCs w:val="20"/>
    </w:rPr>
  </w:style>
  <w:style w:type="paragraph" w:customStyle="1" w:styleId="150">
    <w:name w:val="Char Char1 Char Char Char1"/>
    <w:basedOn w:val="20"/>
    <w:qFormat/>
    <w:uiPriority w:val="0"/>
    <w:rPr>
      <w:rFonts w:ascii="Cambria Math" w:hAnsi="Cambria Math"/>
      <w:sz w:val="24"/>
    </w:rPr>
  </w:style>
  <w:style w:type="paragraph" w:customStyle="1" w:styleId="151">
    <w:name w:val="Normal0"/>
    <w:qFormat/>
    <w:uiPriority w:val="0"/>
    <w:rPr>
      <w:rFonts w:ascii="宋体" w:hAnsi="宋体" w:eastAsia="宋体" w:cs="宋体"/>
      <w:lang w:val="en-US" w:eastAsia="en-US" w:bidi="ar-SA"/>
    </w:rPr>
  </w:style>
  <w:style w:type="paragraph" w:customStyle="1" w:styleId="152">
    <w:name w:val="封面华为技术"/>
    <w:basedOn w:val="1"/>
    <w:qFormat/>
    <w:uiPriority w:val="0"/>
    <w:pPr>
      <w:autoSpaceDE w:val="0"/>
      <w:autoSpaceDN w:val="0"/>
      <w:adjustRightInd w:val="0"/>
      <w:spacing w:after="120" w:line="360" w:lineRule="auto"/>
      <w:jc w:val="center"/>
    </w:pPr>
    <w:rPr>
      <w:b/>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54F5C-C6B8-4D4C-BB8A-E3E0A8A2232C}">
  <ds:schemaRefs/>
</ds:datastoreItem>
</file>

<file path=docProps/app.xml><?xml version="1.0" encoding="utf-8"?>
<Properties xmlns="http://schemas.openxmlformats.org/officeDocument/2006/extended-properties" xmlns:vt="http://schemas.openxmlformats.org/officeDocument/2006/docPropsVTypes">
  <Template>Normal.dotm</Template>
  <Company>CETIC</Company>
  <Pages>10</Pages>
  <Words>5816</Words>
  <Characters>6303</Characters>
  <Lines>60</Lines>
  <Paragraphs>17</Paragraphs>
  <TotalTime>1</TotalTime>
  <ScaleCrop>false</ScaleCrop>
  <LinksUpToDate>false</LinksUpToDate>
  <CharactersWithSpaces>6524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2018-08-01T08:46:00Z</dcterms:created>
  <dc:creator>liuruoqiao</dc:creator>
  <cp:lastModifiedBy>nmgys</cp:lastModifiedBy>
  <cp:lastPrinted>2022-08-16T03:37:00Z</cp:lastPrinted>
  <dcterms:modified xsi:type="dcterms:W3CDTF">2022-08-18T09:02:25Z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0054E032932C4E09AE88018ACD209836</vt:lpwstr>
  </property>
</Properties>
</file>