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致：内蒙古电力（集团）有限责任公司呼和浩特供电分公司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投标商</w:t>
      </w:r>
      <w:r>
        <w:rPr>
          <w:rFonts w:hint="eastAsia" w:ascii="宋体" w:hAnsi="宋体" w:cs="宋体"/>
          <w:sz w:val="24"/>
          <w:szCs w:val="24"/>
        </w:rPr>
        <w:t>名称），中华人民共和国合法企业，法定地址：</w:t>
      </w:r>
      <w:r>
        <w:rPr>
          <w:rFonts w:hint="eastAsia" w:ascii="宋体" w:hAnsi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__________（营业执照法定代表人）特授权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（项目名称）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</w:rPr>
        <w:t>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 xml:space="preserve">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97E6F"/>
    <w:rsid w:val="00602FCF"/>
    <w:rsid w:val="00887818"/>
    <w:rsid w:val="12097E6F"/>
    <w:rsid w:val="56D748F3"/>
    <w:rsid w:val="57825925"/>
    <w:rsid w:val="67143E54"/>
    <w:rsid w:val="6E163222"/>
    <w:rsid w:val="714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呼市招标办</cp:lastModifiedBy>
  <dcterms:modified xsi:type="dcterms:W3CDTF">2022-02-23T09:31:33Z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54C32AA6F8CC4893AD9A309B5C70CCED</vt:lpwstr>
  </property>
</Properties>
</file>