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keepNext/>
        <w:keepLines/>
        <w:pageBreakBefore w:val="0"/>
        <w:widowControl w:val="0"/>
        <w:kinsoku/>
        <w:wordWrap/>
        <w:overflowPunct/>
        <w:topLinePunct w:val="0"/>
        <w:autoSpaceDE/>
        <w:autoSpaceDN/>
        <w:bidi w:val="0"/>
        <w:adjustRightInd/>
        <w:snapToGrid/>
        <w:spacing w:before="0" w:after="0" w:line="360" w:lineRule="auto"/>
        <w:ind w:right="0" w:firstLine="482" w:firstLineChars="200"/>
        <w:jc w:val="both"/>
        <w:textAlignment w:val="auto"/>
        <w:rPr>
          <w:rFonts w:hint="default" w:ascii="宋体" w:hAnsi="宋体" w:eastAsia="宋体" w:cs="宋体"/>
          <w:color w:val="auto"/>
          <w:kern w:val="0"/>
          <w:sz w:val="24"/>
          <w:szCs w:val="24"/>
          <w:highlight w:val="none"/>
          <w:lang w:val="en-US" w:eastAsia="zh-CN"/>
        </w:rPr>
      </w:pPr>
      <w:r>
        <w:rPr>
          <w:rFonts w:hint="eastAsia" w:ascii="宋体" w:hAnsi="宋体" w:eastAsia="宋体" w:cs="宋体"/>
          <w:color w:val="auto"/>
          <w:kern w:val="0"/>
          <w:sz w:val="24"/>
          <w:szCs w:val="24"/>
          <w:highlight w:val="none"/>
        </w:rPr>
        <w:fldChar w:fldCharType="begin"/>
      </w:r>
      <w:r>
        <w:rPr>
          <w:rFonts w:hint="eastAsia" w:ascii="宋体" w:hAnsi="宋体" w:eastAsia="宋体" w:cs="宋体"/>
          <w:color w:val="auto"/>
          <w:kern w:val="0"/>
          <w:sz w:val="24"/>
          <w:szCs w:val="24"/>
          <w:highlight w:val="none"/>
        </w:rPr>
        <w:instrText xml:space="preserve"> HYPERLINK "mailto:zdgx5665@126.com" </w:instrText>
      </w:r>
      <w:r>
        <w:rPr>
          <w:rFonts w:hint="eastAsia" w:ascii="宋体" w:hAnsi="宋体" w:eastAsia="宋体" w:cs="宋体"/>
          <w:color w:val="auto"/>
          <w:kern w:val="0"/>
          <w:sz w:val="24"/>
          <w:szCs w:val="24"/>
          <w:highlight w:val="none"/>
        </w:rPr>
        <w:fldChar w:fldCharType="separate"/>
      </w:r>
      <w:bookmarkStart w:id="10" w:name="_GoBack"/>
      <w:bookmarkEnd w:id="10"/>
      <w:bookmarkStart w:id="0" w:name="_Toc12424"/>
      <w:bookmarkStart w:id="1" w:name="_Toc10941"/>
      <w:r>
        <w:rPr>
          <w:rFonts w:hint="eastAsia" w:ascii="宋体" w:hAnsi="宋体" w:eastAsia="宋体" w:cs="宋体"/>
          <w:color w:val="auto"/>
          <w:kern w:val="0"/>
          <w:sz w:val="24"/>
          <w:szCs w:val="24"/>
          <w:highlight w:val="none"/>
          <w:lang w:val="en-US" w:eastAsia="zh-CN"/>
        </w:rPr>
        <w:t>附件一：需求明细表</w:t>
      </w:r>
      <w:bookmarkEnd w:id="0"/>
      <w:bookmarkEnd w:id="1"/>
    </w:p>
    <w:p>
      <w:pPr>
        <w:pStyle w:val="9"/>
        <w:ind w:left="0" w:leftChars="0" w:firstLine="0" w:firstLineChars="0"/>
        <w:rPr>
          <w:rFonts w:hint="eastAsia" w:ascii="宋体" w:hAnsi="宋体" w:eastAsia="宋体" w:cs="宋体"/>
          <w:color w:val="auto"/>
          <w:kern w:val="0"/>
          <w:sz w:val="24"/>
          <w:szCs w:val="24"/>
          <w:highlight w:val="none"/>
          <w:lang w:val="en-US" w:eastAsia="zh-CN"/>
        </w:rPr>
      </w:pPr>
    </w:p>
    <w:tbl>
      <w:tblPr>
        <w:tblStyle w:val="11"/>
        <w:tblW w:w="499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36"/>
        <w:gridCol w:w="1827"/>
        <w:gridCol w:w="1336"/>
        <w:gridCol w:w="2508"/>
        <w:gridCol w:w="5237"/>
        <w:gridCol w:w="1133"/>
        <w:gridCol w:w="1045"/>
        <w:gridCol w:w="67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8" w:hRule="atLeast"/>
        </w:trPr>
        <w:tc>
          <w:tcPr>
            <w:tcW w:w="5000" w:type="pct"/>
            <w:gridSpan w:val="8"/>
            <w:tcBorders>
              <w:top w:val="nil"/>
              <w:left w:val="nil"/>
              <w:bottom w:val="nil"/>
              <w:right w:val="nil"/>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呼和浩特供电公司2022年营销计量装置轮换工程施工服务--需求明细表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88" w:hRule="atLeast"/>
        </w:trPr>
        <w:tc>
          <w:tcPr>
            <w:tcW w:w="153"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序号</w:t>
            </w:r>
          </w:p>
        </w:tc>
        <w:tc>
          <w:tcPr>
            <w:tcW w:w="64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标段编号</w:t>
            </w:r>
          </w:p>
        </w:tc>
        <w:tc>
          <w:tcPr>
            <w:tcW w:w="471"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标段名称</w:t>
            </w: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lang w:val="en-US" w:eastAsia="zh-CN"/>
              </w:rPr>
            </w:pPr>
            <w:r>
              <w:rPr>
                <w:rFonts w:hint="default" w:ascii="仿宋_GB2312" w:hAnsi="宋体" w:eastAsia="仿宋_GB2312" w:cs="仿宋_GB2312"/>
                <w:i w:val="0"/>
                <w:iCs w:val="0"/>
                <w:color w:val="000000"/>
                <w:kern w:val="0"/>
                <w:sz w:val="22"/>
                <w:szCs w:val="22"/>
                <w:u w:val="none"/>
                <w:lang w:val="en-US" w:eastAsia="zh-CN" w:bidi="ar"/>
              </w:rPr>
              <w:t>采购主要内容</w:t>
            </w:r>
            <w:r>
              <w:rPr>
                <w:rFonts w:hint="eastAsia" w:ascii="仿宋_GB2312" w:hAnsi="宋体" w:eastAsia="仿宋_GB2312" w:cs="仿宋_GB2312"/>
                <w:i w:val="0"/>
                <w:iCs w:val="0"/>
                <w:color w:val="000000"/>
                <w:kern w:val="0"/>
                <w:sz w:val="22"/>
                <w:szCs w:val="22"/>
                <w:u w:val="none"/>
                <w:lang w:val="en-US" w:eastAsia="zh-CN" w:bidi="ar"/>
              </w:rPr>
              <w:t>/子工程名称</w:t>
            </w:r>
          </w:p>
        </w:tc>
        <w:tc>
          <w:tcPr>
            <w:tcW w:w="1845"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投标人专用资质要求</w:t>
            </w:r>
          </w:p>
        </w:tc>
        <w:tc>
          <w:tcPr>
            <w:tcW w:w="399"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highlight w:val="none"/>
                <w:u w:val="none"/>
                <w:lang w:val="en-US" w:eastAsia="zh-CN" w:bidi="ar"/>
              </w:rPr>
              <w:t>最高投标限价单价（元）</w:t>
            </w:r>
          </w:p>
        </w:tc>
        <w:tc>
          <w:tcPr>
            <w:tcW w:w="368"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最高投标总价限价（元）</w:t>
            </w:r>
          </w:p>
        </w:tc>
        <w:tc>
          <w:tcPr>
            <w:tcW w:w="232"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仿宋_GB2312" w:hAnsi="宋体" w:eastAsia="仿宋_GB2312" w:cs="仿宋_GB2312"/>
                <w:i w:val="0"/>
                <w:iCs w:val="0"/>
                <w:color w:val="000000"/>
                <w:sz w:val="22"/>
                <w:szCs w:val="22"/>
                <w:u w:val="none"/>
              </w:rPr>
            </w:pPr>
            <w:r>
              <w:rPr>
                <w:rFonts w:hint="default" w:ascii="仿宋_GB2312" w:hAnsi="宋体" w:eastAsia="仿宋_GB2312" w:cs="仿宋_GB2312"/>
                <w:i w:val="0"/>
                <w:iCs w:val="0"/>
                <w:color w:val="000000"/>
                <w:kern w:val="0"/>
                <w:sz w:val="22"/>
                <w:szCs w:val="22"/>
                <w:u w:val="none"/>
                <w:lang w:val="en-US" w:eastAsia="zh-CN" w:bidi="ar"/>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91" w:hRule="atLeast"/>
        </w:trPr>
        <w:tc>
          <w:tcPr>
            <w:tcW w:w="153"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644"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HG20220601-753</w:t>
            </w:r>
          </w:p>
        </w:tc>
        <w:tc>
          <w:tcPr>
            <w:tcW w:w="471"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呼和浩特供电公司2022年营销计量装置轮换工程施工服务一</w:t>
            </w: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呼和浩特供电公司2022年营销计量装置轮换工程（土左分公司）</w:t>
            </w:r>
          </w:p>
        </w:tc>
        <w:tc>
          <w:tcPr>
            <w:tcW w:w="1845"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1、投标人具有建设行政主管部门颁发的</w:t>
            </w:r>
            <w:r>
              <w:rPr>
                <w:rStyle w:val="15"/>
                <w:lang w:val="en-US" w:eastAsia="zh-CN" w:bidi="ar"/>
              </w:rPr>
              <w:t>施工综合资质</w:t>
            </w:r>
            <w:r>
              <w:rPr>
                <w:rStyle w:val="16"/>
                <w:lang w:val="en-US" w:eastAsia="zh-CN" w:bidi="ar"/>
              </w:rPr>
              <w:t>或电力工程施工总承包乙级及以上或输变电工程专业承包乙级及以上资质,证书在有效期内；（以上资质为住建部最新资质要求（2020年11月30日建市〔2020〕94号《住房和城乡建设部关于印发建设工程企业资质管理制度改革方案的通知》）。如投标人还未申办以上资质，投标人须具有建设行政主管部门核发的电力施工总承包三级及以上资质或输变电工程专业承包三级及以上资质，且证书在有效期内</w:t>
            </w:r>
            <w:r>
              <w:rPr>
                <w:rStyle w:val="16"/>
                <w:lang w:val="en-US" w:eastAsia="zh-CN" w:bidi="ar"/>
              </w:rPr>
              <w:br w:type="textWrapping"/>
            </w:r>
            <w:r>
              <w:rPr>
                <w:rStyle w:val="16"/>
                <w:lang w:val="en-US" w:eastAsia="zh-CN" w:bidi="ar"/>
              </w:rPr>
              <w:t>2、投标人具有国家能源局颁发的承装（修、试）电力设施许可证承装类五级及以上、承修类五级及以上、承试类五级及以上资质，证书在有效期内。</w:t>
            </w:r>
            <w:r>
              <w:rPr>
                <w:rStyle w:val="16"/>
                <w:lang w:val="en-US" w:eastAsia="zh-CN" w:bidi="ar"/>
              </w:rPr>
              <w:br w:type="textWrapping"/>
            </w:r>
            <w:r>
              <w:rPr>
                <w:rStyle w:val="16"/>
                <w:lang w:val="en-US" w:eastAsia="zh-CN" w:bidi="ar"/>
              </w:rPr>
              <w:t>3、投标人须具有有效期内的建设行政主管部门核发的安全生产许可证。</w:t>
            </w:r>
            <w:r>
              <w:rPr>
                <w:rStyle w:val="16"/>
                <w:lang w:val="en-US" w:eastAsia="zh-CN" w:bidi="ar"/>
              </w:rPr>
              <w:br w:type="textWrapping"/>
            </w:r>
            <w:r>
              <w:rPr>
                <w:rStyle w:val="16"/>
                <w:lang w:val="en-US" w:eastAsia="zh-CN" w:bidi="ar"/>
              </w:rPr>
              <w:t>4、投标人拟派项目负责人必须具有建设行政主管部门核发的机电工程专业二级建造师注册证书和安全生产考核合格证书，</w:t>
            </w:r>
            <w:r>
              <w:rPr>
                <w:rStyle w:val="16"/>
                <w:rFonts w:hint="eastAsia"/>
                <w:lang w:val="en-US" w:eastAsia="zh-CN" w:bidi="ar"/>
              </w:rPr>
              <w:t>在</w:t>
            </w:r>
            <w:r>
              <w:rPr>
                <w:rStyle w:val="16"/>
                <w:lang w:val="en-US" w:eastAsia="zh-CN" w:bidi="ar"/>
              </w:rPr>
              <w:t>本企业注册且均在有效期内，同时未担任其他在施建设工程项目的项目负责人（提供承诺函，供承诺函格式见附件）</w:t>
            </w:r>
            <w:r>
              <w:rPr>
                <w:rStyle w:val="16"/>
                <w:lang w:val="en-US" w:eastAsia="zh-CN" w:bidi="ar"/>
              </w:rPr>
              <w:br w:type="textWrapping"/>
            </w:r>
            <w:r>
              <w:rPr>
                <w:rStyle w:val="16"/>
                <w:lang w:val="en-US" w:eastAsia="zh-CN" w:bidi="ar"/>
              </w:rPr>
              <w:t>5、投标人近三年（2019年6月1日-至今，以签订合同时间为准）具有同类业绩一份，需提供合同(合同关键页）及配套发票扫描件，（合同内容至少应包括合同首页、内容、签订日期及双方签字盖章等内容），发票后需附国家税务总局全国增值税发票查验平台的查询截图。</w:t>
            </w: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1056292</w:t>
            </w:r>
          </w:p>
        </w:tc>
        <w:tc>
          <w:tcPr>
            <w:tcW w:w="368"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bottom"/>
              <w:rPr>
                <w:rFonts w:ascii="Arial" w:hAnsi="Arial" w:cs="Arial"/>
                <w:i w:val="0"/>
                <w:iCs w:val="0"/>
                <w:color w:val="000000"/>
                <w:kern w:val="2"/>
                <w:sz w:val="18"/>
                <w:szCs w:val="18"/>
                <w:u w:val="none"/>
                <w:lang w:val="en-US" w:eastAsia="zh-CN" w:bidi="ar-SA"/>
              </w:rPr>
            </w:pPr>
            <w:r>
              <w:rPr>
                <w:rFonts w:hint="default" w:ascii="Arial" w:hAnsi="Arial" w:eastAsia="宋体" w:cs="Arial"/>
                <w:i w:val="0"/>
                <w:iCs w:val="0"/>
                <w:color w:val="000000"/>
                <w:kern w:val="0"/>
                <w:sz w:val="18"/>
                <w:szCs w:val="18"/>
                <w:u w:val="none"/>
                <w:lang w:val="en-US" w:eastAsia="zh-CN" w:bidi="ar"/>
              </w:rPr>
              <w:t>2377017</w:t>
            </w:r>
          </w:p>
        </w:tc>
        <w:tc>
          <w:tcPr>
            <w:tcW w:w="232" w:type="pct"/>
            <w:vMerge w:val="restart"/>
            <w:tcBorders>
              <w:top w:val="single" w:color="000000" w:sz="4" w:space="0"/>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3" w:hRule="atLeast"/>
        </w:trPr>
        <w:tc>
          <w:tcPr>
            <w:tcW w:w="153"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呼和浩特供电公司2022年营销计量装置轮换工程（新城分公司）</w:t>
            </w:r>
          </w:p>
        </w:tc>
        <w:tc>
          <w:tcPr>
            <w:tcW w:w="1845" w:type="pct"/>
            <w:vMerge w:val="continue"/>
            <w:tcBorders>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974422</w:t>
            </w:r>
          </w:p>
        </w:tc>
        <w:tc>
          <w:tcPr>
            <w:tcW w:w="368"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782" w:hRule="atLeast"/>
        </w:trPr>
        <w:tc>
          <w:tcPr>
            <w:tcW w:w="153"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呼和浩特供电公司2022年营销计量装置轮换工程（鸿盛分公司）</w:t>
            </w:r>
          </w:p>
        </w:tc>
        <w:tc>
          <w:tcPr>
            <w:tcW w:w="1845"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346303</w:t>
            </w:r>
          </w:p>
        </w:tc>
        <w:tc>
          <w:tcPr>
            <w:tcW w:w="368"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bottom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3" w:hRule="atLeast"/>
        </w:trPr>
        <w:tc>
          <w:tcPr>
            <w:tcW w:w="153"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2</w:t>
            </w:r>
          </w:p>
        </w:tc>
        <w:tc>
          <w:tcPr>
            <w:tcW w:w="644"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HG20220601-754</w:t>
            </w:r>
          </w:p>
        </w:tc>
        <w:tc>
          <w:tcPr>
            <w:tcW w:w="471"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呼和浩特供电公司2022年营销计量装置轮换工程施工服务二</w:t>
            </w: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lang w:val="en-US" w:eastAsia="zh-CN"/>
              </w:rPr>
            </w:pPr>
            <w:r>
              <w:rPr>
                <w:rFonts w:hint="eastAsia"/>
                <w:lang w:val="en-US" w:eastAsia="zh-CN"/>
              </w:rPr>
              <w:t>计量装置轮换（赛罕、金桥、和林）</w:t>
            </w:r>
          </w:p>
          <w:p>
            <w:pPr>
              <w:pStyle w:val="2"/>
              <w:ind w:left="0" w:leftChars="0" w:firstLine="0" w:firstLineChars="0"/>
              <w:rPr>
                <w:rFonts w:hint="eastAsia"/>
              </w:rPr>
            </w:pPr>
            <w:r>
              <w:rPr>
                <w:rFonts w:hint="eastAsia"/>
              </w:rPr>
              <w:t>呼和浩特供电公司2022年营销计量装置轮换工程（和林分公司）</w:t>
            </w:r>
          </w:p>
        </w:tc>
        <w:tc>
          <w:tcPr>
            <w:tcW w:w="1845"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1、投标人具有建设行政主管部门颁发的</w:t>
            </w:r>
            <w:r>
              <w:rPr>
                <w:rStyle w:val="15"/>
                <w:lang w:val="en-US" w:eastAsia="zh-CN" w:bidi="ar"/>
              </w:rPr>
              <w:t>施工综合资质或</w:t>
            </w:r>
            <w:r>
              <w:rPr>
                <w:rStyle w:val="16"/>
                <w:lang w:val="en-US" w:eastAsia="zh-CN" w:bidi="ar"/>
              </w:rPr>
              <w:t>电力工程施工总承包乙级及以上或输变电工程专业承包乙级及以上资质,证书在有效期内；（以上资质为住建部最新资质要求（2020年11月30日建市〔2020〕94号《住房和城乡建设部关于印发建设工程企业资质管理制度改革方案的通知》）。如投标人还未申办以上资质，投标人须具有建设行政主管部门核发的电力施工总承包三级及以上资质或输变电工程专业承包三级及以上资质，且证书在有效期内；</w:t>
            </w:r>
            <w:r>
              <w:rPr>
                <w:rStyle w:val="16"/>
                <w:lang w:val="en-US" w:eastAsia="zh-CN" w:bidi="ar"/>
              </w:rPr>
              <w:br w:type="textWrapping"/>
            </w:r>
            <w:r>
              <w:rPr>
                <w:rStyle w:val="16"/>
                <w:lang w:val="en-US" w:eastAsia="zh-CN" w:bidi="ar"/>
              </w:rPr>
              <w:t>2、投标人具有国家能源局颁发的承装（修、试）电力设施许可证承装类五级及以上、承修类五级及以上、承试类五级及以上资质，证书在有效期内。</w:t>
            </w:r>
            <w:r>
              <w:rPr>
                <w:rStyle w:val="16"/>
                <w:lang w:val="en-US" w:eastAsia="zh-CN" w:bidi="ar"/>
              </w:rPr>
              <w:br w:type="textWrapping"/>
            </w:r>
            <w:r>
              <w:rPr>
                <w:rStyle w:val="16"/>
                <w:lang w:val="en-US" w:eastAsia="zh-CN" w:bidi="ar"/>
              </w:rPr>
              <w:t>3、投标人须具有有效期内的建设行政主管部门核发的安全生产许可证。</w:t>
            </w:r>
            <w:r>
              <w:rPr>
                <w:rStyle w:val="16"/>
                <w:lang w:val="en-US" w:eastAsia="zh-CN" w:bidi="ar"/>
              </w:rPr>
              <w:br w:type="textWrapping"/>
            </w:r>
            <w:r>
              <w:rPr>
                <w:rStyle w:val="16"/>
                <w:lang w:val="en-US" w:eastAsia="zh-CN" w:bidi="ar"/>
              </w:rPr>
              <w:t>4、投标人拟派项目负责人必须具有建设行政主管部门核发的机电工程专业二级建造师注册证书和安全生产考核合格证书，</w:t>
            </w:r>
            <w:r>
              <w:rPr>
                <w:rStyle w:val="16"/>
                <w:rFonts w:hint="eastAsia"/>
                <w:lang w:val="en-US" w:eastAsia="zh-CN" w:bidi="ar"/>
              </w:rPr>
              <w:t>在</w:t>
            </w:r>
            <w:r>
              <w:rPr>
                <w:rStyle w:val="16"/>
                <w:lang w:val="en-US" w:eastAsia="zh-CN" w:bidi="ar"/>
              </w:rPr>
              <w:t>本企业注册且均在有效期内，同时未担任其他在施建设工程项目的项目负责人（提供承诺函，供承诺函格式见附件）</w:t>
            </w:r>
            <w:r>
              <w:rPr>
                <w:rStyle w:val="16"/>
                <w:lang w:val="en-US" w:eastAsia="zh-CN" w:bidi="ar"/>
              </w:rPr>
              <w:br w:type="textWrapping"/>
            </w:r>
            <w:r>
              <w:rPr>
                <w:rStyle w:val="16"/>
                <w:lang w:val="en-US" w:eastAsia="zh-CN" w:bidi="ar"/>
              </w:rPr>
              <w:t>5、投标人近三年（2019年6月1日-至今，以签订合同时间为准）具有同类业绩一份，需提供合同(合同关键页）及配套发票扫描件，（合同内容至少应包括合同首页、内容、签订日期及双方签字盖章等内容），发票后需附国家税务总局全国增值税发票查验平台的查询截图。</w:t>
            </w: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496569</w:t>
            </w:r>
          </w:p>
        </w:tc>
        <w:tc>
          <w:tcPr>
            <w:tcW w:w="368"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bottom"/>
              <w:rPr>
                <w:rFonts w:ascii="Arial" w:hAnsi="Arial" w:cs="Arial"/>
                <w:i w:val="0"/>
                <w:iCs w:val="0"/>
                <w:color w:val="000000"/>
                <w:kern w:val="2"/>
                <w:sz w:val="18"/>
                <w:szCs w:val="18"/>
                <w:u w:val="none"/>
                <w:lang w:val="en-US" w:eastAsia="zh-CN" w:bidi="ar-SA"/>
              </w:rPr>
            </w:pPr>
            <w:r>
              <w:rPr>
                <w:rFonts w:hint="default" w:ascii="Arial" w:hAnsi="Arial" w:eastAsia="宋体" w:cs="Arial"/>
                <w:i w:val="0"/>
                <w:iCs w:val="0"/>
                <w:color w:val="000000"/>
                <w:kern w:val="0"/>
                <w:sz w:val="18"/>
                <w:szCs w:val="18"/>
                <w:u w:val="none"/>
                <w:lang w:val="en-US" w:eastAsia="zh-CN" w:bidi="ar"/>
              </w:rPr>
              <w:t>2736734</w:t>
            </w:r>
          </w:p>
        </w:tc>
        <w:tc>
          <w:tcPr>
            <w:tcW w:w="232" w:type="pct"/>
            <w:vMerge w:val="restart"/>
            <w:tcBorders>
              <w:top w:val="single" w:color="000000" w:sz="4" w:space="0"/>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3" w:hRule="atLeast"/>
        </w:trPr>
        <w:tc>
          <w:tcPr>
            <w:tcW w:w="153"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呼和浩特供电公司2022年营销计量装置轮换工程（赛罕分公司）</w:t>
            </w:r>
          </w:p>
        </w:tc>
        <w:tc>
          <w:tcPr>
            <w:tcW w:w="1845" w:type="pct"/>
            <w:vMerge w:val="continue"/>
            <w:tcBorders>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1235331</w:t>
            </w:r>
          </w:p>
        </w:tc>
        <w:tc>
          <w:tcPr>
            <w:tcW w:w="368"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3" w:hRule="atLeast"/>
        </w:trPr>
        <w:tc>
          <w:tcPr>
            <w:tcW w:w="153"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呼和浩特供电公司2022年营销计量装置轮换工程（金桥分公司）</w:t>
            </w:r>
          </w:p>
        </w:tc>
        <w:tc>
          <w:tcPr>
            <w:tcW w:w="1845"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1004834</w:t>
            </w:r>
          </w:p>
        </w:tc>
        <w:tc>
          <w:tcPr>
            <w:tcW w:w="368"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bottom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8" w:hRule="atLeast"/>
        </w:trPr>
        <w:tc>
          <w:tcPr>
            <w:tcW w:w="153"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3</w:t>
            </w:r>
          </w:p>
        </w:tc>
        <w:tc>
          <w:tcPr>
            <w:tcW w:w="644"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HG20220601-755</w:t>
            </w:r>
          </w:p>
        </w:tc>
        <w:tc>
          <w:tcPr>
            <w:tcW w:w="471"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呼和浩特供电公司2022年营销计量装置轮换工程施工服务三</w:t>
            </w: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lang w:val="en-US" w:eastAsia="zh-CN"/>
              </w:rPr>
            </w:pPr>
            <w:r>
              <w:rPr>
                <w:rFonts w:hint="eastAsia"/>
                <w:lang w:val="en-US" w:eastAsia="zh-CN"/>
              </w:rPr>
              <w:t>计量装置轮换（玉泉、回民、金川、托县）</w:t>
            </w:r>
          </w:p>
          <w:p>
            <w:pPr>
              <w:pStyle w:val="2"/>
              <w:ind w:left="0" w:leftChars="0" w:firstLine="0" w:firstLineChars="0"/>
              <w:rPr>
                <w:rFonts w:hint="eastAsia"/>
              </w:rPr>
            </w:pPr>
            <w:r>
              <w:rPr>
                <w:rFonts w:hint="eastAsia"/>
              </w:rPr>
              <w:t>呼和浩特供电公司2022年营销计量装置轮换工程（回民分公司）</w:t>
            </w:r>
          </w:p>
        </w:tc>
        <w:tc>
          <w:tcPr>
            <w:tcW w:w="1845"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1、投标人具有建设行政主管部门颁发的</w:t>
            </w:r>
            <w:r>
              <w:rPr>
                <w:rStyle w:val="15"/>
                <w:lang w:val="en-US" w:eastAsia="zh-CN" w:bidi="ar"/>
              </w:rPr>
              <w:t>施工综合资质或</w:t>
            </w:r>
            <w:r>
              <w:rPr>
                <w:rStyle w:val="16"/>
                <w:lang w:val="en-US" w:eastAsia="zh-CN" w:bidi="ar"/>
              </w:rPr>
              <w:t>电力工程施工总承包乙级及以上或输变电工程专业承包乙级及以上资质,证书在有效期内；（以上资质为住建部最新资质要求（2020年11月30日建市〔2020〕94号《住房和城乡建设部关于印发建设工程企业资质管理制度改革方案的通知》）。如投标人还未申办以上资质，投标人须具有建设行政主管部门核发的电力施工总承包三级及以上资质或输变电工程专业承包三级及以上资质，且证书在有效期内</w:t>
            </w:r>
            <w:r>
              <w:rPr>
                <w:rStyle w:val="16"/>
                <w:lang w:val="en-US" w:eastAsia="zh-CN" w:bidi="ar"/>
              </w:rPr>
              <w:br w:type="textWrapping"/>
            </w:r>
            <w:r>
              <w:rPr>
                <w:rStyle w:val="16"/>
                <w:lang w:val="en-US" w:eastAsia="zh-CN" w:bidi="ar"/>
              </w:rPr>
              <w:t>2、投标人具有国家能源局颁发的承装（修、试）电力设施许可证承装类五级及以上、承修类五级及以上、承试类五级及以上资质，证书在有效期内。</w:t>
            </w:r>
            <w:r>
              <w:rPr>
                <w:rStyle w:val="16"/>
                <w:lang w:val="en-US" w:eastAsia="zh-CN" w:bidi="ar"/>
              </w:rPr>
              <w:br w:type="textWrapping"/>
            </w:r>
            <w:r>
              <w:rPr>
                <w:rStyle w:val="16"/>
                <w:lang w:val="en-US" w:eastAsia="zh-CN" w:bidi="ar"/>
              </w:rPr>
              <w:t>3、投标人须具有有效期内的建设行政主管部门核发的安全生产许可证。</w:t>
            </w:r>
            <w:r>
              <w:rPr>
                <w:rStyle w:val="16"/>
                <w:lang w:val="en-US" w:eastAsia="zh-CN" w:bidi="ar"/>
              </w:rPr>
              <w:br w:type="textWrapping"/>
            </w:r>
            <w:r>
              <w:rPr>
                <w:rStyle w:val="16"/>
                <w:lang w:val="en-US" w:eastAsia="zh-CN" w:bidi="ar"/>
              </w:rPr>
              <w:t>4、投标人拟派项目负责人必须具有建设行政主管部门核发的机电工程专业二级建造师注册证书和安全生产考核合格证书，</w:t>
            </w:r>
            <w:r>
              <w:rPr>
                <w:rStyle w:val="16"/>
                <w:rFonts w:hint="eastAsia"/>
                <w:lang w:val="en-US" w:eastAsia="zh-CN" w:bidi="ar"/>
              </w:rPr>
              <w:t>在</w:t>
            </w:r>
            <w:r>
              <w:rPr>
                <w:rStyle w:val="16"/>
                <w:lang w:val="en-US" w:eastAsia="zh-CN" w:bidi="ar"/>
              </w:rPr>
              <w:t>本企业注册且均在有效期内，同时未担任其他在施建设工程项目的项目负责人（提供承诺函，供承诺函格式见附件）</w:t>
            </w:r>
            <w:r>
              <w:rPr>
                <w:rStyle w:val="16"/>
                <w:lang w:val="en-US" w:eastAsia="zh-CN" w:bidi="ar"/>
              </w:rPr>
              <w:br w:type="textWrapping"/>
            </w:r>
            <w:r>
              <w:rPr>
                <w:rStyle w:val="16"/>
                <w:lang w:val="en-US" w:eastAsia="zh-CN" w:bidi="ar"/>
              </w:rPr>
              <w:t>5、投标人近三年（2019年6月1日-至今，以签订合同时间为准）具有同类业绩一份，需提供合同(合同关键页）及配套发票扫描件，（合同内容至少应包括合同首页、内容、签订日期及双方签字盖章等内容），发票后需附国家税务总局全国增值税发票查验平台的查询截图。</w:t>
            </w: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sz w:val="20"/>
                <w:szCs w:val="20"/>
                <w:u w:val="none"/>
                <w:lang w:val="en-US" w:eastAsia="zh-CN"/>
              </w:rPr>
              <w:t>849476</w:t>
            </w:r>
          </w:p>
        </w:tc>
        <w:tc>
          <w:tcPr>
            <w:tcW w:w="368" w:type="pct"/>
            <w:vMerge w:val="restar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ascii="仿宋" w:hAnsi="仿宋" w:eastAsia="仿宋" w:cs="仿宋"/>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2541064</w:t>
            </w:r>
          </w:p>
        </w:tc>
        <w:tc>
          <w:tcPr>
            <w:tcW w:w="232" w:type="pct"/>
            <w:vMerge w:val="restart"/>
            <w:tcBorders>
              <w:top w:val="single" w:color="000000" w:sz="4" w:space="0"/>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8" w:hRule="atLeast"/>
        </w:trPr>
        <w:tc>
          <w:tcPr>
            <w:tcW w:w="153"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呼和浩特供电公司2022年营销计量装置轮换工程（托县分公司）</w:t>
            </w:r>
          </w:p>
        </w:tc>
        <w:tc>
          <w:tcPr>
            <w:tcW w:w="1845" w:type="pct"/>
            <w:vMerge w:val="continue"/>
            <w:tcBorders>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252994</w:t>
            </w:r>
          </w:p>
        </w:tc>
        <w:tc>
          <w:tcPr>
            <w:tcW w:w="368"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8" w:hRule="atLeast"/>
        </w:trPr>
        <w:tc>
          <w:tcPr>
            <w:tcW w:w="153"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呼和浩特供电公司2022年营销计量装置轮换工程（玉泉分公司）</w:t>
            </w:r>
          </w:p>
        </w:tc>
        <w:tc>
          <w:tcPr>
            <w:tcW w:w="1845" w:type="pct"/>
            <w:vMerge w:val="continue"/>
            <w:tcBorders>
              <w:left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1095080</w:t>
            </w:r>
          </w:p>
        </w:tc>
        <w:tc>
          <w:tcPr>
            <w:tcW w:w="368" w:type="pct"/>
            <w:vMerge w:val="continue"/>
            <w:tcBorders>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48" w:hRule="atLeast"/>
        </w:trPr>
        <w:tc>
          <w:tcPr>
            <w:tcW w:w="153"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644"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471"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884" w:type="pct"/>
            <w:tcBorders>
              <w:top w:val="single" w:color="000000" w:sz="4" w:space="0"/>
              <w:left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呼和浩特供电公司2022年营销计量装置轮换工程（金川分公司）</w:t>
            </w:r>
          </w:p>
        </w:tc>
        <w:tc>
          <w:tcPr>
            <w:tcW w:w="1845"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left"/>
              <w:textAlignment w:val="center"/>
              <w:rPr>
                <w:rFonts w:hint="eastAsia" w:ascii="宋体" w:hAnsi="宋体" w:eastAsia="宋体" w:cs="宋体"/>
                <w:i w:val="0"/>
                <w:iCs w:val="0"/>
                <w:color w:val="000000"/>
                <w:kern w:val="0"/>
                <w:sz w:val="20"/>
                <w:szCs w:val="20"/>
                <w:u w:val="none"/>
                <w:lang w:val="en-US" w:eastAsia="zh-CN" w:bidi="ar"/>
              </w:rPr>
            </w:pPr>
          </w:p>
        </w:tc>
        <w:tc>
          <w:tcPr>
            <w:tcW w:w="399" w:type="pc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0"/>
                <w:szCs w:val="20"/>
                <w:u w:val="none"/>
                <w:lang w:val="en-US" w:eastAsia="zh-CN"/>
              </w:rPr>
            </w:pPr>
            <w:r>
              <w:rPr>
                <w:rFonts w:hint="eastAsia" w:ascii="宋体" w:hAnsi="宋体" w:eastAsia="宋体" w:cs="宋体"/>
                <w:i w:val="0"/>
                <w:iCs w:val="0"/>
                <w:color w:val="000000"/>
                <w:sz w:val="20"/>
                <w:szCs w:val="20"/>
                <w:u w:val="none"/>
                <w:lang w:val="en-US" w:eastAsia="zh-CN"/>
              </w:rPr>
              <w:t>343514</w:t>
            </w:r>
          </w:p>
        </w:tc>
        <w:tc>
          <w:tcPr>
            <w:tcW w:w="368" w:type="pct"/>
            <w:vMerge w:val="continue"/>
            <w:tcBorders>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kern w:val="0"/>
                <w:sz w:val="20"/>
                <w:szCs w:val="20"/>
                <w:u w:val="none"/>
                <w:lang w:val="en-US" w:eastAsia="zh-CN" w:bidi="ar"/>
              </w:rPr>
            </w:pPr>
          </w:p>
        </w:tc>
        <w:tc>
          <w:tcPr>
            <w:tcW w:w="232" w:type="pct"/>
            <w:vMerge w:val="continue"/>
            <w:tcBorders>
              <w:left w:val="single" w:color="000000" w:sz="4" w:space="0"/>
              <w:bottom w:val="single" w:color="000000" w:sz="4" w:space="0"/>
              <w:right w:val="single" w:color="000000" w:sz="4" w:space="0"/>
            </w:tcBorders>
            <w:noWrap w:val="0"/>
            <w:vAlign w:val="center"/>
          </w:tcPr>
          <w:p>
            <w:pPr>
              <w:jc w:val="center"/>
              <w:rPr>
                <w:rFonts w:hint="default" w:ascii="仿宋_GB2312" w:hAnsi="宋体" w:eastAsia="仿宋_GB2312" w:cs="仿宋_GB2312"/>
                <w:i w:val="0"/>
                <w:iCs w:val="0"/>
                <w:color w:val="FF0000"/>
                <w:sz w:val="22"/>
                <w:szCs w:val="22"/>
                <w:u w:val="none"/>
              </w:rPr>
            </w:pPr>
          </w:p>
        </w:tc>
      </w:tr>
    </w:tbl>
    <w:p>
      <w:pPr>
        <w:pStyle w:val="9"/>
        <w:ind w:left="0" w:leftChars="0" w:firstLine="0" w:firstLineChars="0"/>
        <w:rPr>
          <w:rFonts w:hint="default" w:ascii="宋体" w:hAnsi="宋体" w:eastAsia="宋体" w:cs="宋体"/>
          <w:color w:val="auto"/>
          <w:kern w:val="0"/>
          <w:sz w:val="24"/>
          <w:szCs w:val="24"/>
          <w:highlight w:val="none"/>
          <w:lang w:val="en-US" w:eastAsia="zh-CN"/>
        </w:rPr>
        <w:sectPr>
          <w:pgSz w:w="16838" w:h="11906" w:orient="landscape"/>
          <w:pgMar w:top="1417" w:right="1417" w:bottom="1417" w:left="1417" w:header="680" w:footer="680" w:gutter="0"/>
          <w:pgNumType w:fmt="decimal"/>
          <w:cols w:space="720" w:num="1"/>
          <w:titlePg/>
          <w:docGrid w:linePitch="312" w:charSpace="0"/>
        </w:sect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2" w:name="_Toc10228"/>
      <w:bookmarkStart w:id="3" w:name="_Toc16587"/>
      <w:r>
        <w:rPr>
          <w:rFonts w:hint="eastAsia" w:ascii="宋体" w:hAnsi="宋体" w:eastAsia="宋体" w:cs="宋体"/>
          <w:color w:val="auto"/>
          <w:kern w:val="0"/>
          <w:sz w:val="24"/>
          <w:szCs w:val="24"/>
          <w:highlight w:val="none"/>
        </w:rPr>
        <w:fldChar w:fldCharType="end"/>
      </w:r>
      <w:bookmarkStart w:id="4" w:name="_Toc10906"/>
      <w:r>
        <w:rPr>
          <w:rFonts w:hint="eastAsia" w:ascii="宋体" w:hAnsi="宋体" w:eastAsia="宋体" w:cs="宋体"/>
          <w:b/>
          <w:bCs/>
          <w:kern w:val="2"/>
          <w:sz w:val="28"/>
          <w:szCs w:val="28"/>
          <w:lang w:val="en-US" w:eastAsia="zh-CN" w:bidi="ar-SA"/>
        </w:rPr>
        <w:t>附件二：法定代表人身份证明或法定代表人授权委托书</w:t>
      </w:r>
      <w:bookmarkEnd w:id="2"/>
      <w:bookmarkEnd w:id="3"/>
      <w:bookmarkEnd w:id="4"/>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p>
      <w:pPr>
        <w:pStyle w:val="8"/>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rPr>
      </w:pPr>
      <w:bookmarkStart w:id="5" w:name="_Toc22547"/>
      <w:bookmarkStart w:id="6" w:name="_Toc7420"/>
      <w:bookmarkStart w:id="7" w:name="_Toc6137"/>
      <w:r>
        <w:rPr>
          <w:rFonts w:hint="eastAsia" w:ascii="宋体" w:hAnsi="宋体" w:eastAsia="宋体" w:cs="宋体"/>
          <w:b/>
          <w:bCs/>
          <w:spacing w:val="2"/>
          <w:lang w:val="en-US" w:eastAsia="zh-CN"/>
        </w:rPr>
        <w:t>法定代表人身份</w:t>
      </w:r>
      <w:r>
        <w:rPr>
          <w:rFonts w:hint="eastAsia" w:ascii="宋体" w:hAnsi="宋体" w:eastAsia="宋体" w:cs="宋体"/>
          <w:b/>
          <w:bCs/>
          <w:spacing w:val="2"/>
        </w:rPr>
        <w:t>证明</w:t>
      </w:r>
      <w:bookmarkEnd w:id="5"/>
      <w:bookmarkEnd w:id="6"/>
      <w:bookmarkEnd w:id="7"/>
    </w:p>
    <w:p>
      <w:pPr>
        <w:jc w:val="center"/>
        <w:rPr>
          <w:rFonts w:hint="eastAsia" w:ascii="宋体" w:hAnsi="宋体" w:eastAsia="宋体" w:cs="宋体"/>
          <w:b/>
          <w:bCs/>
          <w:sz w:val="24"/>
          <w:szCs w:val="24"/>
        </w:rPr>
      </w:pPr>
    </w:p>
    <w:p>
      <w:pPr>
        <w:jc w:val="center"/>
        <w:rPr>
          <w:rFonts w:hint="eastAsia" w:ascii="宋体" w:hAnsi="宋体" w:eastAsia="宋体" w:cs="宋体"/>
          <w:b/>
          <w:bCs/>
          <w:sz w:val="28"/>
          <w:szCs w:val="28"/>
        </w:rPr>
      </w:pPr>
      <w:r>
        <w:rPr>
          <w:rFonts w:hint="eastAsia" w:ascii="宋体" w:hAnsi="宋体" w:eastAsia="宋体" w:cs="宋体"/>
          <w:b/>
          <w:bCs/>
          <w:sz w:val="24"/>
          <w:szCs w:val="24"/>
        </w:rPr>
        <w:t>（适用于无委托代理人的情况）</w:t>
      </w:r>
    </w:p>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投标人</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投标人</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7"/>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widowControl/>
        <w:spacing w:line="360" w:lineRule="auto"/>
        <w:ind w:right="555" w:firstLine="360"/>
        <w:jc w:val="left"/>
        <w:rPr>
          <w:rFonts w:hint="eastAsia" w:ascii="宋体" w:hAnsi="宋体" w:eastAsia="宋体" w:cs="宋体"/>
          <w:kern w:val="0"/>
        </w:rPr>
      </w:pPr>
      <w:r>
        <w:rPr>
          <w:rFonts w:hint="eastAsia" w:ascii="宋体" w:hAnsi="宋体" w:eastAsia="宋体" w:cs="宋体"/>
          <w:kern w:val="0"/>
        </w:rPr>
        <w:t>注：如由法定代表人参加投标，只需提供法定代表人身份证明。</w:t>
      </w:r>
    </w:p>
    <w:p>
      <w:pPr>
        <w:adjustRightInd w:val="0"/>
        <w:snapToGrid w:val="0"/>
        <w:spacing w:line="360" w:lineRule="auto"/>
        <w:rPr>
          <w:rFonts w:hint="eastAsia" w:ascii="宋体" w:hAnsi="宋体" w:eastAsia="宋体" w:cs="宋体"/>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pStyle w:val="17"/>
        <w:rPr>
          <w:rFonts w:hint="eastAsia" w:ascii="宋体" w:hAnsi="宋体" w:eastAsia="宋体" w:cs="宋体"/>
          <w:sz w:val="24"/>
        </w:rPr>
      </w:pPr>
    </w:p>
    <w:p>
      <w:pPr>
        <w:spacing w:line="360" w:lineRule="auto"/>
        <w:jc w:val="center"/>
        <w:rPr>
          <w:rFonts w:hint="eastAsia" w:ascii="宋体" w:hAnsi="宋体" w:eastAsia="宋体" w:cs="宋体"/>
          <w:b/>
        </w:rPr>
      </w:pP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jc w:val="center"/>
        <w:rPr>
          <w:rFonts w:hint="eastAsia" w:ascii="宋体" w:hAnsi="宋体" w:eastAsia="宋体" w:cs="宋体"/>
          <w:b/>
          <w:bCs/>
          <w:sz w:val="24"/>
          <w:szCs w:val="24"/>
        </w:rPr>
      </w:pPr>
      <w:r>
        <w:rPr>
          <w:rFonts w:hint="eastAsia" w:ascii="宋体" w:hAnsi="宋体" w:eastAsia="宋体" w:cs="宋体"/>
          <w:b/>
          <w:bCs/>
          <w:sz w:val="24"/>
          <w:szCs w:val="24"/>
        </w:rPr>
        <w:t>（适用于</w:t>
      </w:r>
      <w:r>
        <w:rPr>
          <w:rFonts w:hint="eastAsia" w:ascii="宋体" w:hAnsi="宋体" w:eastAsia="宋体" w:cs="宋体"/>
          <w:b/>
          <w:bCs/>
          <w:sz w:val="24"/>
          <w:szCs w:val="24"/>
          <w:lang w:val="en-US" w:eastAsia="zh-CN"/>
        </w:rPr>
        <w:t>有</w:t>
      </w:r>
      <w:r>
        <w:rPr>
          <w:rFonts w:hint="eastAsia" w:ascii="宋体" w:hAnsi="宋体" w:eastAsia="宋体" w:cs="宋体"/>
          <w:b/>
          <w:bCs/>
          <w:sz w:val="24"/>
          <w:szCs w:val="24"/>
        </w:rPr>
        <w:t>委托代理人的情况）</w:t>
      </w:r>
    </w:p>
    <w:p>
      <w:pPr>
        <w:spacing w:line="360" w:lineRule="auto"/>
        <w:rPr>
          <w:rFonts w:hint="eastAsia" w:ascii="宋体" w:hAnsi="宋体" w:eastAsia="宋体" w:cs="宋体"/>
          <w:b/>
          <w:kern w:val="0"/>
        </w:rPr>
      </w:pPr>
    </w:p>
    <w:p>
      <w:pPr>
        <w:autoSpaceDE w:val="0"/>
        <w:autoSpaceDN w:val="0"/>
        <w:adjustRightInd w:val="0"/>
        <w:snapToGrid w:val="0"/>
        <w:spacing w:line="360" w:lineRule="auto"/>
        <w:jc w:val="center"/>
        <w:rPr>
          <w:rFonts w:hint="eastAsia" w:ascii="宋体" w:hAnsi="宋体" w:eastAsia="宋体" w:cs="宋体"/>
          <w:b/>
          <w:szCs w:val="28"/>
        </w:rPr>
      </w:pPr>
      <w:r>
        <w:rPr>
          <w:rFonts w:hint="eastAsia" w:ascii="宋体" w:hAnsi="宋体" w:eastAsia="宋体" w:cs="宋体"/>
          <w:b/>
          <w:szCs w:val="28"/>
          <w:lang w:bidi="ar"/>
        </w:rPr>
        <w:t>法定代表人授权委托书</w:t>
      </w: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项目（招标编号：）第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投标人</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附件三：网站截屏须知</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20" w:firstLineChars="200"/>
        <w:textAlignment w:val="auto"/>
        <w:rPr>
          <w:rFonts w:hint="eastAsia" w:ascii="宋体" w:hAnsi="宋体" w:eastAsia="宋体" w:cs="宋体"/>
          <w:sz w:val="21"/>
        </w:rPr>
      </w:pP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信用中国网站无失信记录截图流程（http://www.creditchina.gov.cn/）</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（打开系统首页→点击“信用服务”→点击“失信被执行人查询”→空白处输入并点击“查询”，查询出结果后截图）；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中国裁判文书网（https://wenshu.court.gov.cn/）查询显示近</w:t>
      </w:r>
      <w:r>
        <w:rPr>
          <w:rFonts w:hint="eastAsia" w:ascii="宋体" w:hAnsi="宋体" w:eastAsia="宋体" w:cs="宋体"/>
          <w:bCs/>
          <w:sz w:val="22"/>
          <w:lang w:val="en-US" w:eastAsia="zh-CN"/>
        </w:rPr>
        <w:t>三</w:t>
      </w:r>
      <w:r>
        <w:rPr>
          <w:rFonts w:hint="eastAsia" w:ascii="宋体" w:hAnsi="宋体" w:eastAsia="宋体" w:cs="宋体"/>
          <w:bCs/>
          <w:sz w:val="22"/>
        </w:rPr>
        <w:t>年无行贿犯罪记录的截图流程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（打开系统首页→点击“高级检索”，选择“刑事案由”→“贪污贿赂”→“行贿罪”→“裁判日期”选择近</w:t>
      </w:r>
      <w:r>
        <w:rPr>
          <w:rFonts w:hint="eastAsia" w:ascii="宋体" w:hAnsi="宋体" w:eastAsia="宋体" w:cs="宋体"/>
          <w:bCs/>
          <w:sz w:val="22"/>
          <w:lang w:val="en-US" w:eastAsia="zh-CN"/>
        </w:rPr>
        <w:t>三</w:t>
      </w:r>
      <w:r>
        <w:rPr>
          <w:rFonts w:hint="eastAsia" w:ascii="宋体" w:hAnsi="宋体" w:eastAsia="宋体" w:cs="宋体"/>
          <w:bCs/>
          <w:sz w:val="22"/>
        </w:rPr>
        <w:t>年→空白处输入并点击“搜索”，搜索出结果后截图）</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投标单位未被工商行政管理机关在全国企业信用信息公示系统（http://www.gsxt.gov.cn）列入严重违法失信企业名单（黑名单）信息截图流程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440" w:firstLineChars="200"/>
        <w:textAlignment w:val="auto"/>
        <w:rPr>
          <w:rFonts w:hint="eastAsia" w:ascii="宋体" w:hAnsi="宋体" w:eastAsia="宋体" w:cs="宋体"/>
          <w:bCs/>
          <w:sz w:val="22"/>
        </w:rPr>
      </w:pPr>
      <w:r>
        <w:rPr>
          <w:rFonts w:hint="eastAsia" w:ascii="宋体" w:hAnsi="宋体" w:eastAsia="宋体" w:cs="宋体"/>
          <w:bCs/>
          <w:sz w:val="22"/>
        </w:rPr>
        <w:t>（打开系统首页→空白处输入并点击“查询”→点击选择投标人名称→选择“列入严重违法失信企业名单（黑名单）信息”，出现结果后截图）；</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40" w:firstLineChars="200"/>
        <w:jc w:val="both"/>
        <w:textAlignment w:val="auto"/>
        <w:rPr>
          <w:rFonts w:hint="eastAsia" w:ascii="宋体" w:hAnsi="宋体" w:eastAsia="宋体" w:cs="宋体"/>
          <w:b/>
          <w:color w:val="auto"/>
          <w:kern w:val="0"/>
          <w:sz w:val="24"/>
          <w:szCs w:val="24"/>
          <w:lang w:val="en-US"/>
        </w:rPr>
      </w:pPr>
      <w:r>
        <w:rPr>
          <w:rFonts w:hint="eastAsia" w:ascii="宋体" w:hAnsi="宋体" w:eastAsia="宋体" w:cs="宋体"/>
          <w:bCs/>
          <w:sz w:val="22"/>
        </w:rPr>
        <w:br w:type="page"/>
      </w:r>
      <w:r>
        <w:rPr>
          <w:rFonts w:hint="eastAsia" w:ascii="宋体" w:hAnsi="宋体" w:eastAsia="宋体" w:cs="宋体"/>
          <w:b/>
          <w:bCs/>
          <w:color w:val="auto"/>
          <w:sz w:val="24"/>
          <w:szCs w:val="24"/>
          <w:lang w:val="en-US" w:eastAsia="zh-CN"/>
        </w:rPr>
        <w:t>一、信用中国查询方式或下载信用报告</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1、</w:t>
      </w:r>
      <w:r>
        <w:rPr>
          <w:rFonts w:hint="eastAsia" w:ascii="宋体" w:hAnsi="宋体" w:eastAsia="宋体" w:cs="宋体"/>
          <w:color w:val="auto"/>
          <w:sz w:val="24"/>
          <w:szCs w:val="24"/>
          <w:highlight w:val="white"/>
        </w:rPr>
        <w:t>国家信息中心主办“信用中国”网站地址：</w:t>
      </w:r>
      <w:r>
        <w:rPr>
          <w:rFonts w:hint="eastAsia" w:ascii="宋体" w:hAnsi="宋体" w:eastAsia="宋体" w:cs="宋体"/>
          <w:color w:val="auto"/>
          <w:sz w:val="24"/>
          <w:szCs w:val="24"/>
          <w:highlight w:val="white"/>
        </w:rPr>
        <w:fldChar w:fldCharType="begin"/>
      </w:r>
      <w:r>
        <w:rPr>
          <w:rFonts w:hint="eastAsia" w:ascii="宋体" w:hAnsi="宋体" w:eastAsia="宋体" w:cs="宋体"/>
          <w:color w:val="auto"/>
          <w:sz w:val="24"/>
          <w:szCs w:val="24"/>
          <w:highlight w:val="white"/>
        </w:rPr>
        <w:instrText xml:space="preserve"> HYPERLINK "http://www.creditchina.gov.cn打开网页后，点击\“信用服务\”。" </w:instrText>
      </w:r>
      <w:r>
        <w:rPr>
          <w:rFonts w:hint="eastAsia" w:ascii="宋体" w:hAnsi="宋体" w:eastAsia="宋体" w:cs="宋体"/>
          <w:color w:val="auto"/>
          <w:sz w:val="24"/>
          <w:szCs w:val="24"/>
          <w:highlight w:val="white"/>
        </w:rPr>
        <w:fldChar w:fldCharType="separate"/>
      </w:r>
      <w:r>
        <w:rPr>
          <w:rFonts w:hint="eastAsia" w:ascii="宋体" w:hAnsi="宋体" w:eastAsia="宋体" w:cs="宋体"/>
          <w:color w:val="auto"/>
          <w:sz w:val="24"/>
          <w:szCs w:val="24"/>
          <w:highlight w:val="white"/>
        </w:rPr>
        <w:t>http://www.creditchina.gov.cn打开网页后，点击“信用服务”。</w:t>
      </w:r>
      <w:r>
        <w:rPr>
          <w:rFonts w:hint="eastAsia" w:ascii="宋体" w:hAnsi="宋体" w:eastAsia="宋体" w:cs="宋体"/>
          <w:color w:val="auto"/>
          <w:sz w:val="24"/>
          <w:szCs w:val="24"/>
          <w:highlight w:val="white"/>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highlight w:val="white"/>
        </w:rPr>
        <w:drawing>
          <wp:anchor distT="0" distB="0" distL="114300" distR="114300" simplePos="0" relativeHeight="251659264" behindDoc="0" locked="0" layoutInCell="1" allowOverlap="1">
            <wp:simplePos x="0" y="0"/>
            <wp:positionH relativeFrom="column">
              <wp:posOffset>-46355</wp:posOffset>
            </wp:positionH>
            <wp:positionV relativeFrom="paragraph">
              <wp:posOffset>137795</wp:posOffset>
            </wp:positionV>
            <wp:extent cx="5742305" cy="2755900"/>
            <wp:effectExtent l="0" t="0" r="10795" b="6350"/>
            <wp:wrapTopAndBottom/>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4"/>
                    <a:stretch>
                      <a:fillRect/>
                    </a:stretch>
                  </pic:blipFill>
                  <pic:spPr>
                    <a:xfrm>
                      <a:off x="0" y="0"/>
                      <a:ext cx="5742305" cy="275590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2、</w:t>
      </w:r>
      <w:r>
        <w:rPr>
          <w:rFonts w:hint="eastAsia" w:ascii="宋体" w:hAnsi="宋体" w:eastAsia="宋体" w:cs="宋体"/>
          <w:color w:val="auto"/>
          <w:sz w:val="24"/>
          <w:szCs w:val="24"/>
          <w:highlight w:val="white"/>
        </w:rPr>
        <w:t>在以下页面中点击“失信被执行人”</w:t>
      </w:r>
    </w:p>
    <w:p>
      <w:pPr>
        <w:keepNext w:val="0"/>
        <w:keepLines w:val="0"/>
        <w:pageBreakBefore w:val="0"/>
        <w:widowControl w:val="0"/>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kern w:val="0"/>
          <w:sz w:val="24"/>
          <w:szCs w:val="24"/>
        </w:rPr>
        <w:sectPr>
          <w:pgSz w:w="11906" w:h="16838"/>
          <w:pgMar w:top="1417" w:right="1417" w:bottom="1417" w:left="1417" w:header="680" w:footer="680" w:gutter="0"/>
          <w:pgNumType w:fmt="decimal"/>
          <w:cols w:space="720" w:num="1"/>
          <w:titlePg/>
          <w:docGrid w:linePitch="312" w:charSpace="0"/>
        </w:sectPr>
      </w:pPr>
      <w:r>
        <w:rPr>
          <w:rFonts w:hint="eastAsia" w:ascii="宋体" w:hAnsi="宋体" w:eastAsia="宋体" w:cs="宋体"/>
          <w:color w:val="auto"/>
          <w:sz w:val="24"/>
          <w:szCs w:val="24"/>
        </w:rPr>
        <w:drawing>
          <wp:anchor distT="0" distB="0" distL="114300" distR="114300" simplePos="0" relativeHeight="251660288" behindDoc="0" locked="0" layoutInCell="1" allowOverlap="1">
            <wp:simplePos x="0" y="0"/>
            <wp:positionH relativeFrom="column">
              <wp:posOffset>-55880</wp:posOffset>
            </wp:positionH>
            <wp:positionV relativeFrom="paragraph">
              <wp:posOffset>59055</wp:posOffset>
            </wp:positionV>
            <wp:extent cx="5855970" cy="3321050"/>
            <wp:effectExtent l="0" t="0" r="11430" b="12700"/>
            <wp:wrapTopAndBottom/>
            <wp:docPr id="8"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descr="失信"/>
                    <pic:cNvPicPr>
                      <a:picLocks noChangeAspect="1"/>
                    </pic:cNvPicPr>
                  </pic:nvPicPr>
                  <pic:blipFill>
                    <a:blip r:embed="rId5"/>
                    <a:stretch>
                      <a:fillRect/>
                    </a:stretch>
                  </pic:blipFill>
                  <pic:spPr>
                    <a:xfrm>
                      <a:off x="0" y="0"/>
                      <a:ext cx="5855970" cy="3321050"/>
                    </a:xfrm>
                    <a:prstGeom prst="rect">
                      <a:avLst/>
                    </a:prstGeom>
                    <a:noFill/>
                    <a:ln>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360" w:lineRule="auto"/>
        <w:ind w:left="0" w:leftChars="0" w:right="0" w:rightChars="0" w:firstLine="480" w:firstLineChars="200"/>
        <w:textAlignment w:val="auto"/>
        <w:rPr>
          <w:rFonts w:hint="eastAsia" w:ascii="宋体" w:hAnsi="宋体" w:eastAsia="宋体" w:cs="宋体"/>
          <w:color w:val="auto"/>
          <w:sz w:val="24"/>
          <w:szCs w:val="24"/>
          <w:highlight w:val="white"/>
        </w:rPr>
      </w:pPr>
      <w:r>
        <w:rPr>
          <w:rFonts w:hint="eastAsia" w:ascii="宋体" w:hAnsi="宋体" w:eastAsia="宋体" w:cs="宋体"/>
          <w:color w:val="auto"/>
          <w:sz w:val="24"/>
          <w:szCs w:val="24"/>
          <w:highlight w:val="white"/>
          <w:lang w:val="en-US" w:eastAsia="zh-CN"/>
        </w:rPr>
        <w:t>3、</w:t>
      </w:r>
      <w:r>
        <w:rPr>
          <w:rFonts w:hint="eastAsia" w:ascii="宋体" w:hAnsi="宋体" w:eastAsia="宋体" w:cs="宋体"/>
          <w:color w:val="auto"/>
          <w:sz w:val="24"/>
          <w:szCs w:val="24"/>
          <w:highlight w:val="white"/>
        </w:rPr>
        <w:t>在查询窗口输入查询企业名称，将查询结果截图</w:t>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5756910" cy="4838065"/>
            <wp:effectExtent l="0" t="0" r="15240" b="63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6"/>
                    <a:stretch>
                      <a:fillRect/>
                    </a:stretch>
                  </pic:blipFill>
                  <pic:spPr>
                    <a:xfrm>
                      <a:off x="0" y="0"/>
                      <a:ext cx="5756910" cy="483806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二、中国裁判文书网（</w:t>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"http://www.wenshu.court.gov.cn" </w:instrText>
      </w:r>
      <w:r>
        <w:rPr>
          <w:rFonts w:hint="eastAsia" w:ascii="宋体" w:hAnsi="宋体" w:eastAsia="宋体" w:cs="宋体"/>
          <w:sz w:val="24"/>
          <w:szCs w:val="24"/>
        </w:rPr>
        <w:fldChar w:fldCharType="separate"/>
      </w:r>
      <w:r>
        <w:rPr>
          <w:rStyle w:val="14"/>
          <w:rFonts w:hint="eastAsia" w:ascii="宋体" w:hAnsi="宋体" w:eastAsia="宋体" w:cs="宋体"/>
          <w:b/>
          <w:sz w:val="24"/>
          <w:szCs w:val="24"/>
        </w:rPr>
        <w:t>http://www.wenshu.court.gov.cn</w:t>
      </w:r>
      <w:r>
        <w:rPr>
          <w:rFonts w:hint="eastAsia" w:ascii="宋体" w:hAnsi="宋体" w:eastAsia="宋体" w:cs="宋体"/>
          <w:sz w:val="24"/>
          <w:szCs w:val="24"/>
        </w:rPr>
        <w:fldChar w:fldCharType="end"/>
      </w:r>
      <w:r>
        <w:rPr>
          <w:rFonts w:hint="eastAsia" w:ascii="宋体" w:hAnsi="宋体" w:eastAsia="宋体" w:cs="宋体"/>
          <w:b/>
          <w:sz w:val="24"/>
          <w:szCs w:val="24"/>
        </w:rPr>
        <w:t>）截图流程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28590" cy="2240915"/>
            <wp:effectExtent l="0" t="0" r="10160" b="698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7"/>
                    <a:stretch>
                      <a:fillRect/>
                    </a:stretch>
                  </pic:blipFill>
                  <pic:spPr>
                    <a:xfrm>
                      <a:off x="0" y="0"/>
                      <a:ext cx="5228590" cy="224091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第2步：点击“高级检索”，</w:t>
      </w:r>
      <w:r>
        <w:rPr>
          <w:rFonts w:hint="eastAsia" w:ascii="宋体" w:hAnsi="宋体" w:eastAsia="宋体" w:cs="宋体"/>
          <w:sz w:val="24"/>
          <w:szCs w:val="24"/>
          <w:lang w:val="en-US" w:eastAsia="zh-CN"/>
        </w:rPr>
        <w:t>全文检索</w:t>
      </w:r>
      <w:r>
        <w:rPr>
          <w:rFonts w:hint="eastAsia" w:ascii="宋体" w:hAnsi="宋体" w:eastAsia="宋体" w:cs="宋体"/>
          <w:sz w:val="24"/>
          <w:szCs w:val="24"/>
        </w:rPr>
        <w:t>处输入投标人名称</w:t>
      </w:r>
      <w:r>
        <w:rPr>
          <w:rFonts w:hint="eastAsia" w:ascii="宋体" w:hAnsi="宋体" w:eastAsia="宋体" w:cs="宋体"/>
          <w:sz w:val="24"/>
          <w:szCs w:val="24"/>
          <w:lang w:eastAsia="zh-CN"/>
        </w:rPr>
        <w:t>，</w:t>
      </w:r>
      <w:r>
        <w:rPr>
          <w:rFonts w:hint="eastAsia" w:ascii="宋体" w:hAnsi="宋体" w:eastAsia="宋体" w:cs="宋体"/>
          <w:sz w:val="24"/>
          <w:szCs w:val="24"/>
        </w:rPr>
        <w:t>选择“刑事案由”→“贪污贿赂</w:t>
      </w:r>
      <w:r>
        <w:rPr>
          <w:rFonts w:hint="eastAsia" w:ascii="宋体" w:hAnsi="宋体" w:eastAsia="宋体" w:cs="宋体"/>
          <w:sz w:val="24"/>
          <w:szCs w:val="24"/>
          <w:lang w:val="en-US" w:eastAsia="zh-CN"/>
        </w:rPr>
        <w:t>罪</w:t>
      </w:r>
      <w:r>
        <w:rPr>
          <w:rFonts w:hint="eastAsia" w:ascii="宋体" w:hAnsi="宋体" w:eastAsia="宋体" w:cs="宋体"/>
          <w:sz w:val="24"/>
          <w:szCs w:val="24"/>
        </w:rPr>
        <w:t>”→“行贿</w:t>
      </w:r>
      <w:r>
        <w:rPr>
          <w:rFonts w:hint="eastAsia" w:ascii="宋体" w:hAnsi="宋体" w:eastAsia="宋体" w:cs="宋体"/>
          <w:sz w:val="24"/>
          <w:szCs w:val="24"/>
          <w:lang w:val="en-US" w:eastAsia="zh-CN"/>
        </w:rPr>
        <w:t>罪</w:t>
      </w:r>
      <w:r>
        <w:rPr>
          <w:rFonts w:hint="eastAsia" w:ascii="宋体" w:hAnsi="宋体" w:eastAsia="宋体" w:cs="宋体"/>
          <w:sz w:val="24"/>
          <w:szCs w:val="24"/>
        </w:rPr>
        <w:t>”</w:t>
      </w:r>
      <w:r>
        <w:rPr>
          <w:rFonts w:hint="eastAsia" w:ascii="宋体" w:hAnsi="宋体" w:eastAsia="宋体" w:cs="宋体"/>
          <w:sz w:val="24"/>
          <w:szCs w:val="24"/>
          <w:lang w:eastAsia="zh-CN"/>
        </w:rPr>
        <w:t>，</w:t>
      </w:r>
      <w:r>
        <w:rPr>
          <w:rFonts w:hint="eastAsia" w:ascii="宋体" w:hAnsi="宋体" w:eastAsia="宋体" w:cs="宋体"/>
          <w:sz w:val="24"/>
          <w:szCs w:val="24"/>
        </w:rPr>
        <w:t>；</w:t>
      </w:r>
    </w:p>
    <w:p>
      <w:pPr>
        <w:pStyle w:val="9"/>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3630" cy="5782310"/>
            <wp:effectExtent l="0" t="0" r="7620" b="889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8"/>
                    <a:stretch>
                      <a:fillRect/>
                    </a:stretch>
                  </pic:blipFill>
                  <pic:spPr>
                    <a:xfrm>
                      <a:off x="0" y="0"/>
                      <a:ext cx="6183630" cy="57823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6186805" cy="5400675"/>
            <wp:effectExtent l="0" t="0" r="4445" b="952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tretch>
                      <a:fillRect/>
                    </a:stretch>
                  </pic:blipFill>
                  <pic:spPr>
                    <a:xfrm>
                      <a:off x="0" y="0"/>
                      <a:ext cx="6186805" cy="540067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rPr>
        <w:t>第3步：</w:t>
      </w:r>
      <w:r>
        <w:rPr>
          <w:rFonts w:hint="eastAsia" w:ascii="宋体" w:hAnsi="宋体" w:eastAsia="宋体" w:cs="宋体"/>
          <w:sz w:val="24"/>
          <w:szCs w:val="24"/>
          <w:lang w:val="en-US" w:eastAsia="zh-CN"/>
        </w:rPr>
        <w:t>点击搜索，然后截图</w:t>
      </w:r>
    </w:p>
    <w:p>
      <w:pPr>
        <w:keepNext w:val="0"/>
        <w:keepLines w:val="0"/>
        <w:pageBreakBefore w:val="0"/>
        <w:widowControl w:val="0"/>
        <w:kinsoku/>
        <w:wordWrap/>
        <w:overflowPunct/>
        <w:topLinePunct w:val="0"/>
        <w:autoSpaceDE/>
        <w:autoSpaceDN/>
        <w:bidi w:val="0"/>
        <w:adjustRightInd/>
        <w:snapToGrid/>
        <w:spacing w:line="360" w:lineRule="auto"/>
        <w:ind w:firstLine="420" w:firstLineChars="200"/>
        <w:textAlignment w:val="auto"/>
        <w:rPr>
          <w:rFonts w:hint="eastAsia" w:ascii="宋体" w:hAnsi="宋体" w:eastAsia="宋体" w:cs="宋体"/>
          <w:sz w:val="24"/>
          <w:szCs w:val="24"/>
        </w:rPr>
      </w:pPr>
      <w:r>
        <w:rPr>
          <w:rFonts w:hint="eastAsia" w:ascii="宋体" w:hAnsi="宋体" w:eastAsia="宋体" w:cs="宋体"/>
        </w:rPr>
        <w:drawing>
          <wp:inline distT="0" distB="0" distL="114300" distR="114300">
            <wp:extent cx="6182995" cy="3157220"/>
            <wp:effectExtent l="0" t="0" r="8255" b="5080"/>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0"/>
                    <a:stretch>
                      <a:fillRect/>
                    </a:stretch>
                  </pic:blipFill>
                  <pic:spPr>
                    <a:xfrm>
                      <a:off x="0" y="0"/>
                      <a:ext cx="6182995" cy="3157220"/>
                    </a:xfrm>
                    <a:prstGeom prst="rect">
                      <a:avLst/>
                    </a:prstGeom>
                    <a:noFill/>
                    <a:ln>
                      <a:noFill/>
                    </a:ln>
                  </pic:spPr>
                </pic:pic>
              </a:graphicData>
            </a:graphic>
          </wp:inline>
        </w:drawing>
      </w:r>
      <w:r>
        <w:rPr>
          <w:rFonts w:hint="eastAsia" w:ascii="宋体" w:hAnsi="宋体" w:eastAsia="宋体" w:cs="宋体"/>
          <w:sz w:val="24"/>
          <w:szCs w:val="24"/>
        </w:rPr>
        <w:br w:type="page"/>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三、全国企业信用信息公示系统（www.gsxt.gov.cn）截图流程</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第1步：打开系统首页。</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第2步：空白处输入投标人名称并点击“查询”。</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693285" cy="1874520"/>
            <wp:effectExtent l="0" t="0" r="12065" b="11430"/>
            <wp:docPr id="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pic:cNvPicPr>
                      <a:picLocks noChangeAspect="1"/>
                    </pic:cNvPicPr>
                  </pic:nvPicPr>
                  <pic:blipFill>
                    <a:blip r:embed="rId11"/>
                    <a:stretch>
                      <a:fillRect/>
                    </a:stretch>
                  </pic:blipFill>
                  <pic:spPr>
                    <a:xfrm>
                      <a:off x="0" y="0"/>
                      <a:ext cx="4693285" cy="187452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第3步：点击选择投标人名称。</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4822825" cy="2004695"/>
            <wp:effectExtent l="0" t="0" r="15875" b="14605"/>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pic:cNvPicPr>
                  </pic:nvPicPr>
                  <pic:blipFill>
                    <a:blip r:embed="rId12"/>
                    <a:stretch>
                      <a:fillRect/>
                    </a:stretch>
                  </pic:blipFill>
                  <pic:spPr>
                    <a:xfrm>
                      <a:off x="0" y="0"/>
                      <a:ext cx="4822825" cy="2004695"/>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第4步：选择“列入经营异常名录信息”，截取当前页面。</w:t>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280660" cy="2705100"/>
            <wp:effectExtent l="0" t="0" r="15240" b="0"/>
            <wp:docPr id="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pic:cNvPicPr>
                      <a:picLocks noChangeAspect="1"/>
                    </pic:cNvPicPr>
                  </pic:nvPicPr>
                  <pic:blipFill>
                    <a:blip r:embed="rId13"/>
                    <a:stretch>
                      <a:fillRect/>
                    </a:stretch>
                  </pic:blipFill>
                  <pic:spPr>
                    <a:xfrm>
                      <a:off x="0" y="0"/>
                      <a:ext cx="5280660" cy="2705100"/>
                    </a:xfrm>
                    <a:prstGeom prst="rect">
                      <a:avLst/>
                    </a:prstGeom>
                    <a:noFill/>
                    <a:ln>
                      <a:noFill/>
                    </a:ln>
                  </pic:spPr>
                </pic:pic>
              </a:graphicData>
            </a:graphic>
          </wp:inline>
        </w:drawing>
      </w:r>
    </w:p>
    <w:p>
      <w:pPr>
        <w:pStyle w:val="9"/>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sz w:val="24"/>
          <w:szCs w:val="24"/>
        </w:rPr>
      </w:pPr>
      <w:r>
        <w:rPr>
          <w:rFonts w:hint="eastAsia" w:ascii="宋体" w:hAnsi="宋体" w:eastAsia="宋体" w:cs="宋体"/>
          <w:b/>
          <w:sz w:val="24"/>
          <w:szCs w:val="24"/>
        </w:rPr>
        <w:t>第5步：选择“列入严重违法失信企业名单（黑名单）信息”，</w:t>
      </w:r>
    </w:p>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drawing>
          <wp:inline distT="0" distB="0" distL="114300" distR="114300">
            <wp:extent cx="5074920" cy="2383790"/>
            <wp:effectExtent l="0" t="0" r="11430" b="16510"/>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pic:cNvPicPr>
                  </pic:nvPicPr>
                  <pic:blipFill>
                    <a:blip r:embed="rId14"/>
                    <a:stretch>
                      <a:fillRect/>
                    </a:stretch>
                  </pic:blipFill>
                  <pic:spPr>
                    <a:xfrm>
                      <a:off x="0" y="0"/>
                      <a:ext cx="5074920" cy="2383790"/>
                    </a:xfrm>
                    <a:prstGeom prst="rect">
                      <a:avLst/>
                    </a:prstGeom>
                    <a:noFill/>
                    <a:ln>
                      <a:noFill/>
                    </a:ln>
                  </pic:spPr>
                </pic:pic>
              </a:graphicData>
            </a:graphic>
          </wp:inline>
        </w:drawing>
      </w:r>
    </w:p>
    <w:p>
      <w:pPr>
        <w:rPr>
          <w:rFonts w:hint="eastAsia" w:ascii="宋体" w:hAnsi="宋体" w:eastAsia="宋体" w:cs="宋体"/>
          <w:sz w:val="24"/>
          <w:szCs w:val="24"/>
        </w:rPr>
      </w:pPr>
      <w:r>
        <w:rPr>
          <w:rFonts w:hint="eastAsia" w:ascii="宋体" w:hAnsi="宋体" w:eastAsia="宋体" w:cs="宋体"/>
          <w:sz w:val="24"/>
          <w:szCs w:val="24"/>
        </w:rPr>
        <w:br w:type="page"/>
      </w:r>
    </w:p>
    <w:p>
      <w:pPr>
        <w:pStyle w:val="2"/>
        <w:ind w:left="0" w:leftChars="0" w:firstLine="0" w:firstLineChars="0"/>
        <w:rPr>
          <w:rFonts w:hint="default"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附件四：</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投标文件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投标文件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投标人</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0"/>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附件五：投标人承诺函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投标人承诺函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（招标人名称）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（投标人名称）  </w:t>
      </w:r>
      <w:r>
        <w:rPr>
          <w:rFonts w:hint="eastAsia" w:ascii="宋体" w:hAnsi="宋体" w:eastAsia="宋体" w:cs="宋体"/>
          <w:sz w:val="24"/>
        </w:rPr>
        <w:t xml:space="preserve"> ，在此做如下承诺：</w:t>
      </w:r>
    </w:p>
    <w:p>
      <w:pPr>
        <w:numPr>
          <w:ilvl w:val="0"/>
          <w:numId w:val="2"/>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9"/>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投标</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投标</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pStyle w:val="17"/>
        <w:keepNext w:val="0"/>
        <w:keepLines w:val="0"/>
        <w:pageBreakBefore w:val="0"/>
        <w:kinsoku/>
        <w:wordWrap/>
        <w:overflowPunct/>
        <w:topLinePunct w:val="0"/>
        <w:autoSpaceDE/>
        <w:autoSpaceDN/>
        <w:bidi w:val="0"/>
        <w:spacing w:line="560" w:lineRule="exact"/>
        <w:ind w:firstLine="1200" w:firstLineChars="500"/>
        <w:jc w:val="both"/>
        <w:textAlignment w:val="auto"/>
        <w:rPr>
          <w:rFonts w:hint="eastAsia" w:ascii="宋体" w:hAnsi="宋体" w:eastAsia="宋体" w:cs="宋体"/>
          <w:sz w:val="24"/>
          <w:szCs w:val="24"/>
          <w:lang w:val="en-US" w:eastAsia="zh-CN" w:bidi="ar-SA"/>
        </w:rPr>
      </w:pPr>
      <w:r>
        <w:rPr>
          <w:rFonts w:hint="eastAsia" w:ascii="宋体" w:hAnsi="宋体" w:eastAsia="宋体" w:cs="宋体"/>
          <w:sz w:val="24"/>
          <w:szCs w:val="24"/>
          <w:lang w:val="en-US" w:eastAsia="zh-CN" w:bidi="ar-SA"/>
        </w:rPr>
        <w:t>年        月        日</w:t>
      </w:r>
    </w:p>
    <w:p>
      <w:pPr>
        <w:pStyle w:val="17"/>
        <w:keepNext w:val="0"/>
        <w:keepLines w:val="0"/>
        <w:pageBreakBefore w:val="0"/>
        <w:kinsoku/>
        <w:wordWrap/>
        <w:overflowPunct/>
        <w:topLinePunct w:val="0"/>
        <w:autoSpaceDE/>
        <w:autoSpaceDN/>
        <w:bidi w:val="0"/>
        <w:spacing w:line="560" w:lineRule="exact"/>
        <w:jc w:val="both"/>
        <w:textAlignment w:val="auto"/>
        <w:rPr>
          <w:rFonts w:hint="eastAsia" w:ascii="宋体" w:hAnsi="宋体" w:eastAsia="宋体" w:cs="宋体"/>
          <w:sz w:val="24"/>
          <w:szCs w:val="24"/>
          <w:lang w:val="en-US" w:eastAsia="zh-CN" w:bidi="ar-SA"/>
        </w:rPr>
      </w:pPr>
    </w:p>
    <w:p>
      <w:pPr>
        <w:pStyle w:val="2"/>
        <w:ind w:left="0" w:leftChars="0" w:firstLine="0" w:firstLineChars="0"/>
        <w:rPr>
          <w:rFonts w:hint="eastAsia" w:ascii="宋体" w:hAnsi="宋体" w:eastAsia="宋体" w:cs="宋体"/>
          <w:b/>
          <w:bCs/>
          <w:kern w:val="2"/>
          <w:sz w:val="24"/>
          <w:szCs w:val="24"/>
          <w:lang w:val="en-US" w:eastAsia="zh-CN" w:bidi="ar-SA"/>
        </w:rPr>
      </w:pP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4"/>
          <w:szCs w:val="24"/>
          <w:lang w:val="en-US" w:eastAsia="zh-CN" w:bidi="ar-SA"/>
        </w:rPr>
        <w:t>附件六：无在建承诺函</w:t>
      </w:r>
    </w:p>
    <w:p>
      <w:pPr>
        <w:jc w:val="center"/>
        <w:outlineLvl w:val="2"/>
        <w:rPr>
          <w:rFonts w:hint="eastAsia" w:ascii="宋体" w:hAnsi="宋体" w:eastAsia="宋体" w:cs="宋体"/>
          <w:b/>
          <w:bCs/>
          <w:sz w:val="28"/>
          <w:szCs w:val="28"/>
          <w:lang w:val="en-US" w:eastAsia="zh-CN"/>
        </w:rPr>
      </w:pPr>
      <w:bookmarkStart w:id="8" w:name="_Toc19563"/>
      <w:bookmarkStart w:id="9" w:name="_Toc13909"/>
      <w:r>
        <w:rPr>
          <w:rFonts w:hint="eastAsia" w:ascii="宋体" w:hAnsi="宋体" w:eastAsia="宋体" w:cs="宋体"/>
          <w:b/>
          <w:bCs/>
          <w:sz w:val="28"/>
          <w:szCs w:val="28"/>
          <w:lang w:val="en-US" w:eastAsia="zh-CN"/>
        </w:rPr>
        <w:t>无在建承诺函（若适用）</w:t>
      </w:r>
      <w:bookmarkEnd w:id="8"/>
      <w:bookmarkEnd w:id="9"/>
    </w:p>
    <w:p>
      <w:pPr>
        <w:pStyle w:val="18"/>
        <w:spacing w:line="600" w:lineRule="exact"/>
        <w:ind w:left="420"/>
        <w:rPr>
          <w:rFonts w:hint="eastAsia" w:ascii="宋体" w:hAnsi="宋体" w:cs="宋体"/>
          <w:sz w:val="24"/>
        </w:rPr>
      </w:pPr>
    </w:p>
    <w:p>
      <w:pPr>
        <w:pStyle w:val="19"/>
        <w:spacing w:after="240" w:line="360" w:lineRule="auto"/>
        <w:rPr>
          <w:rFonts w:hint="eastAsia" w:ascii="宋体" w:hAnsi="宋体" w:cs="宋体"/>
          <w:kern w:val="2"/>
          <w:sz w:val="24"/>
          <w:szCs w:val="24"/>
          <w:highlight w:val="white"/>
        </w:rPr>
      </w:pPr>
      <w:r>
        <w:rPr>
          <w:rFonts w:hint="eastAsia" w:ascii="宋体" w:hAnsi="宋体" w:cs="宋体"/>
          <w:kern w:val="2"/>
          <w:position w:val="-7"/>
          <w:sz w:val="24"/>
          <w:szCs w:val="24"/>
          <w:highlight w:val="white"/>
        </w:rPr>
        <w:t>————————</w:t>
      </w:r>
      <w:r>
        <w:rPr>
          <w:rFonts w:hint="eastAsia" w:ascii="宋体" w:hAnsi="宋体" w:cs="宋体"/>
          <w:kern w:val="2"/>
          <w:sz w:val="24"/>
          <w:szCs w:val="24"/>
          <w:highlight w:val="white"/>
        </w:rPr>
        <w:t>（招标人名称）：</w:t>
      </w:r>
    </w:p>
    <w:p>
      <w:pPr>
        <w:pStyle w:val="19"/>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我方在此声明，我方拟派往</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（项目名称）</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标段（以下简称“本工程”）的项目经理</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（项目经理姓名）现阶段没有担任任何在施建设工程项目的项目经理。</w:t>
      </w:r>
    </w:p>
    <w:p>
      <w:pPr>
        <w:pStyle w:val="19"/>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我方保证上述信息的真实和准确，并愿意承担因我方就此弄虚作假所引起的一切法律后果。</w:t>
      </w: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r>
        <w:rPr>
          <w:rFonts w:hint="eastAsia" w:ascii="宋体" w:hAnsi="宋体" w:cs="宋体"/>
          <w:kern w:val="2"/>
          <w:sz w:val="24"/>
          <w:szCs w:val="24"/>
          <w:highlight w:val="white"/>
        </w:rPr>
        <w:t>特此承诺</w:t>
      </w: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p>
    <w:p>
      <w:pPr>
        <w:pStyle w:val="19"/>
        <w:spacing w:line="360" w:lineRule="auto"/>
        <w:ind w:firstLine="420"/>
        <w:rPr>
          <w:rFonts w:hint="eastAsia" w:ascii="宋体" w:hAnsi="宋体" w:cs="宋体"/>
          <w:kern w:val="2"/>
          <w:sz w:val="24"/>
          <w:szCs w:val="24"/>
        </w:rPr>
      </w:pPr>
    </w:p>
    <w:p>
      <w:pPr>
        <w:pStyle w:val="19"/>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rPr>
        <w:t>投标人：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（签章）</w:t>
      </w:r>
    </w:p>
    <w:p>
      <w:pPr>
        <w:pStyle w:val="19"/>
        <w:spacing w:line="360" w:lineRule="auto"/>
        <w:jc w:val="right"/>
        <w:rPr>
          <w:rFonts w:hint="eastAsia" w:ascii="宋体" w:hAnsi="宋体" w:cs="宋体"/>
          <w:kern w:val="2"/>
          <w:sz w:val="24"/>
          <w:szCs w:val="24"/>
          <w:highlight w:val="white"/>
        </w:rPr>
      </w:pPr>
      <w:r>
        <w:rPr>
          <w:rFonts w:hint="eastAsia" w:ascii="宋体" w:hAnsi="宋体" w:cs="宋体"/>
          <w:kern w:val="2"/>
          <w:sz w:val="24"/>
          <w:szCs w:val="24"/>
          <w:highlight w:val="white"/>
        </w:rPr>
        <w:t>法定代表人或其委托代理人：</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（签字）</w:t>
      </w:r>
    </w:p>
    <w:p>
      <w:pPr>
        <w:pStyle w:val="19"/>
        <w:spacing w:line="360" w:lineRule="auto"/>
        <w:jc w:val="right"/>
        <w:rPr>
          <w:rFonts w:hint="eastAsia" w:ascii="宋体" w:hAnsi="宋体" w:cs="宋体"/>
          <w:kern w:val="2"/>
          <w:sz w:val="24"/>
          <w:szCs w:val="24"/>
        </w:rPr>
      </w:pPr>
    </w:p>
    <w:p>
      <w:pPr>
        <w:pStyle w:val="19"/>
        <w:spacing w:line="360" w:lineRule="auto"/>
        <w:jc w:val="right"/>
        <w:rPr>
          <w:rFonts w:hint="eastAsia" w:ascii="宋体" w:hAnsi="宋体" w:cs="宋体"/>
          <w:kern w:val="2"/>
          <w:sz w:val="24"/>
          <w:szCs w:val="24"/>
        </w:rPr>
      </w:pP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年</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月</w:t>
      </w:r>
      <w:r>
        <w:rPr>
          <w:rFonts w:hint="eastAsia" w:ascii="宋体" w:hAnsi="宋体" w:cs="宋体"/>
          <w:kern w:val="2"/>
          <w:sz w:val="24"/>
          <w:szCs w:val="24"/>
          <w:highlight w:val="white"/>
          <w:u w:val="single"/>
        </w:rPr>
        <w:t xml:space="preserve">        </w:t>
      </w:r>
      <w:r>
        <w:rPr>
          <w:rFonts w:hint="eastAsia" w:ascii="宋体" w:hAnsi="宋体" w:cs="宋体"/>
          <w:kern w:val="2"/>
          <w:sz w:val="24"/>
          <w:szCs w:val="24"/>
          <w:highlight w:val="white"/>
        </w:rPr>
        <w:t>日</w:t>
      </w:r>
    </w:p>
    <w:p>
      <w:pPr>
        <w:pStyle w:val="17"/>
        <w:keepNext w:val="0"/>
        <w:keepLines w:val="0"/>
        <w:pageBreakBefore w:val="0"/>
        <w:kinsoku/>
        <w:wordWrap/>
        <w:overflowPunct/>
        <w:topLinePunct w:val="0"/>
        <w:autoSpaceDE/>
        <w:autoSpaceDN/>
        <w:bidi w:val="0"/>
        <w:spacing w:line="560" w:lineRule="exact"/>
        <w:jc w:val="both"/>
        <w:textAlignment w:val="auto"/>
        <w:rPr>
          <w:rFonts w:hint="default" w:ascii="宋体" w:hAnsi="宋体" w:cs="宋体"/>
          <w:sz w:val="24"/>
          <w:szCs w:val="24"/>
          <w:lang w:val="en-US" w:eastAsia="zh-CN" w:bidi="ar-SA"/>
        </w:rPr>
      </w:pPr>
    </w:p>
    <w:p/>
    <w:sectPr>
      <w:pgSz w:w="11906" w:h="16838"/>
      <w:pgMar w:top="1417" w:right="1417" w:bottom="1417"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422AF28"/>
    <w:multiLevelType w:val="singleLevel"/>
    <w:tmpl w:val="9422AF28"/>
    <w:lvl w:ilvl="0" w:tentative="0">
      <w:start w:val="1"/>
      <w:numFmt w:val="decimal"/>
      <w:suff w:val="nothing"/>
      <w:lvlText w:val="%1、"/>
      <w:lvlJc w:val="left"/>
      <w:pPr>
        <w:ind w:left="0" w:firstLine="0"/>
      </w:pPr>
    </w:lvl>
  </w:abstractNum>
  <w:abstractNum w:abstractNumId="1">
    <w:nsid w:val="6F5EDBC9"/>
    <w:multiLevelType w:val="singleLevel"/>
    <w:tmpl w:val="6F5EDBC9"/>
    <w:lvl w:ilvl="0" w:tentative="0">
      <w:start w:val="1"/>
      <w:numFmt w:val="decimal"/>
      <w:suff w:val="nothing"/>
      <w:lvlText w:val="%1、"/>
      <w:lvlJc w:val="left"/>
    </w:lvl>
  </w:abstractNum>
  <w:num w:numId="1">
    <w:abstractNumId w:val="0"/>
    <w:lvlOverride w:ilvl="0">
      <w:startOverride w:val="1"/>
    </w:lvlOverride>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NiNmY2ZjUxNTI0MGZkZDkxYWQ1YWRmMjg5ZjUzODkifQ=="/>
  </w:docVars>
  <w:rsids>
    <w:rsidRoot w:val="25990208"/>
    <w:rsid w:val="259902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8">
    <w:name w:val="heading 2"/>
    <w:basedOn w:val="1"/>
    <w:next w:val="9"/>
    <w:qFormat/>
    <w:uiPriority w:val="0"/>
    <w:pPr>
      <w:keepNext/>
      <w:keepLines/>
      <w:spacing w:before="260" w:after="260" w:line="416" w:lineRule="auto"/>
      <w:outlineLvl w:val="1"/>
    </w:pPr>
    <w:rPr>
      <w:rFonts w:ascii="Arial" w:hAnsi="Arial" w:eastAsia="黑体"/>
      <w:b/>
      <w:bCs/>
      <w:sz w:val="32"/>
      <w:szCs w:val="32"/>
    </w:rPr>
  </w:style>
  <w:style w:type="character" w:default="1" w:styleId="13">
    <w:name w:val="Default Paragraph Font"/>
    <w:semiHidden/>
    <w:uiPriority w:val="0"/>
  </w:style>
  <w:style w:type="table" w:default="1" w:styleId="11">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6"/>
    <w:qFormat/>
    <w:uiPriority w:val="0"/>
    <w:pPr>
      <w:ind w:firstLine="420" w:firstLineChars="200"/>
    </w:pPr>
  </w:style>
  <w:style w:type="paragraph" w:styleId="3">
    <w:name w:val="Body Text Indent"/>
    <w:basedOn w:val="1"/>
    <w:next w:val="4"/>
    <w:qFormat/>
    <w:uiPriority w:val="0"/>
    <w:pPr>
      <w:spacing w:after="120"/>
      <w:ind w:left="420" w:leftChars="200"/>
    </w:pPr>
  </w:style>
  <w:style w:type="paragraph" w:customStyle="1" w:styleId="4">
    <w:name w:val="p16"/>
    <w:basedOn w:val="1"/>
    <w:next w:val="5"/>
    <w:qFormat/>
    <w:uiPriority w:val="0"/>
    <w:pPr>
      <w:widowControl/>
      <w:spacing w:line="400" w:lineRule="atLeast"/>
    </w:pPr>
    <w:rPr>
      <w:kern w:val="0"/>
      <w:sz w:val="24"/>
    </w:rPr>
  </w:style>
  <w:style w:type="paragraph" w:styleId="5">
    <w:name w:val="toc 2"/>
    <w:basedOn w:val="1"/>
    <w:next w:val="1"/>
    <w:uiPriority w:val="39"/>
    <w:pPr>
      <w:ind w:left="420" w:leftChars="200"/>
    </w:pPr>
  </w:style>
  <w:style w:type="paragraph" w:styleId="6">
    <w:name w:val="Body Text First Indent"/>
    <w:basedOn w:val="7"/>
    <w:next w:val="1"/>
    <w:qFormat/>
    <w:uiPriority w:val="0"/>
    <w:pPr>
      <w:spacing w:line="312" w:lineRule="auto"/>
      <w:ind w:firstLine="420" w:firstLineChars="0"/>
    </w:pPr>
    <w:rPr>
      <w:szCs w:val="20"/>
    </w:rPr>
  </w:style>
  <w:style w:type="paragraph" w:styleId="7">
    <w:name w:val="Body Text"/>
    <w:basedOn w:val="1"/>
    <w:qFormat/>
    <w:uiPriority w:val="0"/>
    <w:pPr>
      <w:spacing w:after="120"/>
    </w:pPr>
  </w:style>
  <w:style w:type="paragraph" w:styleId="9">
    <w:name w:val="Normal Indent"/>
    <w:basedOn w:val="1"/>
    <w:qFormat/>
    <w:uiPriority w:val="0"/>
    <w:pPr>
      <w:ind w:firstLine="420" w:firstLineChars="200"/>
    </w:pPr>
  </w:style>
  <w:style w:type="paragraph" w:styleId="10">
    <w:name w:val="Body Text 2"/>
    <w:basedOn w:val="1"/>
    <w:uiPriority w:val="0"/>
    <w:pPr>
      <w:spacing w:after="120" w:line="480" w:lineRule="auto"/>
    </w:pPr>
    <w:rPr>
      <w:kern w:val="0"/>
      <w:sz w:val="20"/>
      <w:szCs w:val="24"/>
    </w:rPr>
  </w:style>
  <w:style w:type="table" w:styleId="12">
    <w:name w:val="Table Grid"/>
    <w:basedOn w:val="11"/>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Hyperlink"/>
    <w:basedOn w:val="13"/>
    <w:qFormat/>
    <w:uiPriority w:val="99"/>
    <w:rPr>
      <w:color w:val="0000FF"/>
      <w:u w:val="single"/>
    </w:rPr>
  </w:style>
  <w:style w:type="character" w:customStyle="1" w:styleId="15">
    <w:name w:val="font31"/>
    <w:basedOn w:val="13"/>
    <w:qFormat/>
    <w:uiPriority w:val="0"/>
    <w:rPr>
      <w:rFonts w:hint="eastAsia" w:ascii="宋体" w:hAnsi="宋体" w:eastAsia="宋体" w:cs="宋体"/>
      <w:color w:val="FF0000"/>
      <w:sz w:val="20"/>
      <w:szCs w:val="20"/>
      <w:u w:val="none"/>
    </w:rPr>
  </w:style>
  <w:style w:type="character" w:customStyle="1" w:styleId="16">
    <w:name w:val="font11"/>
    <w:basedOn w:val="13"/>
    <w:qFormat/>
    <w:uiPriority w:val="0"/>
    <w:rPr>
      <w:rFonts w:hint="eastAsia" w:ascii="宋体" w:hAnsi="宋体" w:eastAsia="宋体" w:cs="宋体"/>
      <w:color w:val="000000"/>
      <w:sz w:val="20"/>
      <w:szCs w:val="20"/>
      <w:u w:val="none"/>
    </w:rPr>
  </w:style>
  <w:style w:type="paragraph" w:customStyle="1" w:styleId="17">
    <w:name w:val="无间隔1"/>
    <w:qFormat/>
    <w:uiPriority w:val="1"/>
    <w:rPr>
      <w:rFonts w:ascii="Calibri" w:hAnsi="Calibri" w:eastAsia="Times New Roman" w:cs="Times New Roman"/>
      <w:sz w:val="22"/>
      <w:szCs w:val="22"/>
      <w:lang w:val="en-US" w:eastAsia="zh-CN" w:bidi="ar-SA"/>
    </w:rPr>
  </w:style>
  <w:style w:type="paragraph" w:customStyle="1" w:styleId="18">
    <w:name w:val="Normal_33"/>
    <w:qFormat/>
    <w:uiPriority w:val="0"/>
    <w:pPr>
      <w:widowControl w:val="0"/>
    </w:pPr>
    <w:rPr>
      <w:rFonts w:ascii="Times New Roman" w:hAnsi="Times New Roman" w:eastAsia="宋体" w:cs="Times New Roman"/>
      <w:kern w:val="2"/>
      <w:sz w:val="21"/>
      <w:szCs w:val="24"/>
      <w:lang w:val="en-US" w:eastAsia="zh-CN" w:bidi="ar-SA"/>
    </w:rPr>
  </w:style>
  <w:style w:type="paragraph" w:customStyle="1" w:styleId="19">
    <w:name w:val="Normal_0"/>
    <w:uiPriority w:val="0"/>
    <w:pPr>
      <w:widowControl w:val="0"/>
      <w:jc w:val="both"/>
    </w:pPr>
    <w:rPr>
      <w:rFonts w:ascii="Times New Roman" w:hAnsi="Times New Roman" w:eastAsia="宋体" w:cs="Times New Roman"/>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2022-06-21T09:44:00Z</dcterms:created>
  <dc:creator>Administrator</dc:creator>
  <cp:lastModifiedBy>Administrator</cp:lastModifiedBy>
  <dcterms:modified xsi:type="dcterms:W3CDTF">2022-06-21T09:45:02Z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CA36F99218924897B4E0652ABD0B16C3</vt:lpwstr>
  </property>
</Properties>
</file>