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12" w:lineRule="exact"/>
        <w:jc w:val="center"/>
        <w:rPr>
          <w:b/>
          <w:szCs w:val="21"/>
        </w:rPr>
      </w:pPr>
    </w:p>
    <w:p>
      <w:pPr>
        <w:spacing w:line="360" w:lineRule="auto"/>
        <w:ind w:right="-523" w:rightChars="-249" w:firstLine="10" w:firstLineChars="5"/>
        <w:rPr>
          <w:b/>
          <w:sz w:val="52"/>
        </w:rPr>
      </w:pPr>
      <w:r>
        <w:drawing>
          <wp:inline distT="0" distB="0" distL="114300" distR="114300">
            <wp:extent cx="3420745" cy="751840"/>
            <wp:effectExtent l="0" t="0" r="8255" b="10160"/>
            <wp:docPr id="4" name="图片 1" descr="标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标志"/>
                    <pic:cNvPicPr>
                      <a:picLocks noChangeAspect="1"/>
                    </pic:cNvPicPr>
                  </pic:nvPicPr>
                  <pic:blipFill>
                    <a:blip r:embed="rId9"/>
                    <a:srcRect l="3616" t="6909" r="4263" b="7132"/>
                    <a:stretch>
                      <a:fillRect/>
                    </a:stretch>
                  </pic:blipFill>
                  <pic:spPr>
                    <a:xfrm>
                      <a:off x="0" y="0"/>
                      <a:ext cx="3420745" cy="751840"/>
                    </a:xfrm>
                    <a:prstGeom prst="rect">
                      <a:avLst/>
                    </a:prstGeom>
                    <a:noFill/>
                    <a:ln>
                      <a:noFill/>
                    </a:ln>
                  </pic:spPr>
                </pic:pic>
              </a:graphicData>
            </a:graphic>
          </wp:inline>
        </w:drawing>
      </w:r>
    </w:p>
    <w:p>
      <w:pPr>
        <w:spacing w:line="360" w:lineRule="auto"/>
        <w:ind w:firstLine="26" w:firstLineChars="5"/>
        <w:rPr>
          <w:rFonts w:ascii="宋体" w:hAnsi="宋体"/>
          <w:b/>
          <w:sz w:val="52"/>
        </w:rPr>
      </w:pPr>
    </w:p>
    <w:p>
      <w:pPr>
        <w:spacing w:line="360" w:lineRule="auto"/>
        <w:ind w:firstLine="26" w:firstLineChars="5"/>
        <w:rPr>
          <w:rFonts w:ascii="宋体" w:hAnsi="宋体"/>
          <w:b/>
          <w:sz w:val="52"/>
        </w:rPr>
      </w:pPr>
    </w:p>
    <w:p>
      <w:pPr>
        <w:spacing w:line="480" w:lineRule="auto"/>
        <w:jc w:val="center"/>
        <w:rPr>
          <w:rFonts w:ascii="宋体" w:hAnsi="宋体"/>
          <w:b/>
          <w:color w:val="000000"/>
          <w:sz w:val="48"/>
          <w:szCs w:val="48"/>
        </w:rPr>
      </w:pPr>
      <w:r>
        <w:rPr>
          <w:rFonts w:hint="eastAsia" w:ascii="宋体" w:hAnsi="宋体"/>
          <w:b/>
          <w:color w:val="000000"/>
          <w:sz w:val="48"/>
          <w:szCs w:val="48"/>
        </w:rPr>
        <w:t>内蒙古电力(集团)有限责任公司</w:t>
      </w:r>
    </w:p>
    <w:p>
      <w:pPr>
        <w:spacing w:line="480" w:lineRule="auto"/>
        <w:jc w:val="center"/>
        <w:rPr>
          <w:rFonts w:ascii="宋体" w:hAnsi="宋体"/>
          <w:b/>
          <w:color w:val="000000"/>
          <w:sz w:val="48"/>
          <w:szCs w:val="48"/>
        </w:rPr>
      </w:pPr>
      <w:r>
        <w:rPr>
          <w:rFonts w:hint="eastAsia" w:ascii="宋体" w:hAnsi="宋体"/>
          <w:b/>
          <w:color w:val="000000"/>
          <w:sz w:val="48"/>
          <w:szCs w:val="48"/>
        </w:rPr>
        <w:t>阿拉善供电公司</w:t>
      </w:r>
    </w:p>
    <w:p>
      <w:pPr>
        <w:spacing w:line="480" w:lineRule="auto"/>
        <w:jc w:val="center"/>
        <w:rPr>
          <w:rFonts w:ascii="宋体" w:hAnsi="宋体"/>
          <w:b/>
          <w:color w:val="000000"/>
          <w:sz w:val="48"/>
          <w:szCs w:val="48"/>
        </w:rPr>
      </w:pPr>
      <w:r>
        <w:rPr>
          <w:rFonts w:hint="eastAsia" w:ascii="宋体" w:hAnsi="宋体"/>
          <w:b/>
          <w:color w:val="000000"/>
          <w:sz w:val="48"/>
          <w:szCs w:val="48"/>
        </w:rPr>
        <w:t>2022年信息技改项目</w:t>
      </w:r>
    </w:p>
    <w:p>
      <w:pPr>
        <w:adjustRightInd w:val="0"/>
        <w:snapToGrid w:val="0"/>
        <w:spacing w:line="360" w:lineRule="auto"/>
        <w:jc w:val="center"/>
        <w:rPr>
          <w:rFonts w:ascii="宋体" w:hAnsi="宋体"/>
          <w:b/>
          <w:color w:val="000000"/>
          <w:sz w:val="48"/>
          <w:szCs w:val="48"/>
        </w:rPr>
      </w:pPr>
      <w:r>
        <w:rPr>
          <w:rFonts w:hint="eastAsia" w:ascii="宋体" w:hAnsi="宋体"/>
          <w:b/>
          <w:color w:val="000000"/>
          <w:sz w:val="48"/>
          <w:szCs w:val="48"/>
        </w:rPr>
        <w:t>阿拉善供电公司阿右旗供电分公司信息机房双设备改造</w:t>
      </w:r>
    </w:p>
    <w:p>
      <w:pPr>
        <w:adjustRightInd w:val="0"/>
        <w:snapToGrid w:val="0"/>
        <w:spacing w:line="360" w:lineRule="auto"/>
        <w:jc w:val="center"/>
        <w:rPr>
          <w:rFonts w:ascii="宋体" w:hAnsi="宋体"/>
          <w:b/>
          <w:color w:val="000000"/>
          <w:sz w:val="48"/>
          <w:szCs w:val="48"/>
        </w:rPr>
      </w:pPr>
      <w:r>
        <w:rPr>
          <w:rFonts w:hint="eastAsia" w:ascii="宋体" w:hAnsi="宋体"/>
          <w:b/>
          <w:color w:val="000000"/>
          <w:sz w:val="48"/>
          <w:szCs w:val="48"/>
        </w:rPr>
        <w:t>路由器通用技术规范</w:t>
      </w:r>
    </w:p>
    <w:p>
      <w:pPr>
        <w:adjustRightInd w:val="0"/>
        <w:snapToGrid w:val="0"/>
        <w:spacing w:line="360" w:lineRule="auto"/>
        <w:jc w:val="center"/>
        <w:rPr>
          <w:rFonts w:hAnsi="宋体"/>
          <w:b/>
          <w:sz w:val="44"/>
          <w:lang w:val="zh-CN"/>
        </w:rPr>
      </w:pPr>
    </w:p>
    <w:p>
      <w:pPr>
        <w:spacing w:line="360" w:lineRule="auto"/>
        <w:ind w:firstLine="22" w:firstLineChars="5"/>
        <w:rPr>
          <w:b/>
          <w:sz w:val="44"/>
        </w:rPr>
      </w:pPr>
    </w:p>
    <w:p>
      <w:pPr>
        <w:ind w:firstLine="24" w:firstLineChars="5"/>
        <w:jc w:val="center"/>
        <w:rPr>
          <w:b/>
          <w:sz w:val="48"/>
        </w:rPr>
      </w:pPr>
    </w:p>
    <w:p>
      <w:pPr>
        <w:ind w:firstLine="22" w:firstLineChars="4"/>
        <w:jc w:val="center"/>
        <w:rPr>
          <w:rFonts w:eastAsia="方正小标宋简体"/>
          <w:spacing w:val="40"/>
          <w:sz w:val="48"/>
          <w:szCs w:val="48"/>
        </w:rPr>
      </w:pPr>
    </w:p>
    <w:p>
      <w:pPr>
        <w:spacing w:line="360" w:lineRule="auto"/>
        <w:ind w:firstLine="26" w:firstLineChars="5"/>
        <w:jc w:val="center"/>
        <w:rPr>
          <w:b/>
          <w:sz w:val="52"/>
        </w:rPr>
      </w:pPr>
    </w:p>
    <w:p>
      <w:pPr>
        <w:spacing w:line="360" w:lineRule="auto"/>
        <w:ind w:firstLine="18" w:firstLineChars="5"/>
        <w:jc w:val="center"/>
        <w:rPr>
          <w:rFonts w:hAnsi="宋体"/>
          <w:b/>
          <w:sz w:val="36"/>
          <w:szCs w:val="36"/>
        </w:rPr>
      </w:pPr>
      <w:r>
        <w:rPr>
          <w:rFonts w:hint="eastAsia" w:hAnsi="宋体"/>
          <w:b/>
          <w:sz w:val="36"/>
          <w:szCs w:val="36"/>
        </w:rPr>
        <w:t>内蒙古威信通电力通信工程设计有限公司</w:t>
      </w:r>
    </w:p>
    <w:p>
      <w:pPr>
        <w:spacing w:line="360" w:lineRule="auto"/>
        <w:ind w:firstLine="18" w:firstLineChars="5"/>
        <w:jc w:val="center"/>
        <w:rPr>
          <w:rFonts w:hAnsi="宋体"/>
          <w:b/>
          <w:sz w:val="36"/>
          <w:szCs w:val="36"/>
        </w:rPr>
      </w:pPr>
      <w:r>
        <w:rPr>
          <w:b/>
          <w:sz w:val="36"/>
          <w:szCs w:val="36"/>
        </w:rPr>
        <w:t>20</w:t>
      </w:r>
      <w:r>
        <w:rPr>
          <w:rFonts w:hint="eastAsia"/>
          <w:b/>
          <w:sz w:val="36"/>
          <w:szCs w:val="36"/>
        </w:rPr>
        <w:t>22</w:t>
      </w:r>
      <w:r>
        <w:rPr>
          <w:rFonts w:hint="eastAsia" w:hAnsi="宋体"/>
          <w:b/>
          <w:sz w:val="36"/>
          <w:szCs w:val="36"/>
        </w:rPr>
        <w:t>年</w:t>
      </w:r>
      <w:r>
        <w:rPr>
          <w:rFonts w:hint="eastAsia"/>
          <w:b/>
          <w:sz w:val="36"/>
          <w:szCs w:val="36"/>
        </w:rPr>
        <w:t>4</w:t>
      </w:r>
      <w:r>
        <w:rPr>
          <w:rFonts w:hint="eastAsia" w:hAnsi="宋体"/>
          <w:b/>
          <w:sz w:val="36"/>
          <w:szCs w:val="36"/>
        </w:rPr>
        <w:t>月</w:t>
      </w:r>
    </w:p>
    <w:p>
      <w:pPr>
        <w:rPr>
          <w:rFonts w:hAnsi="宋体"/>
          <w:b/>
          <w:sz w:val="36"/>
          <w:szCs w:val="36"/>
        </w:rPr>
      </w:pPr>
      <w:r>
        <w:rPr>
          <w:rFonts w:hint="eastAsia" w:hAnsi="宋体"/>
          <w:b/>
          <w:sz w:val="36"/>
          <w:szCs w:val="36"/>
        </w:rPr>
        <w:br w:type="page"/>
      </w:r>
    </w:p>
    <w:p>
      <w:pPr>
        <w:pStyle w:val="14"/>
        <w:snapToGrid w:val="0"/>
        <w:spacing w:line="360" w:lineRule="auto"/>
        <w:jc w:val="center"/>
        <w:rPr>
          <w:sz w:val="28"/>
          <w:szCs w:val="28"/>
        </w:rPr>
      </w:pPr>
      <w:r>
        <w:rPr>
          <w:rFonts w:hint="eastAsia" w:ascii="宋体"/>
          <w:b/>
          <w:color w:val="000000"/>
          <w:sz w:val="28"/>
          <w:szCs w:val="28"/>
        </w:rPr>
        <w:t>目    录</w:t>
      </w:r>
    </w:p>
    <w:p>
      <w:pPr>
        <w:adjustRightInd w:val="0"/>
        <w:snapToGrid w:val="0"/>
        <w:spacing w:line="360" w:lineRule="auto"/>
        <w:jc w:val="center"/>
        <w:rPr>
          <w:rFonts w:eastAsia="仿宋_GB2312"/>
          <w:color w:val="000000"/>
          <w:sz w:val="24"/>
          <w:szCs w:val="24"/>
        </w:rPr>
      </w:pPr>
    </w:p>
    <w:p>
      <w:pPr>
        <w:pStyle w:val="8"/>
        <w:tabs>
          <w:tab w:val="right" w:leader="dot" w:pos="9060"/>
        </w:tabs>
        <w:rPr>
          <w:rFonts w:asciiTheme="minorHAnsi" w:hAnsiTheme="minorHAnsi" w:eastAsiaTheme="minorEastAsia" w:cstheme="minorBidi"/>
          <w:b w:val="0"/>
          <w:bCs w:val="0"/>
          <w:caps w:val="0"/>
          <w:sz w:val="21"/>
          <w:szCs w:val="22"/>
        </w:rPr>
      </w:pPr>
      <w:r>
        <w:rPr>
          <w:rFonts w:eastAsia="仿宋_GB2312"/>
          <w:b w:val="0"/>
          <w:bCs w:val="0"/>
          <w:color w:val="000000"/>
          <w:kern w:val="44"/>
          <w:sz w:val="24"/>
          <w:szCs w:val="24"/>
        </w:rPr>
        <w:fldChar w:fldCharType="begin"/>
      </w:r>
      <w:r>
        <w:rPr>
          <w:rFonts w:eastAsia="仿宋_GB2312"/>
          <w:b w:val="0"/>
          <w:bCs w:val="0"/>
          <w:color w:val="000000"/>
          <w:kern w:val="44"/>
          <w:sz w:val="24"/>
          <w:szCs w:val="24"/>
        </w:rPr>
        <w:instrText xml:space="preserve"> TOC \o "1-1" \h \z \u </w:instrText>
      </w:r>
      <w:r>
        <w:rPr>
          <w:rFonts w:eastAsia="仿宋_GB2312"/>
          <w:b w:val="0"/>
          <w:bCs w:val="0"/>
          <w:color w:val="000000"/>
          <w:kern w:val="44"/>
          <w:sz w:val="24"/>
          <w:szCs w:val="24"/>
        </w:rPr>
        <w:fldChar w:fldCharType="separate"/>
      </w:r>
      <w:r>
        <w:fldChar w:fldCharType="begin"/>
      </w:r>
      <w:r>
        <w:instrText xml:space="preserve"> HYPERLINK \l "_Toc103766641" </w:instrText>
      </w:r>
      <w:r>
        <w:fldChar w:fldCharType="separate"/>
      </w:r>
      <w:r>
        <w:rPr>
          <w:rStyle w:val="12"/>
        </w:rPr>
        <w:t>1</w:t>
      </w:r>
      <w:r>
        <w:rPr>
          <w:rStyle w:val="12"/>
          <w:rFonts w:hAnsi="宋体"/>
        </w:rPr>
        <w:t>　总则</w:t>
      </w:r>
      <w:r>
        <w:tab/>
      </w:r>
      <w:r>
        <w:fldChar w:fldCharType="begin"/>
      </w:r>
      <w:r>
        <w:instrText xml:space="preserve"> PAGEREF _Toc103766641 \h </w:instrText>
      </w:r>
      <w:r>
        <w:fldChar w:fldCharType="separate"/>
      </w:r>
      <w:r>
        <w:t>1</w:t>
      </w:r>
      <w:r>
        <w:fldChar w:fldCharType="end"/>
      </w:r>
      <w:r>
        <w:fldChar w:fldCharType="end"/>
      </w:r>
    </w:p>
    <w:p>
      <w:pPr>
        <w:pStyle w:val="8"/>
        <w:tabs>
          <w:tab w:val="right" w:leader="dot" w:pos="9060"/>
        </w:tabs>
        <w:rPr>
          <w:rFonts w:asciiTheme="minorHAnsi" w:hAnsiTheme="minorHAnsi" w:eastAsiaTheme="minorEastAsia" w:cstheme="minorBidi"/>
          <w:b w:val="0"/>
          <w:bCs w:val="0"/>
          <w:caps w:val="0"/>
          <w:sz w:val="21"/>
          <w:szCs w:val="22"/>
        </w:rPr>
      </w:pPr>
      <w:r>
        <w:fldChar w:fldCharType="begin"/>
      </w:r>
      <w:r>
        <w:instrText xml:space="preserve"> HYPERLINK \l "_Toc103766642" </w:instrText>
      </w:r>
      <w:r>
        <w:fldChar w:fldCharType="separate"/>
      </w:r>
      <w:r>
        <w:rPr>
          <w:rStyle w:val="12"/>
        </w:rPr>
        <w:t>2</w:t>
      </w:r>
      <w:r>
        <w:rPr>
          <w:rStyle w:val="12"/>
          <w:rFonts w:hAnsi="宋体"/>
        </w:rPr>
        <w:t>　标准规范</w:t>
      </w:r>
      <w:r>
        <w:tab/>
      </w:r>
      <w:r>
        <w:fldChar w:fldCharType="begin"/>
      </w:r>
      <w:r>
        <w:instrText xml:space="preserve"> PAGEREF _Toc103766642 \h </w:instrText>
      </w:r>
      <w:r>
        <w:fldChar w:fldCharType="separate"/>
      </w:r>
      <w:r>
        <w:t>2</w:t>
      </w:r>
      <w:r>
        <w:fldChar w:fldCharType="end"/>
      </w:r>
      <w:r>
        <w:fldChar w:fldCharType="end"/>
      </w:r>
    </w:p>
    <w:p>
      <w:pPr>
        <w:pStyle w:val="8"/>
        <w:tabs>
          <w:tab w:val="right" w:leader="dot" w:pos="9060"/>
        </w:tabs>
        <w:rPr>
          <w:rFonts w:asciiTheme="minorHAnsi" w:hAnsiTheme="minorHAnsi" w:eastAsiaTheme="minorEastAsia" w:cstheme="minorBidi"/>
          <w:b w:val="0"/>
          <w:bCs w:val="0"/>
          <w:caps w:val="0"/>
          <w:sz w:val="21"/>
          <w:szCs w:val="22"/>
        </w:rPr>
      </w:pPr>
      <w:r>
        <w:fldChar w:fldCharType="begin"/>
      </w:r>
      <w:r>
        <w:instrText xml:space="preserve"> HYPERLINK \l "_Toc103766643" </w:instrText>
      </w:r>
      <w:r>
        <w:fldChar w:fldCharType="separate"/>
      </w:r>
      <w:r>
        <w:rPr>
          <w:rStyle w:val="12"/>
        </w:rPr>
        <w:t>3</w:t>
      </w:r>
      <w:r>
        <w:rPr>
          <w:rStyle w:val="12"/>
          <w:rFonts w:hAnsi="宋体"/>
        </w:rPr>
        <w:t>　路由器技术要求</w:t>
      </w:r>
      <w:r>
        <w:tab/>
      </w:r>
      <w:r>
        <w:fldChar w:fldCharType="begin"/>
      </w:r>
      <w:r>
        <w:instrText xml:space="preserve"> PAGEREF _Toc103766643 \h </w:instrText>
      </w:r>
      <w:r>
        <w:fldChar w:fldCharType="separate"/>
      </w:r>
      <w:r>
        <w:t>4</w:t>
      </w:r>
      <w:r>
        <w:fldChar w:fldCharType="end"/>
      </w:r>
      <w:r>
        <w:fldChar w:fldCharType="end"/>
      </w:r>
    </w:p>
    <w:p>
      <w:pPr>
        <w:pStyle w:val="8"/>
        <w:tabs>
          <w:tab w:val="right" w:leader="dot" w:pos="9060"/>
        </w:tabs>
        <w:rPr>
          <w:rFonts w:asciiTheme="minorHAnsi" w:hAnsiTheme="minorHAnsi" w:eastAsiaTheme="minorEastAsia" w:cstheme="minorBidi"/>
          <w:b w:val="0"/>
          <w:bCs w:val="0"/>
          <w:caps w:val="0"/>
          <w:sz w:val="21"/>
          <w:szCs w:val="22"/>
        </w:rPr>
      </w:pPr>
      <w:r>
        <w:fldChar w:fldCharType="begin"/>
      </w:r>
      <w:r>
        <w:instrText xml:space="preserve"> HYPERLINK \l "_Toc103766644" </w:instrText>
      </w:r>
      <w:r>
        <w:fldChar w:fldCharType="separate"/>
      </w:r>
      <w:r>
        <w:rPr>
          <w:rStyle w:val="12"/>
        </w:rPr>
        <w:t>4</w:t>
      </w:r>
      <w:r>
        <w:rPr>
          <w:rStyle w:val="12"/>
          <w:rFonts w:hAnsi="宋体"/>
        </w:rPr>
        <w:t>　验收试验</w:t>
      </w:r>
      <w:r>
        <w:tab/>
      </w:r>
      <w:r>
        <w:fldChar w:fldCharType="begin"/>
      </w:r>
      <w:r>
        <w:instrText xml:space="preserve"> PAGEREF _Toc103766644 \h </w:instrText>
      </w:r>
      <w:r>
        <w:fldChar w:fldCharType="separate"/>
      </w:r>
      <w:r>
        <w:t>5</w:t>
      </w:r>
      <w:r>
        <w:fldChar w:fldCharType="end"/>
      </w:r>
      <w:r>
        <w:fldChar w:fldCharType="end"/>
      </w:r>
    </w:p>
    <w:p>
      <w:pPr>
        <w:pStyle w:val="8"/>
        <w:tabs>
          <w:tab w:val="right" w:leader="dot" w:pos="9060"/>
        </w:tabs>
        <w:rPr>
          <w:rFonts w:asciiTheme="minorHAnsi" w:hAnsiTheme="minorHAnsi" w:eastAsiaTheme="minorEastAsia" w:cstheme="minorBidi"/>
          <w:b w:val="0"/>
          <w:bCs w:val="0"/>
          <w:caps w:val="0"/>
          <w:sz w:val="21"/>
          <w:szCs w:val="22"/>
        </w:rPr>
      </w:pPr>
      <w:r>
        <w:fldChar w:fldCharType="begin"/>
      </w:r>
      <w:r>
        <w:instrText xml:space="preserve"> HYPERLINK \l "_Toc103766645" </w:instrText>
      </w:r>
      <w:r>
        <w:fldChar w:fldCharType="separate"/>
      </w:r>
      <w:r>
        <w:rPr>
          <w:rStyle w:val="12"/>
        </w:rPr>
        <w:t>5</w:t>
      </w:r>
      <w:r>
        <w:rPr>
          <w:rStyle w:val="12"/>
          <w:rFonts w:hAnsi="宋体"/>
        </w:rPr>
        <w:t>　质量保证及管理</w:t>
      </w:r>
      <w:r>
        <w:tab/>
      </w:r>
      <w:r>
        <w:fldChar w:fldCharType="begin"/>
      </w:r>
      <w:r>
        <w:instrText xml:space="preserve"> PAGEREF _Toc103766645 \h </w:instrText>
      </w:r>
      <w:r>
        <w:fldChar w:fldCharType="separate"/>
      </w:r>
      <w:r>
        <w:t>7</w:t>
      </w:r>
      <w:r>
        <w:fldChar w:fldCharType="end"/>
      </w:r>
      <w:r>
        <w:fldChar w:fldCharType="end"/>
      </w:r>
    </w:p>
    <w:p>
      <w:pPr>
        <w:pStyle w:val="8"/>
        <w:tabs>
          <w:tab w:val="right" w:leader="dot" w:pos="9060"/>
        </w:tabs>
        <w:rPr>
          <w:rFonts w:asciiTheme="minorHAnsi" w:hAnsiTheme="minorHAnsi" w:eastAsiaTheme="minorEastAsia" w:cstheme="minorBidi"/>
          <w:b w:val="0"/>
          <w:bCs w:val="0"/>
          <w:caps w:val="0"/>
          <w:sz w:val="21"/>
          <w:szCs w:val="22"/>
        </w:rPr>
      </w:pPr>
      <w:r>
        <w:fldChar w:fldCharType="begin"/>
      </w:r>
      <w:r>
        <w:instrText xml:space="preserve"> HYPERLINK \l "_Toc103766646" </w:instrText>
      </w:r>
      <w:r>
        <w:fldChar w:fldCharType="separate"/>
      </w:r>
      <w:r>
        <w:rPr>
          <w:rStyle w:val="12"/>
        </w:rPr>
        <w:t>6</w:t>
      </w:r>
      <w:r>
        <w:rPr>
          <w:rStyle w:val="12"/>
          <w:rFonts w:hAnsi="宋体"/>
        </w:rPr>
        <w:t>　技术服务</w:t>
      </w:r>
      <w:r>
        <w:tab/>
      </w:r>
      <w:r>
        <w:fldChar w:fldCharType="begin"/>
      </w:r>
      <w:r>
        <w:instrText xml:space="preserve"> PAGEREF _Toc103766646 \h </w:instrText>
      </w:r>
      <w:r>
        <w:fldChar w:fldCharType="separate"/>
      </w:r>
      <w:r>
        <w:t>7</w:t>
      </w:r>
      <w:r>
        <w:fldChar w:fldCharType="end"/>
      </w:r>
      <w:r>
        <w:fldChar w:fldCharType="end"/>
      </w:r>
    </w:p>
    <w:p>
      <w:pPr>
        <w:pStyle w:val="8"/>
        <w:tabs>
          <w:tab w:val="right" w:leader="dot" w:pos="9060"/>
        </w:tabs>
        <w:rPr>
          <w:rFonts w:asciiTheme="minorHAnsi" w:hAnsiTheme="minorHAnsi" w:eastAsiaTheme="minorEastAsia" w:cstheme="minorBidi"/>
          <w:b w:val="0"/>
          <w:bCs w:val="0"/>
          <w:caps w:val="0"/>
          <w:sz w:val="21"/>
          <w:szCs w:val="22"/>
        </w:rPr>
      </w:pPr>
      <w:r>
        <w:fldChar w:fldCharType="begin"/>
      </w:r>
      <w:r>
        <w:instrText xml:space="preserve"> HYPERLINK \l "_Toc103766647" </w:instrText>
      </w:r>
      <w:r>
        <w:fldChar w:fldCharType="separate"/>
      </w:r>
      <w:r>
        <w:rPr>
          <w:rStyle w:val="12"/>
        </w:rPr>
        <w:t>7</w:t>
      </w:r>
      <w:r>
        <w:rPr>
          <w:rStyle w:val="12"/>
          <w:rFonts w:hAnsi="宋体"/>
        </w:rPr>
        <w:t>　备品备件、仪器仪表及专用工具</w:t>
      </w:r>
      <w:r>
        <w:tab/>
      </w:r>
      <w:r>
        <w:fldChar w:fldCharType="begin"/>
      </w:r>
      <w:r>
        <w:instrText xml:space="preserve"> PAGEREF _Toc103766647 \h </w:instrText>
      </w:r>
      <w:r>
        <w:fldChar w:fldCharType="separate"/>
      </w:r>
      <w:r>
        <w:t>8</w:t>
      </w:r>
      <w:r>
        <w:fldChar w:fldCharType="end"/>
      </w:r>
      <w:r>
        <w:fldChar w:fldCharType="end"/>
      </w:r>
    </w:p>
    <w:p>
      <w:pPr>
        <w:pStyle w:val="8"/>
        <w:tabs>
          <w:tab w:val="right" w:leader="dot" w:pos="9060"/>
        </w:tabs>
        <w:rPr>
          <w:rFonts w:asciiTheme="minorHAnsi" w:hAnsiTheme="minorHAnsi" w:eastAsiaTheme="minorEastAsia" w:cstheme="minorBidi"/>
          <w:b w:val="0"/>
          <w:bCs w:val="0"/>
          <w:caps w:val="0"/>
          <w:sz w:val="21"/>
          <w:szCs w:val="22"/>
        </w:rPr>
      </w:pPr>
      <w:r>
        <w:fldChar w:fldCharType="begin"/>
      </w:r>
      <w:r>
        <w:instrText xml:space="preserve"> HYPERLINK \l "_Toc103766648" </w:instrText>
      </w:r>
      <w:r>
        <w:fldChar w:fldCharType="separate"/>
      </w:r>
      <w:r>
        <w:rPr>
          <w:rStyle w:val="12"/>
        </w:rPr>
        <w:t>8</w:t>
      </w:r>
      <w:r>
        <w:rPr>
          <w:rStyle w:val="12"/>
          <w:rFonts w:hAnsi="宋体"/>
        </w:rPr>
        <w:t>　技术资料、图纸和说明书</w:t>
      </w:r>
      <w:r>
        <w:tab/>
      </w:r>
      <w:r>
        <w:fldChar w:fldCharType="begin"/>
      </w:r>
      <w:r>
        <w:instrText xml:space="preserve"> PAGEREF _Toc103766648 \h </w:instrText>
      </w:r>
      <w:r>
        <w:fldChar w:fldCharType="separate"/>
      </w:r>
      <w:r>
        <w:t>8</w:t>
      </w:r>
      <w:r>
        <w:fldChar w:fldCharType="end"/>
      </w:r>
      <w:r>
        <w:fldChar w:fldCharType="end"/>
      </w:r>
    </w:p>
    <w:p>
      <w:pPr>
        <w:pStyle w:val="8"/>
        <w:tabs>
          <w:tab w:val="right" w:leader="dot" w:pos="9060"/>
        </w:tabs>
        <w:rPr>
          <w:rFonts w:asciiTheme="minorHAnsi" w:hAnsiTheme="minorHAnsi" w:eastAsiaTheme="minorEastAsia" w:cstheme="minorBidi"/>
          <w:b w:val="0"/>
          <w:bCs w:val="0"/>
          <w:caps w:val="0"/>
          <w:sz w:val="21"/>
          <w:szCs w:val="22"/>
        </w:rPr>
      </w:pPr>
      <w:r>
        <w:fldChar w:fldCharType="begin"/>
      </w:r>
      <w:r>
        <w:instrText xml:space="preserve"> HYPERLINK \l "_Toc103766649" </w:instrText>
      </w:r>
      <w:r>
        <w:fldChar w:fldCharType="separate"/>
      </w:r>
      <w:r>
        <w:rPr>
          <w:rStyle w:val="12"/>
          <w:rFonts w:hAnsi="宋体"/>
        </w:rPr>
        <w:t>9　设计联络会及培训</w:t>
      </w:r>
      <w:r>
        <w:tab/>
      </w:r>
      <w:r>
        <w:fldChar w:fldCharType="begin"/>
      </w:r>
      <w:r>
        <w:instrText xml:space="preserve"> PAGEREF _Toc103766649 \h </w:instrText>
      </w:r>
      <w:r>
        <w:fldChar w:fldCharType="separate"/>
      </w:r>
      <w:r>
        <w:t>9</w:t>
      </w:r>
      <w:r>
        <w:fldChar w:fldCharType="end"/>
      </w:r>
      <w:r>
        <w:fldChar w:fldCharType="end"/>
      </w:r>
    </w:p>
    <w:p>
      <w:pPr>
        <w:pStyle w:val="8"/>
        <w:tabs>
          <w:tab w:val="right" w:leader="dot" w:pos="9060"/>
        </w:tabs>
        <w:adjustRightInd w:val="0"/>
        <w:snapToGrid w:val="0"/>
        <w:spacing w:before="0" w:after="0" w:line="360" w:lineRule="auto"/>
        <w:ind w:firstLine="444" w:firstLineChars="185"/>
        <w:rPr>
          <w:color w:val="000000"/>
          <w:sz w:val="28"/>
        </w:rPr>
      </w:pPr>
      <w:r>
        <w:rPr>
          <w:rFonts w:eastAsia="仿宋_GB2312"/>
          <w:b w:val="0"/>
          <w:bCs w:val="0"/>
          <w:color w:val="000000"/>
          <w:kern w:val="44"/>
          <w:sz w:val="24"/>
          <w:szCs w:val="24"/>
        </w:rPr>
        <w:fldChar w:fldCharType="end"/>
      </w:r>
    </w:p>
    <w:p>
      <w:pPr>
        <w:jc w:val="center"/>
        <w:rPr>
          <w:color w:val="000000"/>
          <w:sz w:val="28"/>
        </w:rPr>
      </w:pPr>
    </w:p>
    <w:p>
      <w:pPr>
        <w:widowControl/>
        <w:jc w:val="left"/>
        <w:rPr>
          <w:color w:val="000000"/>
          <w:sz w:val="28"/>
        </w:rPr>
        <w:sectPr>
          <w:headerReference r:id="rId3" w:type="default"/>
          <w:pgSz w:w="11906" w:h="16838"/>
          <w:pgMar w:top="1474" w:right="1418" w:bottom="1418" w:left="1418" w:header="1021" w:footer="1021" w:gutter="0"/>
          <w:pgNumType w:start="0"/>
          <w:cols w:space="720" w:num="1"/>
          <w:docGrid w:type="lines" w:linePitch="312" w:charSpace="0"/>
        </w:sectPr>
      </w:pPr>
    </w:p>
    <w:p>
      <w:pPr>
        <w:adjustRightInd w:val="0"/>
        <w:snapToGrid w:val="0"/>
        <w:spacing w:line="360" w:lineRule="auto"/>
        <w:outlineLvl w:val="0"/>
        <w:rPr>
          <w:b/>
          <w:sz w:val="24"/>
          <w:szCs w:val="24"/>
        </w:rPr>
      </w:pPr>
      <w:bookmarkStart w:id="0" w:name="_Toc103766641"/>
      <w:bookmarkStart w:id="1" w:name="_Toc247777292"/>
      <w:bookmarkStart w:id="2" w:name="_Toc244156671"/>
      <w:bookmarkStart w:id="3" w:name="_Toc244399767"/>
      <w:r>
        <w:rPr>
          <w:b/>
          <w:sz w:val="24"/>
          <w:szCs w:val="24"/>
        </w:rPr>
        <w:t>1</w:t>
      </w:r>
      <w:r>
        <w:rPr>
          <w:rFonts w:hint="eastAsia" w:hAnsi="宋体"/>
          <w:b/>
          <w:sz w:val="24"/>
          <w:szCs w:val="24"/>
        </w:rPr>
        <w:t>　总则</w:t>
      </w:r>
      <w:bookmarkEnd w:id="0"/>
      <w:bookmarkEnd w:id="1"/>
      <w:bookmarkEnd w:id="2"/>
      <w:bookmarkEnd w:id="3"/>
    </w:p>
    <w:p>
      <w:pPr>
        <w:topLinePunct/>
        <w:adjustRightInd w:val="0"/>
        <w:snapToGrid w:val="0"/>
        <w:spacing w:line="360" w:lineRule="auto"/>
        <w:rPr>
          <w:sz w:val="24"/>
          <w:szCs w:val="24"/>
        </w:rPr>
      </w:pPr>
      <w:r>
        <w:rPr>
          <w:sz w:val="24"/>
          <w:szCs w:val="24"/>
        </w:rPr>
        <w:t>1.1</w:t>
      </w:r>
      <w:r>
        <w:rPr>
          <w:rFonts w:hint="eastAsia" w:hAnsi="宋体"/>
          <w:sz w:val="24"/>
          <w:szCs w:val="24"/>
        </w:rPr>
        <w:t>　</w:t>
      </w:r>
      <w:r>
        <w:rPr>
          <w:rFonts w:hint="eastAsia" w:hAnsi="宋体"/>
          <w:kern w:val="0"/>
          <w:sz w:val="24"/>
          <w:szCs w:val="24"/>
        </w:rPr>
        <w:t>本技术规范为阿拉善供电公司阿右旗供电分公司信息机房双设备改造中路由器的</w:t>
      </w:r>
      <w:r>
        <w:rPr>
          <w:rFonts w:hint="eastAsia" w:hAnsi="宋体"/>
          <w:sz w:val="24"/>
          <w:szCs w:val="24"/>
        </w:rPr>
        <w:t>技术规范和说明，包括设备的功能、性能、结构、硬件、软件、验收、质量保证措施、技术服务等要求。</w:t>
      </w:r>
    </w:p>
    <w:p>
      <w:pPr>
        <w:topLinePunct/>
        <w:adjustRightInd w:val="0"/>
        <w:snapToGrid w:val="0"/>
        <w:spacing w:line="360" w:lineRule="auto"/>
        <w:rPr>
          <w:spacing w:val="4"/>
          <w:sz w:val="24"/>
          <w:szCs w:val="24"/>
        </w:rPr>
      </w:pPr>
      <w:r>
        <w:rPr>
          <w:spacing w:val="4"/>
          <w:sz w:val="24"/>
          <w:szCs w:val="24"/>
        </w:rPr>
        <w:t>1.2</w:t>
      </w:r>
      <w:r>
        <w:rPr>
          <w:rFonts w:hint="eastAsia" w:hAnsi="宋体"/>
          <w:spacing w:val="4"/>
          <w:sz w:val="24"/>
          <w:szCs w:val="24"/>
        </w:rPr>
        <w:t>　本技术规范提出的是最低限度的技术要求，并未对一切技术细节作出规定，</w:t>
      </w:r>
      <w:r>
        <w:rPr>
          <w:rFonts w:hAnsi="宋体"/>
          <w:spacing w:val="4"/>
          <w:sz w:val="24"/>
          <w:szCs w:val="24"/>
        </w:rPr>
        <w:t xml:space="preserve"> </w:t>
      </w:r>
      <w:r>
        <w:rPr>
          <w:rFonts w:hint="eastAsia" w:hAnsi="宋体"/>
          <w:spacing w:val="4"/>
          <w:sz w:val="24"/>
          <w:szCs w:val="24"/>
        </w:rPr>
        <w:t>也未充分引述有关标准和规范的条文，</w:t>
      </w:r>
      <w:r>
        <w:rPr>
          <w:rFonts w:hAnsi="宋体"/>
          <w:spacing w:val="4"/>
          <w:sz w:val="24"/>
          <w:szCs w:val="24"/>
        </w:rPr>
        <w:t xml:space="preserve">  </w:t>
      </w:r>
      <w:r>
        <w:rPr>
          <w:rFonts w:hint="eastAsia" w:hAnsi="宋体"/>
          <w:spacing w:val="4"/>
          <w:sz w:val="24"/>
          <w:szCs w:val="24"/>
        </w:rPr>
        <w:t>卖方应提供符合本规范和工业标准的优质 产品。</w:t>
      </w:r>
    </w:p>
    <w:p>
      <w:pPr>
        <w:topLinePunct/>
        <w:adjustRightInd w:val="0"/>
        <w:snapToGrid w:val="0"/>
        <w:spacing w:line="360" w:lineRule="auto"/>
        <w:rPr>
          <w:sz w:val="24"/>
          <w:szCs w:val="24"/>
        </w:rPr>
      </w:pPr>
      <w:r>
        <w:rPr>
          <w:sz w:val="24"/>
          <w:szCs w:val="24"/>
        </w:rPr>
        <w:t>1.3</w:t>
      </w:r>
      <w:r>
        <w:rPr>
          <w:rFonts w:hint="eastAsia" w:hAnsi="宋体"/>
          <w:sz w:val="24"/>
          <w:szCs w:val="24"/>
        </w:rPr>
        <w:t>　如果卖方没有以书面形式对本规范的条文提出异议，则意味着卖方提供的设备完全符合本规范的要求。如有异议，不管是多么微小，都应在报价书中的技术规范专用部分的</w:t>
      </w:r>
      <w:r>
        <w:rPr>
          <w:sz w:val="24"/>
          <w:szCs w:val="24"/>
        </w:rPr>
        <w:t>“</w:t>
      </w:r>
      <w:r>
        <w:rPr>
          <w:rFonts w:hint="eastAsia" w:hAnsi="宋体"/>
          <w:sz w:val="24"/>
          <w:szCs w:val="24"/>
        </w:rPr>
        <w:t>投标人技术偏差表</w:t>
      </w:r>
      <w:r>
        <w:rPr>
          <w:sz w:val="24"/>
          <w:szCs w:val="24"/>
        </w:rPr>
        <w:t>”</w:t>
      </w:r>
      <w:r>
        <w:rPr>
          <w:rFonts w:hint="eastAsia" w:hAnsi="宋体"/>
          <w:sz w:val="24"/>
          <w:szCs w:val="24"/>
        </w:rPr>
        <w:t>中加以详细描述。</w:t>
      </w:r>
    </w:p>
    <w:p>
      <w:pPr>
        <w:topLinePunct/>
        <w:adjustRightInd w:val="0"/>
        <w:snapToGrid w:val="0"/>
        <w:spacing w:line="360" w:lineRule="auto"/>
        <w:rPr>
          <w:sz w:val="24"/>
          <w:szCs w:val="24"/>
        </w:rPr>
      </w:pPr>
      <w:r>
        <w:rPr>
          <w:sz w:val="24"/>
          <w:szCs w:val="24"/>
        </w:rPr>
        <w:t>1.4</w:t>
      </w:r>
      <w:r>
        <w:rPr>
          <w:rFonts w:hint="eastAsia" w:hAnsi="宋体"/>
          <w:sz w:val="24"/>
          <w:szCs w:val="24"/>
        </w:rPr>
        <w:t>　本技术规范所使用的标准如遇与卖方所执行的标准不一致时，按较高标准执行。</w:t>
      </w:r>
    </w:p>
    <w:p>
      <w:pPr>
        <w:topLinePunct/>
        <w:adjustRightInd w:val="0"/>
        <w:snapToGrid w:val="0"/>
        <w:spacing w:line="360" w:lineRule="auto"/>
        <w:rPr>
          <w:sz w:val="24"/>
          <w:szCs w:val="24"/>
        </w:rPr>
      </w:pPr>
      <w:r>
        <w:rPr>
          <w:sz w:val="24"/>
          <w:szCs w:val="24"/>
        </w:rPr>
        <w:t>1.5</w:t>
      </w:r>
      <w:r>
        <w:rPr>
          <w:rFonts w:hint="eastAsia" w:hAnsi="宋体"/>
          <w:sz w:val="24"/>
          <w:szCs w:val="24"/>
        </w:rPr>
        <w:t>　本技术规范经买、卖双方确认后作为订货合同的技术附件，与合同正文具有同等的法律效力。</w:t>
      </w:r>
    </w:p>
    <w:p>
      <w:pPr>
        <w:tabs>
          <w:tab w:val="left" w:pos="814"/>
          <w:tab w:val="left" w:pos="1260"/>
        </w:tabs>
        <w:topLinePunct/>
        <w:adjustRightInd w:val="0"/>
        <w:snapToGrid w:val="0"/>
        <w:spacing w:line="360" w:lineRule="auto"/>
        <w:rPr>
          <w:spacing w:val="2"/>
          <w:sz w:val="24"/>
          <w:szCs w:val="24"/>
        </w:rPr>
      </w:pPr>
      <w:r>
        <w:rPr>
          <w:spacing w:val="2"/>
          <w:sz w:val="24"/>
          <w:szCs w:val="24"/>
        </w:rPr>
        <w:t>1.</w:t>
      </w:r>
      <w:r>
        <w:rPr>
          <w:rFonts w:hint="eastAsia"/>
          <w:spacing w:val="2"/>
          <w:sz w:val="24"/>
          <w:szCs w:val="24"/>
          <w:lang w:val="en-US" w:eastAsia="zh-CN"/>
        </w:rPr>
        <w:t>6</w:t>
      </w:r>
      <w:r>
        <w:rPr>
          <w:rFonts w:hint="eastAsia" w:hAnsi="宋体"/>
          <w:spacing w:val="2"/>
          <w:sz w:val="24"/>
          <w:szCs w:val="24"/>
        </w:rPr>
        <w:t>　投标人在中标后必须指定每一标段至少</w:t>
      </w:r>
      <w:r>
        <w:rPr>
          <w:spacing w:val="2"/>
          <w:sz w:val="24"/>
          <w:szCs w:val="24"/>
        </w:rPr>
        <w:t>1</w:t>
      </w:r>
      <w:r>
        <w:rPr>
          <w:rFonts w:hint="eastAsia" w:hAnsi="宋体"/>
          <w:spacing w:val="2"/>
          <w:sz w:val="24"/>
          <w:szCs w:val="24"/>
        </w:rPr>
        <w:t>名有经验的业务代表作为该标段工程项目经理，全权负责和协调整个项目的商务与售后服务。指定</w:t>
      </w:r>
      <w:r>
        <w:rPr>
          <w:spacing w:val="2"/>
          <w:sz w:val="24"/>
          <w:szCs w:val="24"/>
        </w:rPr>
        <w:t>1</w:t>
      </w:r>
      <w:r>
        <w:rPr>
          <w:rFonts w:hint="eastAsia" w:hAnsi="宋体"/>
          <w:spacing w:val="2"/>
          <w:sz w:val="24"/>
          <w:szCs w:val="24"/>
        </w:rPr>
        <w:t>名技术负责人和若干名工程师负责技术工作，技术负责人和工程师均须通过设备原厂商的技术认证。工程师的技术资质材料必须提交用户方认可。</w:t>
      </w:r>
      <w:r>
        <w:rPr>
          <w:rFonts w:hAnsi="宋体"/>
          <w:spacing w:val="2"/>
          <w:sz w:val="24"/>
          <w:szCs w:val="24"/>
        </w:rPr>
        <w:t xml:space="preserve"> </w:t>
      </w:r>
      <w:r>
        <w:rPr>
          <w:rFonts w:hint="eastAsia" w:hAnsi="宋体"/>
          <w:spacing w:val="2"/>
          <w:sz w:val="24"/>
          <w:szCs w:val="24"/>
        </w:rPr>
        <w:t>只有经买方认可后，</w:t>
      </w:r>
      <w:r>
        <w:rPr>
          <w:rFonts w:hAnsi="宋体"/>
          <w:spacing w:val="2"/>
          <w:sz w:val="24"/>
          <w:szCs w:val="24"/>
        </w:rPr>
        <w:t xml:space="preserve"> </w:t>
      </w:r>
      <w:r>
        <w:rPr>
          <w:rFonts w:hint="eastAsia" w:hAnsi="宋体"/>
          <w:spacing w:val="2"/>
          <w:sz w:val="24"/>
          <w:szCs w:val="24"/>
        </w:rPr>
        <w:t>方能进行设备的调试工作。</w:t>
      </w:r>
    </w:p>
    <w:p>
      <w:pPr>
        <w:topLinePunct/>
        <w:adjustRightInd w:val="0"/>
        <w:snapToGrid w:val="0"/>
        <w:spacing w:line="360" w:lineRule="auto"/>
        <w:rPr>
          <w:sz w:val="24"/>
          <w:szCs w:val="24"/>
        </w:rPr>
      </w:pPr>
      <w:r>
        <w:rPr>
          <w:sz w:val="24"/>
          <w:szCs w:val="24"/>
        </w:rPr>
        <w:t>1.</w:t>
      </w:r>
      <w:r>
        <w:rPr>
          <w:rFonts w:hint="eastAsia"/>
          <w:sz w:val="24"/>
          <w:szCs w:val="24"/>
          <w:lang w:val="en-US" w:eastAsia="zh-CN"/>
        </w:rPr>
        <w:t>7</w:t>
      </w:r>
      <w:r>
        <w:rPr>
          <w:rFonts w:hint="eastAsia" w:hAnsi="宋体"/>
          <w:sz w:val="24"/>
          <w:szCs w:val="24"/>
        </w:rPr>
        <w:t>　</w:t>
      </w:r>
      <w:bookmarkStart w:id="4" w:name="_Toc97017825"/>
      <w:bookmarkStart w:id="5" w:name="_Toc97018522"/>
      <w:r>
        <w:rPr>
          <w:rFonts w:hint="eastAsia" w:hAnsi="宋体"/>
          <w:sz w:val="24"/>
          <w:szCs w:val="24"/>
        </w:rPr>
        <w:t>双方职责</w:t>
      </w:r>
      <w:bookmarkEnd w:id="4"/>
      <w:bookmarkEnd w:id="5"/>
    </w:p>
    <w:p>
      <w:pPr>
        <w:topLinePunct/>
        <w:adjustRightInd w:val="0"/>
        <w:snapToGrid w:val="0"/>
        <w:spacing w:line="360" w:lineRule="auto"/>
        <w:ind w:firstLine="480" w:firstLineChars="200"/>
        <w:rPr>
          <w:sz w:val="24"/>
          <w:szCs w:val="24"/>
        </w:rPr>
      </w:pPr>
      <w:r>
        <w:rPr>
          <w:rFonts w:hint="eastAsia" w:hAnsi="宋体"/>
          <w:sz w:val="24"/>
          <w:szCs w:val="24"/>
        </w:rPr>
        <w:t>双方在合同期间应承担如下职责：</w:t>
      </w:r>
    </w:p>
    <w:p>
      <w:pPr>
        <w:topLinePunct/>
        <w:adjustRightInd w:val="0"/>
        <w:snapToGrid w:val="0"/>
        <w:spacing w:line="360" w:lineRule="auto"/>
        <w:rPr>
          <w:sz w:val="24"/>
          <w:szCs w:val="24"/>
        </w:rPr>
      </w:pPr>
      <w:r>
        <w:rPr>
          <w:sz w:val="24"/>
          <w:szCs w:val="24"/>
        </w:rPr>
        <w:t>1.</w:t>
      </w:r>
      <w:r>
        <w:rPr>
          <w:rFonts w:hint="eastAsia"/>
          <w:sz w:val="24"/>
          <w:szCs w:val="24"/>
          <w:lang w:val="en-US" w:eastAsia="zh-CN"/>
        </w:rPr>
        <w:t>7</w:t>
      </w:r>
      <w:r>
        <w:rPr>
          <w:sz w:val="24"/>
          <w:szCs w:val="24"/>
        </w:rPr>
        <w:t>.1</w:t>
      </w:r>
      <w:r>
        <w:rPr>
          <w:rFonts w:hint="eastAsia" w:hAnsi="宋体"/>
          <w:sz w:val="24"/>
          <w:szCs w:val="24"/>
        </w:rPr>
        <w:t>　卖方的职责。</w:t>
      </w:r>
    </w:p>
    <w:p>
      <w:pPr>
        <w:topLinePunct/>
        <w:adjustRightInd w:val="0"/>
        <w:snapToGrid w:val="0"/>
        <w:spacing w:line="360" w:lineRule="auto"/>
        <w:ind w:firstLine="480" w:firstLineChars="200"/>
        <w:rPr>
          <w:sz w:val="24"/>
          <w:szCs w:val="24"/>
        </w:rPr>
      </w:pPr>
      <w:bookmarkStart w:id="6" w:name="_Toc97017826"/>
      <w:r>
        <w:rPr>
          <w:sz w:val="24"/>
          <w:szCs w:val="24"/>
        </w:rPr>
        <w:t>1</w:t>
      </w:r>
      <w:r>
        <w:rPr>
          <w:rFonts w:hint="eastAsia" w:hAnsi="宋体"/>
          <w:sz w:val="24"/>
          <w:szCs w:val="24"/>
        </w:rPr>
        <w:t>）</w:t>
      </w:r>
      <w:r>
        <w:rPr>
          <w:sz w:val="24"/>
          <w:szCs w:val="24"/>
        </w:rPr>
        <w:t xml:space="preserve"> </w:t>
      </w:r>
      <w:r>
        <w:rPr>
          <w:rFonts w:hint="eastAsia" w:hAnsi="宋体"/>
          <w:sz w:val="24"/>
          <w:szCs w:val="24"/>
        </w:rPr>
        <w:t>设计、配置和提供一套符合本规范要求的系统，包括所有必需的软件和硬件，</w:t>
      </w:r>
      <w:r>
        <w:rPr>
          <w:rFonts w:hint="eastAsia" w:hAnsi="宋体"/>
          <w:kern w:val="0"/>
          <w:sz w:val="24"/>
          <w:szCs w:val="24"/>
        </w:rPr>
        <w:t>提供详细设计和服务数据</w:t>
      </w:r>
      <w:r>
        <w:rPr>
          <w:rFonts w:hint="eastAsia" w:hAnsi="宋体"/>
          <w:sz w:val="24"/>
          <w:szCs w:val="24"/>
        </w:rPr>
        <w:t>、</w:t>
      </w:r>
      <w:r>
        <w:rPr>
          <w:rFonts w:hint="eastAsia" w:hAnsi="宋体"/>
          <w:kern w:val="0"/>
          <w:sz w:val="24"/>
          <w:szCs w:val="24"/>
        </w:rPr>
        <w:t>型式试验和常规试验数据，以便确认供货设备能否满足所有的性能要求，</w:t>
      </w:r>
      <w:r>
        <w:rPr>
          <w:rFonts w:hint="eastAsia" w:hAnsi="宋体"/>
          <w:sz w:val="24"/>
          <w:szCs w:val="24"/>
        </w:rPr>
        <w:t>并负责设备的工程安装、调试。</w:t>
      </w:r>
      <w:bookmarkEnd w:id="6"/>
    </w:p>
    <w:p>
      <w:pPr>
        <w:topLinePunct/>
        <w:adjustRightInd w:val="0"/>
        <w:snapToGrid w:val="0"/>
        <w:spacing w:line="360" w:lineRule="auto"/>
        <w:ind w:firstLine="480" w:firstLineChars="200"/>
        <w:rPr>
          <w:sz w:val="24"/>
          <w:szCs w:val="24"/>
        </w:rPr>
      </w:pPr>
      <w:bookmarkStart w:id="7" w:name="_Toc97017827"/>
      <w:r>
        <w:rPr>
          <w:sz w:val="24"/>
          <w:szCs w:val="24"/>
        </w:rPr>
        <w:t>2</w:t>
      </w:r>
      <w:r>
        <w:rPr>
          <w:rFonts w:hint="eastAsia" w:hAnsi="宋体"/>
          <w:sz w:val="24"/>
          <w:szCs w:val="24"/>
        </w:rPr>
        <w:t>）</w:t>
      </w:r>
      <w:r>
        <w:rPr>
          <w:sz w:val="24"/>
          <w:szCs w:val="24"/>
        </w:rPr>
        <w:t xml:space="preserve"> </w:t>
      </w:r>
      <w:r>
        <w:rPr>
          <w:rFonts w:hint="eastAsia" w:hAnsi="宋体"/>
          <w:sz w:val="24"/>
          <w:szCs w:val="24"/>
        </w:rPr>
        <w:t>提供合同范围内的硬件设备以及设备的安装辅材、各设备之间的连接电缆（包括通信电缆和电源电缆）等（应包含在投标报价中）。</w:t>
      </w:r>
      <w:bookmarkEnd w:id="7"/>
    </w:p>
    <w:p>
      <w:pPr>
        <w:topLinePunct/>
        <w:adjustRightInd w:val="0"/>
        <w:snapToGrid w:val="0"/>
        <w:spacing w:line="360" w:lineRule="auto"/>
        <w:ind w:firstLine="480" w:firstLineChars="200"/>
        <w:rPr>
          <w:sz w:val="24"/>
          <w:szCs w:val="24"/>
        </w:rPr>
      </w:pPr>
      <w:bookmarkStart w:id="8" w:name="_Toc97017828"/>
      <w:r>
        <w:rPr>
          <w:sz w:val="24"/>
          <w:szCs w:val="24"/>
        </w:rPr>
        <w:t>3</w:t>
      </w:r>
      <w:r>
        <w:rPr>
          <w:rFonts w:hint="eastAsia" w:hAnsi="宋体"/>
          <w:sz w:val="24"/>
          <w:szCs w:val="24"/>
        </w:rPr>
        <w:t>）</w:t>
      </w:r>
      <w:r>
        <w:rPr>
          <w:sz w:val="24"/>
          <w:szCs w:val="24"/>
        </w:rPr>
        <w:t xml:space="preserve"> </w:t>
      </w:r>
      <w:r>
        <w:rPr>
          <w:rFonts w:hint="eastAsia" w:hAnsi="宋体"/>
          <w:sz w:val="24"/>
          <w:szCs w:val="24"/>
        </w:rPr>
        <w:t>提供设备运行所需的所有软件，包括操作系统软件、支撑软件和应用软件。</w:t>
      </w:r>
    </w:p>
    <w:p>
      <w:pPr>
        <w:topLinePunct/>
        <w:adjustRightInd w:val="0"/>
        <w:snapToGrid w:val="0"/>
        <w:spacing w:line="360" w:lineRule="auto"/>
        <w:ind w:firstLine="480" w:firstLineChars="200"/>
        <w:rPr>
          <w:sz w:val="24"/>
          <w:szCs w:val="24"/>
        </w:rPr>
      </w:pPr>
      <w:r>
        <w:rPr>
          <w:sz w:val="24"/>
          <w:szCs w:val="24"/>
        </w:rPr>
        <w:t>4</w:t>
      </w:r>
      <w:r>
        <w:rPr>
          <w:rFonts w:hint="eastAsia" w:hAnsi="宋体"/>
          <w:sz w:val="24"/>
          <w:szCs w:val="24"/>
        </w:rPr>
        <w:t>）</w:t>
      </w:r>
      <w:r>
        <w:rPr>
          <w:sz w:val="24"/>
          <w:szCs w:val="24"/>
        </w:rPr>
        <w:t xml:space="preserve"> </w:t>
      </w:r>
      <w:r>
        <w:rPr>
          <w:rFonts w:hint="eastAsia" w:hAnsi="宋体"/>
          <w:sz w:val="24"/>
          <w:szCs w:val="24"/>
        </w:rPr>
        <w:t>提供设备有关接地、供电容量、空调、防火和设备布置的技术要求。</w:t>
      </w:r>
      <w:bookmarkEnd w:id="8"/>
    </w:p>
    <w:p>
      <w:pPr>
        <w:topLinePunct/>
        <w:adjustRightInd w:val="0"/>
        <w:snapToGrid w:val="0"/>
        <w:spacing w:line="360" w:lineRule="auto"/>
        <w:ind w:firstLine="480" w:firstLineChars="200"/>
        <w:rPr>
          <w:sz w:val="24"/>
          <w:szCs w:val="24"/>
        </w:rPr>
      </w:pPr>
      <w:bookmarkStart w:id="9" w:name="_Toc97017833"/>
      <w:r>
        <w:rPr>
          <w:sz w:val="24"/>
          <w:szCs w:val="24"/>
        </w:rPr>
        <w:t>5</w:t>
      </w:r>
      <w:r>
        <w:rPr>
          <w:rFonts w:hint="eastAsia" w:hAnsi="宋体"/>
          <w:sz w:val="24"/>
          <w:szCs w:val="24"/>
        </w:rPr>
        <w:t>）</w:t>
      </w:r>
      <w:r>
        <w:rPr>
          <w:sz w:val="24"/>
          <w:szCs w:val="24"/>
        </w:rPr>
        <w:t xml:space="preserve"> </w:t>
      </w:r>
      <w:r>
        <w:rPr>
          <w:rFonts w:hint="eastAsia" w:hAnsi="宋体"/>
          <w:sz w:val="24"/>
          <w:szCs w:val="24"/>
        </w:rPr>
        <w:t>负责供货范围内设备的投运、试验验收、试运行和保修期内的故障排除。</w:t>
      </w:r>
      <w:bookmarkEnd w:id="9"/>
    </w:p>
    <w:p>
      <w:pPr>
        <w:topLinePunct/>
        <w:adjustRightInd w:val="0"/>
        <w:snapToGrid w:val="0"/>
        <w:spacing w:line="360" w:lineRule="auto"/>
        <w:ind w:firstLine="480" w:firstLineChars="200"/>
        <w:rPr>
          <w:sz w:val="24"/>
          <w:szCs w:val="24"/>
        </w:rPr>
      </w:pPr>
      <w:bookmarkStart w:id="10" w:name="_Toc97017834"/>
      <w:r>
        <w:rPr>
          <w:sz w:val="24"/>
          <w:szCs w:val="24"/>
        </w:rPr>
        <w:t>6</w:t>
      </w:r>
      <w:r>
        <w:rPr>
          <w:rFonts w:hint="eastAsia" w:hAnsi="宋体"/>
          <w:sz w:val="24"/>
          <w:szCs w:val="24"/>
        </w:rPr>
        <w:t>）</w:t>
      </w:r>
      <w:r>
        <w:rPr>
          <w:sz w:val="24"/>
          <w:szCs w:val="24"/>
        </w:rPr>
        <w:t xml:space="preserve"> </w:t>
      </w:r>
      <w:r>
        <w:rPr>
          <w:rFonts w:hint="eastAsia" w:hAnsi="宋体"/>
          <w:sz w:val="24"/>
          <w:szCs w:val="24"/>
        </w:rPr>
        <w:t>负责供货范围内所有设备的包装运输。</w:t>
      </w:r>
      <w:bookmarkEnd w:id="10"/>
    </w:p>
    <w:p>
      <w:pPr>
        <w:topLinePunct/>
        <w:adjustRightInd w:val="0"/>
        <w:snapToGrid w:val="0"/>
        <w:spacing w:line="360" w:lineRule="auto"/>
        <w:ind w:firstLine="480" w:firstLineChars="200"/>
        <w:rPr>
          <w:sz w:val="24"/>
          <w:szCs w:val="24"/>
        </w:rPr>
      </w:pPr>
      <w:bookmarkStart w:id="11" w:name="_Toc97017835"/>
      <w:r>
        <w:rPr>
          <w:sz w:val="24"/>
          <w:szCs w:val="24"/>
        </w:rPr>
        <w:t>7</w:t>
      </w:r>
      <w:r>
        <w:rPr>
          <w:rFonts w:hint="eastAsia" w:hAnsi="宋体"/>
          <w:sz w:val="24"/>
          <w:szCs w:val="24"/>
        </w:rPr>
        <w:t>）</w:t>
      </w:r>
      <w:r>
        <w:rPr>
          <w:sz w:val="24"/>
          <w:szCs w:val="24"/>
        </w:rPr>
        <w:t xml:space="preserve"> </w:t>
      </w:r>
      <w:r>
        <w:rPr>
          <w:rFonts w:hint="eastAsia" w:hAnsi="宋体"/>
          <w:sz w:val="24"/>
          <w:szCs w:val="24"/>
        </w:rPr>
        <w:t>负责培训买方的工程师，包括硬件培训、软件培训、系统操作和维护培训。并提供培训的环境，以及培训的硬件设施和必须的技术资料等</w:t>
      </w:r>
      <w:bookmarkEnd w:id="11"/>
      <w:r>
        <w:rPr>
          <w:rFonts w:hint="eastAsia" w:hAnsi="宋体"/>
          <w:sz w:val="24"/>
          <w:szCs w:val="24"/>
        </w:rPr>
        <w:t>。</w:t>
      </w:r>
    </w:p>
    <w:p>
      <w:pPr>
        <w:topLinePunct/>
        <w:adjustRightInd w:val="0"/>
        <w:snapToGrid w:val="0"/>
        <w:spacing w:line="360" w:lineRule="auto"/>
        <w:ind w:firstLine="480" w:firstLineChars="200"/>
        <w:rPr>
          <w:sz w:val="24"/>
          <w:szCs w:val="24"/>
        </w:rPr>
      </w:pPr>
      <w:bookmarkStart w:id="12" w:name="_Toc97017836"/>
      <w:r>
        <w:rPr>
          <w:sz w:val="24"/>
          <w:szCs w:val="24"/>
        </w:rPr>
        <w:t>8</w:t>
      </w:r>
      <w:r>
        <w:rPr>
          <w:rFonts w:hint="eastAsia" w:hAnsi="宋体"/>
          <w:sz w:val="24"/>
          <w:szCs w:val="24"/>
        </w:rPr>
        <w:t>）</w:t>
      </w:r>
      <w:r>
        <w:rPr>
          <w:sz w:val="24"/>
          <w:szCs w:val="24"/>
        </w:rPr>
        <w:t xml:space="preserve"> </w:t>
      </w:r>
      <w:r>
        <w:rPr>
          <w:rFonts w:hint="eastAsia" w:hAnsi="宋体"/>
          <w:sz w:val="24"/>
          <w:szCs w:val="24"/>
        </w:rPr>
        <w:t>提供所有合同设备必须的和建议的备品备件、仪器、仪表和工具（工程安装、调试、试验、验收，设备运行时所需）。</w:t>
      </w:r>
      <w:bookmarkEnd w:id="12"/>
    </w:p>
    <w:p>
      <w:pPr>
        <w:topLinePunct/>
        <w:adjustRightInd w:val="0"/>
        <w:snapToGrid w:val="0"/>
        <w:spacing w:line="360" w:lineRule="auto"/>
        <w:ind w:firstLine="480" w:firstLineChars="200"/>
        <w:rPr>
          <w:sz w:val="24"/>
          <w:szCs w:val="24"/>
        </w:rPr>
      </w:pPr>
      <w:bookmarkStart w:id="13" w:name="_Toc97017837"/>
      <w:r>
        <w:rPr>
          <w:sz w:val="24"/>
          <w:szCs w:val="24"/>
        </w:rPr>
        <w:t>9</w:t>
      </w:r>
      <w:r>
        <w:rPr>
          <w:rFonts w:hint="eastAsia" w:hAnsi="宋体"/>
          <w:sz w:val="24"/>
          <w:szCs w:val="24"/>
        </w:rPr>
        <w:t>）</w:t>
      </w:r>
      <w:r>
        <w:rPr>
          <w:sz w:val="24"/>
          <w:szCs w:val="24"/>
        </w:rPr>
        <w:t xml:space="preserve"> </w:t>
      </w:r>
      <w:r>
        <w:rPr>
          <w:rFonts w:hint="eastAsia" w:hAnsi="宋体"/>
          <w:sz w:val="24"/>
          <w:szCs w:val="24"/>
        </w:rPr>
        <w:t>提供所有的技术文件、参考资料、图纸和手册</w:t>
      </w:r>
      <w:r>
        <w:rPr>
          <w:rFonts w:hint="eastAsia" w:hAnsi="宋体"/>
          <w:kern w:val="0"/>
          <w:sz w:val="24"/>
          <w:szCs w:val="24"/>
        </w:rPr>
        <w:t>、制造和质量保证的一览表以及技术规范规定的其他资料</w:t>
      </w:r>
      <w:r>
        <w:rPr>
          <w:rFonts w:hint="eastAsia" w:hAnsi="宋体"/>
          <w:sz w:val="24"/>
          <w:szCs w:val="24"/>
        </w:rPr>
        <w:t>。</w:t>
      </w:r>
      <w:bookmarkEnd w:id="13"/>
    </w:p>
    <w:p>
      <w:pPr>
        <w:topLinePunct/>
        <w:adjustRightInd w:val="0"/>
        <w:snapToGrid w:val="0"/>
        <w:spacing w:line="360" w:lineRule="auto"/>
        <w:ind w:firstLine="480" w:firstLineChars="200"/>
        <w:rPr>
          <w:sz w:val="24"/>
          <w:szCs w:val="24"/>
        </w:rPr>
      </w:pPr>
      <w:bookmarkStart w:id="14" w:name="_Toc97017838"/>
      <w:r>
        <w:rPr>
          <w:sz w:val="24"/>
          <w:szCs w:val="24"/>
        </w:rPr>
        <w:t>10</w:t>
      </w:r>
      <w:r>
        <w:rPr>
          <w:rFonts w:hint="eastAsia" w:hAnsi="宋体"/>
          <w:sz w:val="24"/>
          <w:szCs w:val="24"/>
        </w:rPr>
        <w:t>）及时向买方通告有关软件的升级和更新，在</w:t>
      </w:r>
      <w:r>
        <w:rPr>
          <w:sz w:val="24"/>
          <w:szCs w:val="24"/>
        </w:rPr>
        <w:t>5</w:t>
      </w:r>
      <w:r>
        <w:rPr>
          <w:rFonts w:hint="eastAsia" w:hAnsi="宋体"/>
          <w:sz w:val="24"/>
          <w:szCs w:val="24"/>
        </w:rPr>
        <w:t>年内应免费提供并负责安装和调试。</w:t>
      </w:r>
      <w:bookmarkEnd w:id="14"/>
    </w:p>
    <w:p>
      <w:pPr>
        <w:topLinePunct/>
        <w:adjustRightInd w:val="0"/>
        <w:snapToGrid w:val="0"/>
        <w:spacing w:line="360" w:lineRule="auto"/>
        <w:ind w:firstLine="480" w:firstLineChars="200"/>
        <w:rPr>
          <w:sz w:val="24"/>
          <w:szCs w:val="24"/>
        </w:rPr>
      </w:pPr>
      <w:r>
        <w:rPr>
          <w:sz w:val="24"/>
          <w:szCs w:val="24"/>
        </w:rPr>
        <w:t>11</w:t>
      </w:r>
      <w:r>
        <w:rPr>
          <w:rFonts w:hint="eastAsia" w:hAnsi="宋体"/>
          <w:sz w:val="24"/>
          <w:szCs w:val="24"/>
        </w:rPr>
        <w:t>）</w:t>
      </w:r>
      <w:r>
        <w:rPr>
          <w:sz w:val="24"/>
          <w:szCs w:val="24"/>
        </w:rPr>
        <w:tab/>
      </w:r>
      <w:r>
        <w:rPr>
          <w:rFonts w:hint="eastAsia" w:hAnsi="宋体"/>
          <w:sz w:val="24"/>
          <w:szCs w:val="24"/>
        </w:rPr>
        <w:t>负责本系统与买方其他系统的接口连接和互联。</w:t>
      </w:r>
    </w:p>
    <w:p>
      <w:pPr>
        <w:topLinePunct/>
        <w:adjustRightInd w:val="0"/>
        <w:snapToGrid w:val="0"/>
        <w:spacing w:line="360" w:lineRule="auto"/>
        <w:ind w:firstLine="480" w:firstLineChars="200"/>
        <w:rPr>
          <w:sz w:val="24"/>
          <w:szCs w:val="24"/>
        </w:rPr>
      </w:pPr>
      <w:r>
        <w:rPr>
          <w:sz w:val="24"/>
          <w:szCs w:val="24"/>
        </w:rPr>
        <w:t>12</w:t>
      </w:r>
      <w:r>
        <w:rPr>
          <w:rFonts w:hint="eastAsia" w:hAnsi="宋体"/>
          <w:sz w:val="24"/>
          <w:szCs w:val="24"/>
        </w:rPr>
        <w:t>）</w:t>
      </w:r>
      <w:r>
        <w:rPr>
          <w:rFonts w:hint="eastAsia" w:hAnsi="宋体"/>
          <w:kern w:val="0"/>
          <w:sz w:val="24"/>
          <w:szCs w:val="24"/>
        </w:rPr>
        <w:t>负责派遣熟悉设备、经验丰富的工程技术人员负责督导设备的安装施工，对督导人员未能及时到场所引起的一切后果负全部责任。</w:t>
      </w:r>
    </w:p>
    <w:p>
      <w:pPr>
        <w:topLinePunct/>
        <w:adjustRightInd w:val="0"/>
        <w:snapToGrid w:val="0"/>
        <w:spacing w:line="360" w:lineRule="auto"/>
        <w:rPr>
          <w:sz w:val="24"/>
          <w:szCs w:val="24"/>
        </w:rPr>
      </w:pPr>
      <w:r>
        <w:rPr>
          <w:sz w:val="24"/>
          <w:szCs w:val="24"/>
        </w:rPr>
        <w:t>1.</w:t>
      </w:r>
      <w:r>
        <w:rPr>
          <w:rFonts w:hint="eastAsia"/>
          <w:sz w:val="24"/>
          <w:szCs w:val="24"/>
          <w:lang w:val="en-US" w:eastAsia="zh-CN"/>
        </w:rPr>
        <w:t>7</w:t>
      </w:r>
      <w:r>
        <w:rPr>
          <w:sz w:val="24"/>
          <w:szCs w:val="24"/>
        </w:rPr>
        <w:t>.2</w:t>
      </w:r>
      <w:r>
        <w:rPr>
          <w:rFonts w:hint="eastAsia" w:hAnsi="宋体"/>
          <w:sz w:val="24"/>
          <w:szCs w:val="24"/>
        </w:rPr>
        <w:t>　买方的责任。</w:t>
      </w:r>
    </w:p>
    <w:p>
      <w:pPr>
        <w:topLinePunct/>
        <w:adjustRightInd w:val="0"/>
        <w:snapToGrid w:val="0"/>
        <w:spacing w:line="360" w:lineRule="auto"/>
        <w:ind w:firstLine="480" w:firstLineChars="200"/>
        <w:rPr>
          <w:sz w:val="24"/>
          <w:szCs w:val="24"/>
        </w:rPr>
      </w:pPr>
      <w:bookmarkStart w:id="15" w:name="_Toc97017840"/>
      <w:r>
        <w:rPr>
          <w:sz w:val="24"/>
          <w:szCs w:val="24"/>
        </w:rPr>
        <w:t>1</w:t>
      </w:r>
      <w:r>
        <w:rPr>
          <w:rFonts w:hint="eastAsia" w:hAnsi="宋体"/>
          <w:sz w:val="24"/>
          <w:szCs w:val="24"/>
        </w:rPr>
        <w:t>）</w:t>
      </w:r>
      <w:r>
        <w:rPr>
          <w:sz w:val="24"/>
          <w:szCs w:val="24"/>
        </w:rPr>
        <w:t xml:space="preserve"> </w:t>
      </w:r>
      <w:r>
        <w:rPr>
          <w:rFonts w:hint="eastAsia" w:hAnsi="宋体"/>
          <w:sz w:val="24"/>
          <w:szCs w:val="24"/>
        </w:rPr>
        <w:t>审查卖方提供的详细的功能规范技术文件和图纸，审议并确认工程进度、培训计划和验收试验计划等。</w:t>
      </w:r>
      <w:bookmarkEnd w:id="15"/>
    </w:p>
    <w:p>
      <w:pPr>
        <w:topLinePunct/>
        <w:adjustRightInd w:val="0"/>
        <w:snapToGrid w:val="0"/>
        <w:spacing w:line="360" w:lineRule="auto"/>
        <w:ind w:firstLine="480" w:firstLineChars="200"/>
        <w:rPr>
          <w:sz w:val="24"/>
          <w:szCs w:val="24"/>
        </w:rPr>
      </w:pPr>
      <w:bookmarkStart w:id="16" w:name="_Toc97017844"/>
      <w:r>
        <w:rPr>
          <w:sz w:val="24"/>
          <w:szCs w:val="24"/>
        </w:rPr>
        <w:t>2</w:t>
      </w:r>
      <w:r>
        <w:rPr>
          <w:rFonts w:hint="eastAsia" w:hAnsi="宋体"/>
          <w:sz w:val="24"/>
          <w:szCs w:val="24"/>
        </w:rPr>
        <w:t>）</w:t>
      </w:r>
      <w:r>
        <w:rPr>
          <w:sz w:val="24"/>
          <w:szCs w:val="24"/>
        </w:rPr>
        <w:t xml:space="preserve"> </w:t>
      </w:r>
      <w:r>
        <w:rPr>
          <w:rFonts w:hint="eastAsia" w:hAnsi="宋体"/>
          <w:sz w:val="24"/>
          <w:szCs w:val="24"/>
        </w:rPr>
        <w:t>参加系统的软硬件培训。</w:t>
      </w:r>
      <w:bookmarkEnd w:id="16"/>
    </w:p>
    <w:p>
      <w:pPr>
        <w:topLinePunct/>
        <w:adjustRightInd w:val="0"/>
        <w:snapToGrid w:val="0"/>
        <w:spacing w:line="360" w:lineRule="auto"/>
        <w:ind w:firstLine="480" w:firstLineChars="200"/>
        <w:rPr>
          <w:sz w:val="24"/>
          <w:szCs w:val="24"/>
        </w:rPr>
      </w:pPr>
      <w:bookmarkStart w:id="17" w:name="_Toc97017847"/>
      <w:r>
        <w:rPr>
          <w:sz w:val="24"/>
          <w:szCs w:val="24"/>
        </w:rPr>
        <w:t>3</w:t>
      </w:r>
      <w:r>
        <w:rPr>
          <w:rFonts w:hint="eastAsia" w:hAnsi="宋体"/>
          <w:sz w:val="24"/>
          <w:szCs w:val="24"/>
        </w:rPr>
        <w:t>）</w:t>
      </w:r>
      <w:r>
        <w:rPr>
          <w:sz w:val="24"/>
          <w:szCs w:val="24"/>
        </w:rPr>
        <w:t xml:space="preserve"> </w:t>
      </w:r>
      <w:r>
        <w:rPr>
          <w:rFonts w:hint="eastAsia" w:hAnsi="宋体"/>
          <w:sz w:val="24"/>
          <w:szCs w:val="24"/>
        </w:rPr>
        <w:t>配合卖方进行系统的现场安装、调试。</w:t>
      </w:r>
      <w:bookmarkEnd w:id="17"/>
    </w:p>
    <w:p>
      <w:pPr>
        <w:topLinePunct/>
        <w:adjustRightInd w:val="0"/>
        <w:snapToGrid w:val="0"/>
        <w:spacing w:line="360" w:lineRule="auto"/>
        <w:ind w:firstLine="480" w:firstLineChars="200"/>
        <w:rPr>
          <w:sz w:val="24"/>
          <w:szCs w:val="24"/>
        </w:rPr>
      </w:pPr>
      <w:bookmarkStart w:id="18" w:name="_Toc97017848"/>
      <w:r>
        <w:rPr>
          <w:sz w:val="24"/>
          <w:szCs w:val="24"/>
        </w:rPr>
        <w:t>4</w:t>
      </w:r>
      <w:r>
        <w:rPr>
          <w:rFonts w:hint="eastAsia" w:hAnsi="宋体"/>
          <w:sz w:val="24"/>
          <w:szCs w:val="24"/>
        </w:rPr>
        <w:t>）</w:t>
      </w:r>
      <w:r>
        <w:rPr>
          <w:sz w:val="24"/>
          <w:szCs w:val="24"/>
        </w:rPr>
        <w:t xml:space="preserve"> </w:t>
      </w:r>
      <w:r>
        <w:rPr>
          <w:rFonts w:hint="eastAsia" w:hAnsi="宋体"/>
          <w:sz w:val="24"/>
          <w:szCs w:val="24"/>
        </w:rPr>
        <w:t>提供设备的电源、场地、环境。</w:t>
      </w:r>
      <w:bookmarkEnd w:id="18"/>
    </w:p>
    <w:p>
      <w:pPr>
        <w:adjustRightInd w:val="0"/>
        <w:snapToGrid w:val="0"/>
        <w:spacing w:line="360" w:lineRule="auto"/>
        <w:ind w:firstLine="480" w:firstLineChars="200"/>
        <w:rPr>
          <w:sz w:val="24"/>
          <w:szCs w:val="24"/>
        </w:rPr>
      </w:pPr>
      <w:r>
        <w:rPr>
          <w:rFonts w:hint="eastAsia" w:hAnsi="宋体"/>
          <w:sz w:val="24"/>
          <w:szCs w:val="24"/>
        </w:rPr>
        <w:t>合同签订后卖方应在</w:t>
      </w:r>
      <w:r>
        <w:rPr>
          <w:sz w:val="24"/>
          <w:szCs w:val="24"/>
        </w:rPr>
        <w:t>2</w:t>
      </w:r>
      <w:r>
        <w:rPr>
          <w:rFonts w:hint="eastAsia" w:hAnsi="宋体"/>
          <w:sz w:val="24"/>
          <w:szCs w:val="24"/>
        </w:rPr>
        <w:t>周内向买方提供</w:t>
      </w:r>
      <w:r>
        <w:rPr>
          <w:sz w:val="24"/>
          <w:szCs w:val="24"/>
        </w:rPr>
        <w:t>1</w:t>
      </w:r>
      <w:r>
        <w:rPr>
          <w:rFonts w:hint="eastAsia" w:hAnsi="宋体"/>
          <w:sz w:val="24"/>
          <w:szCs w:val="24"/>
        </w:rPr>
        <w:t>份详尽的工程计划表，包括设备的采购、培训、设备包装运输、安装调试等事项的详细计划，以确定每部分的工作及其进度。</w:t>
      </w:r>
    </w:p>
    <w:p>
      <w:pPr>
        <w:topLinePunct/>
        <w:adjustRightInd w:val="0"/>
        <w:snapToGrid w:val="0"/>
        <w:spacing w:line="360" w:lineRule="auto"/>
        <w:ind w:firstLine="480" w:firstLineChars="200"/>
        <w:rPr>
          <w:sz w:val="24"/>
          <w:szCs w:val="24"/>
        </w:rPr>
      </w:pPr>
      <w:r>
        <w:rPr>
          <w:rFonts w:hint="eastAsia" w:hAnsi="宋体"/>
          <w:sz w:val="24"/>
          <w:szCs w:val="24"/>
        </w:rPr>
        <w:t>交货时间如有延误，卖方应及时将延误交货的原因、后果及采取的补救措施等向买方说明。</w:t>
      </w:r>
    </w:p>
    <w:p>
      <w:pPr>
        <w:topLinePunct/>
        <w:adjustRightInd w:val="0"/>
        <w:snapToGrid w:val="0"/>
        <w:spacing w:line="360" w:lineRule="auto"/>
        <w:rPr>
          <w:sz w:val="24"/>
          <w:szCs w:val="24"/>
        </w:rPr>
      </w:pPr>
      <w:r>
        <w:rPr>
          <w:sz w:val="24"/>
          <w:szCs w:val="24"/>
        </w:rPr>
        <w:t>1.</w:t>
      </w:r>
      <w:r>
        <w:rPr>
          <w:rFonts w:hint="eastAsia"/>
          <w:sz w:val="24"/>
          <w:szCs w:val="24"/>
          <w:lang w:val="en-US" w:eastAsia="zh-CN"/>
        </w:rPr>
        <w:t>8</w:t>
      </w:r>
      <w:r>
        <w:rPr>
          <w:rFonts w:hint="eastAsia" w:hAnsi="宋体"/>
          <w:sz w:val="24"/>
          <w:szCs w:val="24"/>
        </w:rPr>
        <w:t>　随着电网的快速发展和自动化技术的不断发展，本技术规范书应不定期进行更新以适应生产需要，相应设备装置或系统也应同时满足最新生产需要的相应技术要求。</w:t>
      </w:r>
    </w:p>
    <w:p>
      <w:pPr>
        <w:pStyle w:val="13"/>
        <w:adjustRightInd w:val="0"/>
        <w:snapToGrid w:val="0"/>
        <w:spacing w:line="360" w:lineRule="auto"/>
        <w:jc w:val="both"/>
        <w:outlineLvl w:val="0"/>
        <w:rPr>
          <w:rFonts w:ascii="Times New Roman" w:eastAsia="宋体"/>
          <w:b/>
          <w:color w:val="auto"/>
          <w:sz w:val="24"/>
          <w:szCs w:val="24"/>
        </w:rPr>
      </w:pPr>
      <w:bookmarkStart w:id="19" w:name="_Toc244156619"/>
      <w:bookmarkStart w:id="20" w:name="_Toc247777293"/>
      <w:bookmarkStart w:id="21" w:name="_Toc103766642"/>
      <w:bookmarkStart w:id="22" w:name="_Toc244156672"/>
      <w:bookmarkStart w:id="23" w:name="_Toc244072239"/>
      <w:bookmarkStart w:id="24" w:name="_Toc244399768"/>
      <w:r>
        <w:rPr>
          <w:rFonts w:ascii="Times New Roman" w:eastAsia="宋体"/>
          <w:b/>
          <w:color w:val="auto"/>
          <w:sz w:val="24"/>
          <w:szCs w:val="24"/>
        </w:rPr>
        <w:t>2</w:t>
      </w:r>
      <w:r>
        <w:rPr>
          <w:rFonts w:hint="eastAsia" w:ascii="Times New Roman" w:hAnsi="宋体" w:eastAsia="宋体"/>
          <w:b/>
          <w:color w:val="auto"/>
          <w:sz w:val="24"/>
          <w:szCs w:val="24"/>
        </w:rPr>
        <w:t>　标准规范</w:t>
      </w:r>
      <w:bookmarkEnd w:id="19"/>
      <w:bookmarkEnd w:id="20"/>
      <w:bookmarkEnd w:id="21"/>
      <w:bookmarkEnd w:id="22"/>
      <w:bookmarkEnd w:id="23"/>
      <w:bookmarkEnd w:id="24"/>
    </w:p>
    <w:p>
      <w:pPr>
        <w:topLinePunct/>
        <w:adjustRightInd w:val="0"/>
        <w:snapToGrid w:val="0"/>
        <w:spacing w:line="360" w:lineRule="auto"/>
        <w:ind w:firstLine="480" w:firstLineChars="200"/>
        <w:rPr>
          <w:sz w:val="24"/>
          <w:szCs w:val="24"/>
        </w:rPr>
      </w:pPr>
      <w:r>
        <w:rPr>
          <w:rFonts w:hint="eastAsia" w:hAnsi="宋体"/>
          <w:sz w:val="24"/>
          <w:szCs w:val="24"/>
        </w:rPr>
        <w:t>除本技术规范书特别规定外，卖方所提供的设备均应按下列标准和规定进行设计、制造、检验和安装。所用的标准必须是其最新版本。如果这些标准内容矛盾时，应按最高标准的条款执行或按双方商定的标准执行。如果卖方选用标书规定以外的标准时，需提交与这种替换标准相当的或优于标书规定标准的证明。</w:t>
      </w:r>
    </w:p>
    <w:p>
      <w:pPr>
        <w:pStyle w:val="15"/>
        <w:adjustRightInd w:val="0"/>
        <w:snapToGrid w:val="0"/>
        <w:spacing w:before="0" w:after="0" w:line="360" w:lineRule="auto"/>
        <w:ind w:firstLine="480" w:firstLineChars="200"/>
        <w:jc w:val="both"/>
        <w:rPr>
          <w:rFonts w:ascii="Times New Roman" w:eastAsia="宋体"/>
          <w:sz w:val="24"/>
          <w:szCs w:val="24"/>
        </w:rPr>
      </w:pPr>
      <w:r>
        <w:rPr>
          <w:rFonts w:hint="eastAsia" w:ascii="Times New Roman" w:hAnsi="宋体" w:eastAsia="宋体"/>
          <w:sz w:val="24"/>
          <w:szCs w:val="24"/>
        </w:rPr>
        <w:t>表</w:t>
      </w:r>
      <w:r>
        <w:rPr>
          <w:rFonts w:ascii="Times New Roman" w:eastAsia="宋体"/>
          <w:sz w:val="24"/>
          <w:szCs w:val="24"/>
        </w:rPr>
        <w:t>1</w:t>
      </w:r>
      <w:r>
        <w:rPr>
          <w:rFonts w:hint="eastAsia" w:ascii="Times New Roman" w:hAnsi="宋体" w:eastAsia="宋体"/>
          <w:sz w:val="24"/>
          <w:szCs w:val="24"/>
        </w:rPr>
        <w:t>　</w:t>
      </w:r>
      <w:r>
        <w:rPr>
          <w:rFonts w:ascii="Times New Roman" w:hAnsi="宋体" w:eastAsia="宋体"/>
          <w:sz w:val="24"/>
          <w:szCs w:val="24"/>
        </w:rPr>
        <w:t xml:space="preserve">                   </w:t>
      </w:r>
      <w:r>
        <w:rPr>
          <w:rFonts w:hint="eastAsia" w:ascii="Times New Roman" w:hAnsi="宋体" w:eastAsia="宋体"/>
          <w:sz w:val="24"/>
          <w:szCs w:val="24"/>
        </w:rPr>
        <w:t>技术规范引用标准</w:t>
      </w:r>
    </w:p>
    <w:p>
      <w:pPr>
        <w:topLinePunct/>
        <w:adjustRightInd w:val="0"/>
        <w:snapToGrid w:val="0"/>
        <w:spacing w:before="156" w:beforeLines="50" w:line="360" w:lineRule="auto"/>
        <w:ind w:firstLine="480" w:firstLineChars="200"/>
        <w:rPr>
          <w:rFonts w:hAnsi="宋体"/>
          <w:sz w:val="24"/>
          <w:szCs w:val="24"/>
        </w:rPr>
      </w:pPr>
      <w:r>
        <w:rPr>
          <w:rFonts w:hint="eastAsia" w:hAnsi="宋体"/>
          <w:sz w:val="24"/>
          <w:szCs w:val="24"/>
        </w:rPr>
        <w:t>1、《智能建筑设计标准》(GB 50314-2015)；</w:t>
      </w:r>
    </w:p>
    <w:p>
      <w:pPr>
        <w:topLinePunct/>
        <w:adjustRightInd w:val="0"/>
        <w:snapToGrid w:val="0"/>
        <w:spacing w:before="156" w:beforeLines="50" w:line="360" w:lineRule="auto"/>
        <w:ind w:firstLine="480" w:firstLineChars="200"/>
        <w:rPr>
          <w:rFonts w:hAnsi="宋体"/>
          <w:sz w:val="24"/>
          <w:szCs w:val="24"/>
        </w:rPr>
      </w:pPr>
      <w:r>
        <w:rPr>
          <w:rFonts w:hint="eastAsia" w:hAnsi="宋体"/>
          <w:sz w:val="24"/>
          <w:szCs w:val="24"/>
        </w:rPr>
        <w:t>2、《综合布线系统工程设计规范》（GB 50311-2016）；</w:t>
      </w:r>
    </w:p>
    <w:p>
      <w:pPr>
        <w:topLinePunct/>
        <w:adjustRightInd w:val="0"/>
        <w:snapToGrid w:val="0"/>
        <w:spacing w:before="156" w:beforeLines="50" w:line="360" w:lineRule="auto"/>
        <w:ind w:firstLine="480" w:firstLineChars="200"/>
        <w:rPr>
          <w:rFonts w:hAnsi="宋体"/>
          <w:sz w:val="24"/>
          <w:szCs w:val="24"/>
        </w:rPr>
      </w:pPr>
      <w:r>
        <w:rPr>
          <w:rFonts w:hint="eastAsia" w:hAnsi="宋体"/>
          <w:sz w:val="24"/>
          <w:szCs w:val="24"/>
        </w:rPr>
        <w:t>3、《安全防范工程技术标准》（GB 50348-2018）；</w:t>
      </w:r>
    </w:p>
    <w:p>
      <w:pPr>
        <w:topLinePunct/>
        <w:adjustRightInd w:val="0"/>
        <w:snapToGrid w:val="0"/>
        <w:spacing w:before="156" w:beforeLines="50" w:line="360" w:lineRule="auto"/>
        <w:ind w:firstLine="480" w:firstLineChars="200"/>
        <w:rPr>
          <w:rFonts w:hAnsi="宋体"/>
          <w:sz w:val="24"/>
          <w:szCs w:val="24"/>
        </w:rPr>
      </w:pPr>
      <w:r>
        <w:rPr>
          <w:rFonts w:hint="eastAsia" w:hAnsi="宋体"/>
          <w:sz w:val="24"/>
          <w:szCs w:val="24"/>
        </w:rPr>
        <w:t>4、《视频安防监控系统工程设计规范》（GB 50395-2007）；</w:t>
      </w:r>
    </w:p>
    <w:p>
      <w:pPr>
        <w:topLinePunct/>
        <w:adjustRightInd w:val="0"/>
        <w:snapToGrid w:val="0"/>
        <w:spacing w:before="156" w:beforeLines="50" w:line="360" w:lineRule="auto"/>
        <w:ind w:firstLine="480" w:firstLineChars="200"/>
        <w:rPr>
          <w:rFonts w:hAnsi="宋体"/>
          <w:sz w:val="24"/>
          <w:szCs w:val="24"/>
        </w:rPr>
      </w:pPr>
      <w:r>
        <w:rPr>
          <w:rFonts w:hint="eastAsia" w:hAnsi="宋体"/>
          <w:sz w:val="24"/>
          <w:szCs w:val="24"/>
        </w:rPr>
        <w:t>5、《视频显示系统工程技术规范》（GB 50464-2008）；</w:t>
      </w:r>
    </w:p>
    <w:p>
      <w:pPr>
        <w:topLinePunct/>
        <w:adjustRightInd w:val="0"/>
        <w:snapToGrid w:val="0"/>
        <w:spacing w:before="156" w:beforeLines="50" w:line="360" w:lineRule="auto"/>
        <w:ind w:firstLine="480" w:firstLineChars="200"/>
        <w:rPr>
          <w:rFonts w:hAnsi="宋体"/>
          <w:sz w:val="24"/>
          <w:szCs w:val="24"/>
        </w:rPr>
      </w:pPr>
      <w:r>
        <w:rPr>
          <w:rFonts w:hint="eastAsia" w:hAnsi="宋体"/>
          <w:sz w:val="24"/>
          <w:szCs w:val="24"/>
        </w:rPr>
        <w:t>6、《计算机场地通用规范》（GB/T2887-2011）；</w:t>
      </w:r>
    </w:p>
    <w:p>
      <w:pPr>
        <w:topLinePunct/>
        <w:adjustRightInd w:val="0"/>
        <w:snapToGrid w:val="0"/>
        <w:spacing w:before="156" w:beforeLines="50" w:line="360" w:lineRule="auto"/>
        <w:ind w:firstLine="480" w:firstLineChars="200"/>
        <w:rPr>
          <w:rFonts w:hAnsi="宋体"/>
          <w:sz w:val="24"/>
          <w:szCs w:val="24"/>
        </w:rPr>
      </w:pPr>
      <w:r>
        <w:rPr>
          <w:rFonts w:hint="eastAsia" w:hAnsi="宋体"/>
          <w:sz w:val="24"/>
          <w:szCs w:val="24"/>
        </w:rPr>
        <w:t>7、《数据中心设计规范》（GB 50174-2017）；</w:t>
      </w:r>
    </w:p>
    <w:p>
      <w:pPr>
        <w:topLinePunct/>
        <w:adjustRightInd w:val="0"/>
        <w:snapToGrid w:val="0"/>
        <w:spacing w:before="156" w:beforeLines="50" w:line="360" w:lineRule="auto"/>
        <w:ind w:firstLine="480" w:firstLineChars="200"/>
        <w:rPr>
          <w:rFonts w:hAnsi="宋体"/>
          <w:sz w:val="24"/>
          <w:szCs w:val="24"/>
        </w:rPr>
      </w:pPr>
      <w:r>
        <w:rPr>
          <w:rFonts w:hint="eastAsia" w:hAnsi="宋体"/>
          <w:sz w:val="24"/>
          <w:szCs w:val="24"/>
        </w:rPr>
        <w:t>8、《电子工程防静电设计规范》（GB 50611-2010）；</w:t>
      </w:r>
    </w:p>
    <w:p>
      <w:pPr>
        <w:topLinePunct/>
        <w:adjustRightInd w:val="0"/>
        <w:snapToGrid w:val="0"/>
        <w:spacing w:before="156" w:beforeLines="50" w:line="360" w:lineRule="auto"/>
        <w:ind w:firstLine="480" w:firstLineChars="200"/>
        <w:rPr>
          <w:rFonts w:hAnsi="宋体"/>
          <w:sz w:val="24"/>
          <w:szCs w:val="24"/>
        </w:rPr>
      </w:pPr>
      <w:r>
        <w:rPr>
          <w:rFonts w:hint="eastAsia" w:hAnsi="宋体"/>
          <w:sz w:val="24"/>
          <w:szCs w:val="24"/>
        </w:rPr>
        <w:t>9、《建筑物防雷设计规范》（GB50057-2010）；</w:t>
      </w:r>
    </w:p>
    <w:p>
      <w:pPr>
        <w:topLinePunct/>
        <w:adjustRightInd w:val="0"/>
        <w:snapToGrid w:val="0"/>
        <w:spacing w:before="156" w:beforeLines="50" w:line="360" w:lineRule="auto"/>
        <w:ind w:firstLine="480" w:firstLineChars="200"/>
        <w:rPr>
          <w:rFonts w:hAnsi="宋体"/>
          <w:sz w:val="24"/>
          <w:szCs w:val="24"/>
        </w:rPr>
      </w:pPr>
      <w:r>
        <w:rPr>
          <w:rFonts w:hint="eastAsia" w:hAnsi="宋体"/>
          <w:sz w:val="24"/>
          <w:szCs w:val="24"/>
        </w:rPr>
        <w:t>10、《防静电活动地板通用规范》（SJ/T10796-2001）；</w:t>
      </w:r>
    </w:p>
    <w:p>
      <w:pPr>
        <w:topLinePunct/>
        <w:adjustRightInd w:val="0"/>
        <w:snapToGrid w:val="0"/>
        <w:spacing w:before="156" w:beforeLines="50" w:line="360" w:lineRule="auto"/>
        <w:ind w:firstLine="480" w:firstLineChars="200"/>
        <w:rPr>
          <w:rFonts w:hAnsi="宋体"/>
          <w:sz w:val="24"/>
          <w:szCs w:val="24"/>
        </w:rPr>
      </w:pPr>
      <w:r>
        <w:rPr>
          <w:rFonts w:hint="eastAsia" w:hAnsi="宋体"/>
          <w:sz w:val="24"/>
          <w:szCs w:val="24"/>
        </w:rPr>
        <w:t>11、《通信电源设备安装工程设计规范》（GB 51194-2016）；</w:t>
      </w:r>
    </w:p>
    <w:p>
      <w:pPr>
        <w:topLinePunct/>
        <w:adjustRightInd w:val="0"/>
        <w:snapToGrid w:val="0"/>
        <w:spacing w:before="156" w:beforeLines="50" w:line="360" w:lineRule="auto"/>
        <w:ind w:firstLine="480" w:firstLineChars="200"/>
        <w:rPr>
          <w:rFonts w:hAnsi="宋体"/>
          <w:sz w:val="24"/>
          <w:szCs w:val="24"/>
        </w:rPr>
      </w:pPr>
      <w:r>
        <w:rPr>
          <w:rFonts w:hint="eastAsia" w:hAnsi="宋体"/>
          <w:sz w:val="24"/>
          <w:szCs w:val="24"/>
        </w:rPr>
        <w:t>12、《电力工程电缆设计规范》（GB50217-2018）；</w:t>
      </w:r>
    </w:p>
    <w:p>
      <w:pPr>
        <w:topLinePunct/>
        <w:adjustRightInd w:val="0"/>
        <w:snapToGrid w:val="0"/>
        <w:spacing w:before="156" w:beforeLines="50" w:line="360" w:lineRule="auto"/>
        <w:ind w:firstLine="480" w:firstLineChars="200"/>
        <w:rPr>
          <w:rFonts w:hAnsi="宋体"/>
          <w:sz w:val="24"/>
          <w:szCs w:val="24"/>
        </w:rPr>
      </w:pPr>
      <w:r>
        <w:rPr>
          <w:rFonts w:hint="eastAsia" w:hAnsi="宋体"/>
          <w:sz w:val="24"/>
          <w:szCs w:val="24"/>
        </w:rPr>
        <w:t>13、《民用闭路监视电视系统工程技术规范》（GB 50198-2011）；</w:t>
      </w:r>
    </w:p>
    <w:p>
      <w:pPr>
        <w:topLinePunct/>
        <w:adjustRightInd w:val="0"/>
        <w:snapToGrid w:val="0"/>
        <w:spacing w:before="156" w:beforeLines="50" w:line="360" w:lineRule="auto"/>
        <w:ind w:firstLine="480" w:firstLineChars="200"/>
        <w:rPr>
          <w:rFonts w:hAnsi="宋体"/>
          <w:sz w:val="24"/>
          <w:szCs w:val="24"/>
        </w:rPr>
      </w:pPr>
      <w:r>
        <w:rPr>
          <w:rFonts w:hint="eastAsia" w:hAnsi="宋体"/>
          <w:sz w:val="24"/>
          <w:szCs w:val="24"/>
        </w:rPr>
        <w:t>14、《民用建筑供暖通风与空气调节设计规范》（B50736-2012）；</w:t>
      </w:r>
    </w:p>
    <w:p>
      <w:pPr>
        <w:topLinePunct/>
        <w:adjustRightInd w:val="0"/>
        <w:snapToGrid w:val="0"/>
        <w:spacing w:before="156" w:beforeLines="50" w:line="360" w:lineRule="auto"/>
        <w:ind w:firstLine="480" w:firstLineChars="200"/>
        <w:rPr>
          <w:rFonts w:hAnsi="宋体"/>
          <w:sz w:val="24"/>
          <w:szCs w:val="24"/>
        </w:rPr>
      </w:pPr>
      <w:r>
        <w:rPr>
          <w:rFonts w:hint="eastAsia" w:hAnsi="宋体"/>
          <w:sz w:val="24"/>
          <w:szCs w:val="24"/>
        </w:rPr>
        <w:t>15、《低压配电系统设计规范》（GB50054-2011）；</w:t>
      </w:r>
    </w:p>
    <w:p>
      <w:pPr>
        <w:topLinePunct/>
        <w:adjustRightInd w:val="0"/>
        <w:snapToGrid w:val="0"/>
        <w:spacing w:before="156" w:beforeLines="50" w:line="360" w:lineRule="auto"/>
        <w:ind w:firstLine="480" w:firstLineChars="200"/>
        <w:rPr>
          <w:rFonts w:hAnsi="宋体"/>
          <w:sz w:val="24"/>
          <w:szCs w:val="24"/>
        </w:rPr>
      </w:pPr>
      <w:r>
        <w:rPr>
          <w:rFonts w:hint="eastAsia" w:hAnsi="宋体"/>
          <w:sz w:val="24"/>
          <w:szCs w:val="24"/>
        </w:rPr>
        <w:t>16、《通用用电设备配电设计规范》（GB 50055-2011）；</w:t>
      </w:r>
    </w:p>
    <w:p>
      <w:pPr>
        <w:topLinePunct/>
        <w:adjustRightInd w:val="0"/>
        <w:snapToGrid w:val="0"/>
        <w:spacing w:before="156" w:beforeLines="50" w:line="360" w:lineRule="auto"/>
        <w:ind w:firstLine="480" w:firstLineChars="200"/>
        <w:rPr>
          <w:sz w:val="24"/>
          <w:szCs w:val="24"/>
        </w:rPr>
      </w:pPr>
      <w:r>
        <w:rPr>
          <w:rFonts w:hint="eastAsia" w:hAnsi="宋体"/>
          <w:sz w:val="24"/>
          <w:szCs w:val="24"/>
        </w:rPr>
        <w:t>卖方提供的所有设备、备品备件、软件系统，除本规范书中更优的技术参数和要求外，其余均应遵照最新版本的中国信息产业部颁布的标准、国际电信同盟（</w:t>
      </w:r>
      <w:r>
        <w:rPr>
          <w:sz w:val="24"/>
          <w:szCs w:val="24"/>
        </w:rPr>
        <w:t>ITU</w:t>
      </w:r>
      <w:r>
        <w:rPr>
          <w:rFonts w:hint="eastAsia" w:hAnsi="宋体"/>
          <w:sz w:val="24"/>
          <w:szCs w:val="24"/>
        </w:rPr>
        <w:t>）、国际电工委员会标准（</w:t>
      </w:r>
      <w:r>
        <w:rPr>
          <w:sz w:val="24"/>
          <w:szCs w:val="24"/>
        </w:rPr>
        <w:t>IEC</w:t>
      </w:r>
      <w:r>
        <w:rPr>
          <w:rFonts w:hint="eastAsia" w:hAnsi="宋体"/>
          <w:sz w:val="24"/>
          <w:szCs w:val="24"/>
        </w:rPr>
        <w:t>）、国际公制（</w:t>
      </w:r>
      <w:r>
        <w:rPr>
          <w:sz w:val="24"/>
          <w:szCs w:val="24"/>
        </w:rPr>
        <w:t>SI</w:t>
      </w:r>
      <w:r>
        <w:rPr>
          <w:rFonts w:hint="eastAsia" w:hAnsi="宋体"/>
          <w:sz w:val="24"/>
          <w:szCs w:val="24"/>
        </w:rPr>
        <w:t>）、国际化标准组织（</w:t>
      </w:r>
      <w:r>
        <w:rPr>
          <w:sz w:val="24"/>
          <w:szCs w:val="24"/>
        </w:rPr>
        <w:t>ISO</w:t>
      </w:r>
      <w:r>
        <w:rPr>
          <w:rFonts w:hint="eastAsia" w:hAnsi="宋体"/>
          <w:sz w:val="24"/>
          <w:szCs w:val="24"/>
        </w:rPr>
        <w:t>）及国家标准，这是对设备的最低要求。</w:t>
      </w:r>
    </w:p>
    <w:p>
      <w:pPr>
        <w:topLinePunct/>
        <w:adjustRightInd w:val="0"/>
        <w:snapToGrid w:val="0"/>
        <w:spacing w:line="360" w:lineRule="auto"/>
        <w:ind w:firstLine="480" w:firstLineChars="200"/>
        <w:rPr>
          <w:sz w:val="24"/>
          <w:szCs w:val="24"/>
        </w:rPr>
      </w:pPr>
      <w:r>
        <w:rPr>
          <w:rFonts w:hint="eastAsia" w:hAnsi="宋体"/>
          <w:sz w:val="24"/>
          <w:szCs w:val="24"/>
        </w:rPr>
        <w:t>如果卖方有自己的专有标准或规范，应在建议书中具体说明，并附上相应的详细技术资料，但必须优于上述标准的有关规定。</w:t>
      </w:r>
    </w:p>
    <w:p>
      <w:pPr>
        <w:pStyle w:val="13"/>
        <w:adjustRightInd w:val="0"/>
        <w:snapToGrid w:val="0"/>
        <w:spacing w:line="360" w:lineRule="auto"/>
        <w:jc w:val="both"/>
        <w:outlineLvl w:val="0"/>
        <w:rPr>
          <w:rFonts w:ascii="Times New Roman" w:eastAsia="宋体"/>
          <w:b/>
          <w:color w:val="auto"/>
          <w:sz w:val="24"/>
          <w:szCs w:val="24"/>
        </w:rPr>
      </w:pPr>
      <w:bookmarkStart w:id="25" w:name="_Toc199750138"/>
      <w:bookmarkEnd w:id="25"/>
      <w:bookmarkStart w:id="26" w:name="_Toc199750149"/>
      <w:bookmarkEnd w:id="26"/>
      <w:bookmarkStart w:id="27" w:name="_Toc199750174"/>
      <w:bookmarkEnd w:id="27"/>
      <w:bookmarkStart w:id="28" w:name="_Toc199750143"/>
      <w:bookmarkEnd w:id="28"/>
      <w:bookmarkStart w:id="29" w:name="_Toc199750176"/>
      <w:bookmarkEnd w:id="29"/>
      <w:bookmarkStart w:id="30" w:name="_Toc199750168"/>
      <w:bookmarkEnd w:id="30"/>
      <w:bookmarkStart w:id="31" w:name="_Toc199750184"/>
      <w:bookmarkEnd w:id="31"/>
      <w:bookmarkStart w:id="32" w:name="_Toc199750135"/>
      <w:bookmarkEnd w:id="32"/>
      <w:bookmarkStart w:id="33" w:name="_Toc199750155"/>
      <w:bookmarkEnd w:id="33"/>
      <w:bookmarkStart w:id="34" w:name="_Toc199750171"/>
      <w:bookmarkEnd w:id="34"/>
      <w:bookmarkStart w:id="35" w:name="_Toc199750137"/>
      <w:bookmarkEnd w:id="35"/>
      <w:bookmarkStart w:id="36" w:name="_Toc199750139"/>
      <w:bookmarkEnd w:id="36"/>
      <w:bookmarkStart w:id="37" w:name="_Toc199750186"/>
      <w:bookmarkEnd w:id="37"/>
      <w:bookmarkStart w:id="38" w:name="_Toc199750178"/>
      <w:bookmarkEnd w:id="38"/>
      <w:bookmarkStart w:id="39" w:name="_Toc199750166"/>
      <w:bookmarkEnd w:id="39"/>
      <w:bookmarkStart w:id="40" w:name="_Toc199750177"/>
      <w:bookmarkEnd w:id="40"/>
      <w:bookmarkStart w:id="41" w:name="_Toc199750136"/>
      <w:bookmarkEnd w:id="41"/>
      <w:bookmarkStart w:id="42" w:name="_Toc199750142"/>
      <w:bookmarkEnd w:id="42"/>
      <w:bookmarkStart w:id="43" w:name="_Toc199750170"/>
      <w:bookmarkEnd w:id="43"/>
      <w:bookmarkStart w:id="44" w:name="_Toc199750147"/>
      <w:bookmarkEnd w:id="44"/>
      <w:bookmarkStart w:id="45" w:name="_Toc199750183"/>
      <w:bookmarkEnd w:id="45"/>
      <w:bookmarkStart w:id="46" w:name="_Toc199750179"/>
      <w:bookmarkEnd w:id="46"/>
      <w:bookmarkStart w:id="47" w:name="_Toc199750145"/>
      <w:bookmarkEnd w:id="47"/>
      <w:bookmarkStart w:id="48" w:name="_Toc199750141"/>
      <w:bookmarkEnd w:id="48"/>
      <w:bookmarkStart w:id="49" w:name="_Toc199750172"/>
      <w:bookmarkEnd w:id="49"/>
      <w:bookmarkStart w:id="50" w:name="_Toc199750185"/>
      <w:bookmarkEnd w:id="50"/>
      <w:bookmarkStart w:id="51" w:name="_Toc199750181"/>
      <w:bookmarkEnd w:id="51"/>
      <w:bookmarkStart w:id="52" w:name="_Toc199750152"/>
      <w:bookmarkEnd w:id="52"/>
      <w:bookmarkStart w:id="53" w:name="_Toc199750173"/>
      <w:bookmarkEnd w:id="53"/>
      <w:bookmarkStart w:id="54" w:name="_Toc199750167"/>
      <w:bookmarkEnd w:id="54"/>
      <w:bookmarkStart w:id="55" w:name="_Toc199750153"/>
      <w:bookmarkEnd w:id="55"/>
      <w:bookmarkStart w:id="56" w:name="_Toc199750151"/>
      <w:bookmarkEnd w:id="56"/>
      <w:bookmarkStart w:id="57" w:name="_Toc199750154"/>
      <w:bookmarkEnd w:id="57"/>
      <w:bookmarkStart w:id="58" w:name="_Toc199750148"/>
      <w:bookmarkEnd w:id="58"/>
      <w:bookmarkStart w:id="59" w:name="_Toc199750175"/>
      <w:bookmarkEnd w:id="59"/>
      <w:bookmarkStart w:id="60" w:name="_Toc199750169"/>
      <w:bookmarkEnd w:id="60"/>
      <w:bookmarkStart w:id="61" w:name="_Toc199750144"/>
      <w:bookmarkEnd w:id="61"/>
      <w:bookmarkStart w:id="62" w:name="_Toc199750150"/>
      <w:bookmarkEnd w:id="62"/>
      <w:bookmarkStart w:id="63" w:name="_Toc199750180"/>
      <w:bookmarkEnd w:id="63"/>
      <w:bookmarkStart w:id="64" w:name="_Toc199750140"/>
      <w:bookmarkEnd w:id="64"/>
      <w:bookmarkStart w:id="65" w:name="_Toc199750146"/>
      <w:bookmarkEnd w:id="65"/>
      <w:bookmarkStart w:id="66" w:name="_Toc199750182"/>
      <w:bookmarkEnd w:id="66"/>
      <w:bookmarkStart w:id="67" w:name="_Toc244072241"/>
      <w:bookmarkStart w:id="68" w:name="_Toc103766643"/>
      <w:bookmarkStart w:id="69" w:name="_Toc244156673"/>
      <w:bookmarkStart w:id="70" w:name="_Toc247777294"/>
      <w:bookmarkStart w:id="71" w:name="_Toc244156620"/>
      <w:bookmarkStart w:id="72" w:name="_Toc244399769"/>
      <w:r>
        <w:rPr>
          <w:rFonts w:ascii="Times New Roman" w:eastAsia="宋体"/>
          <w:b/>
          <w:color w:val="auto"/>
          <w:sz w:val="24"/>
          <w:szCs w:val="24"/>
        </w:rPr>
        <w:t>3</w:t>
      </w:r>
      <w:r>
        <w:rPr>
          <w:rFonts w:hint="eastAsia" w:ascii="Times New Roman" w:hAnsi="宋体" w:eastAsia="宋体"/>
          <w:b/>
          <w:color w:val="auto"/>
          <w:sz w:val="24"/>
          <w:szCs w:val="24"/>
        </w:rPr>
        <w:t>　路由器技术要求</w:t>
      </w:r>
      <w:bookmarkEnd w:id="67"/>
      <w:bookmarkEnd w:id="68"/>
      <w:bookmarkEnd w:id="69"/>
      <w:bookmarkEnd w:id="70"/>
      <w:bookmarkEnd w:id="71"/>
      <w:bookmarkEnd w:id="72"/>
    </w:p>
    <w:p>
      <w:pPr>
        <w:pStyle w:val="3"/>
        <w:keepNext w:val="0"/>
        <w:topLinePunct/>
        <w:adjustRightInd w:val="0"/>
        <w:spacing w:before="62" w:after="62" w:line="360" w:lineRule="auto"/>
        <w:rPr>
          <w:rFonts w:ascii="Times New Roman"/>
          <w:b w:val="0"/>
          <w:sz w:val="24"/>
          <w:szCs w:val="24"/>
        </w:rPr>
      </w:pPr>
      <w:bookmarkStart w:id="73" w:name="_Toc244155638"/>
      <w:bookmarkStart w:id="74" w:name="_Toc247777295"/>
      <w:bookmarkStart w:id="75" w:name="_Toc244155675"/>
      <w:bookmarkStart w:id="76" w:name="_Toc244075270"/>
      <w:bookmarkStart w:id="77" w:name="_Toc244155755"/>
      <w:bookmarkStart w:id="78" w:name="_Toc97018131"/>
      <w:bookmarkStart w:id="79" w:name="_Toc97018538"/>
      <w:r>
        <w:rPr>
          <w:sz w:val="24"/>
          <w:szCs w:val="24"/>
        </w:rPr>
        <w:t>3.1</w:t>
      </w:r>
      <w:r>
        <w:rPr>
          <w:rFonts w:hint="eastAsia" w:hAnsi="宋体"/>
          <w:sz w:val="24"/>
          <w:szCs w:val="24"/>
        </w:rPr>
        <w:t>　系统概述</w:t>
      </w:r>
      <w:bookmarkEnd w:id="73"/>
      <w:bookmarkEnd w:id="74"/>
      <w:bookmarkEnd w:id="75"/>
      <w:bookmarkEnd w:id="76"/>
      <w:bookmarkEnd w:id="77"/>
    </w:p>
    <w:p>
      <w:pPr>
        <w:topLinePunct/>
        <w:adjustRightInd w:val="0"/>
        <w:snapToGrid w:val="0"/>
        <w:spacing w:line="360" w:lineRule="auto"/>
        <w:rPr>
          <w:rFonts w:hAnsi="宋体"/>
          <w:kern w:val="0"/>
          <w:sz w:val="24"/>
          <w:szCs w:val="24"/>
        </w:rPr>
      </w:pPr>
      <w:r>
        <w:rPr>
          <w:sz w:val="24"/>
          <w:szCs w:val="24"/>
        </w:rPr>
        <w:t>3.1.1</w:t>
      </w:r>
      <w:r>
        <w:rPr>
          <w:rFonts w:hint="eastAsia" w:hAnsi="宋体"/>
          <w:sz w:val="24"/>
          <w:szCs w:val="24"/>
        </w:rPr>
        <w:t>　</w:t>
      </w:r>
      <w:r>
        <w:rPr>
          <w:rFonts w:hint="eastAsia" w:hAnsi="宋体"/>
          <w:kern w:val="0"/>
          <w:sz w:val="24"/>
          <w:szCs w:val="24"/>
        </w:rPr>
        <w:t>本次改造在四楼信息机房新增一台路由器和一台核心交换机，形成双机热备冗余配置，大大提升网络可靠性和安全性，右旗220kV站华为S3700交换机新增一条上行链路，GE光口上联至光端机，再上行至右旗供电分公司信息机房本次新增的核心交换机。上井子110kV站H3C 5500交换机也新增一条上行链路，GE光口上联至光端机，再上行至右旗供电分公司信息机房本次新增的核心交换机（光端机千兆板在2022年技改项目通信技改项目中实施增补）。</w:t>
      </w:r>
    </w:p>
    <w:p>
      <w:pPr>
        <w:pStyle w:val="3"/>
        <w:keepNext w:val="0"/>
        <w:topLinePunct/>
        <w:adjustRightInd w:val="0"/>
        <w:spacing w:before="62" w:after="62" w:line="360" w:lineRule="auto"/>
        <w:rPr>
          <w:sz w:val="24"/>
          <w:szCs w:val="24"/>
        </w:rPr>
      </w:pPr>
      <w:bookmarkStart w:id="80" w:name="_Toc244075271"/>
      <w:bookmarkStart w:id="81" w:name="_Toc244155756"/>
      <w:bookmarkStart w:id="82" w:name="_Toc247777296"/>
      <w:bookmarkStart w:id="83" w:name="_Toc244155676"/>
      <w:bookmarkStart w:id="84" w:name="_Toc244155639"/>
      <w:r>
        <w:rPr>
          <w:sz w:val="24"/>
          <w:szCs w:val="24"/>
        </w:rPr>
        <w:t>3.2</w:t>
      </w:r>
      <w:r>
        <w:rPr>
          <w:rFonts w:hint="eastAsia" w:hAnsi="宋体"/>
          <w:sz w:val="24"/>
          <w:szCs w:val="24"/>
        </w:rPr>
        <w:t>　网络技术要求</w:t>
      </w:r>
      <w:bookmarkEnd w:id="80"/>
      <w:bookmarkEnd w:id="81"/>
      <w:bookmarkEnd w:id="82"/>
      <w:bookmarkEnd w:id="83"/>
      <w:bookmarkEnd w:id="84"/>
    </w:p>
    <w:p>
      <w:pPr>
        <w:topLinePunct/>
        <w:adjustRightInd w:val="0"/>
        <w:snapToGrid w:val="0"/>
        <w:spacing w:line="360" w:lineRule="auto"/>
        <w:ind w:firstLine="480" w:firstLineChars="200"/>
        <w:rPr>
          <w:kern w:val="0"/>
          <w:sz w:val="24"/>
          <w:szCs w:val="24"/>
        </w:rPr>
      </w:pPr>
      <w:r>
        <w:rPr>
          <w:rFonts w:hint="eastAsia" w:hAnsi="宋体"/>
          <w:kern w:val="0"/>
          <w:sz w:val="24"/>
          <w:szCs w:val="24"/>
        </w:rPr>
        <w:t>网络主要指标要求如下：</w:t>
      </w:r>
    </w:p>
    <w:p>
      <w:pPr>
        <w:topLinePunct/>
        <w:adjustRightInd w:val="0"/>
        <w:snapToGrid w:val="0"/>
        <w:spacing w:line="360" w:lineRule="auto"/>
        <w:ind w:firstLine="480" w:firstLineChars="200"/>
        <w:rPr>
          <w:kern w:val="0"/>
          <w:sz w:val="24"/>
          <w:szCs w:val="24"/>
        </w:rPr>
      </w:pPr>
      <w:r>
        <w:rPr>
          <w:kern w:val="0"/>
          <w:sz w:val="24"/>
          <w:szCs w:val="24"/>
        </w:rPr>
        <w:t>1</w:t>
      </w:r>
      <w:r>
        <w:rPr>
          <w:rFonts w:hint="eastAsia" w:hAnsi="宋体"/>
          <w:kern w:val="0"/>
          <w:sz w:val="24"/>
          <w:szCs w:val="24"/>
        </w:rPr>
        <w:t>）</w:t>
      </w:r>
      <w:r>
        <w:rPr>
          <w:kern w:val="0"/>
          <w:sz w:val="24"/>
          <w:szCs w:val="24"/>
        </w:rPr>
        <w:tab/>
      </w:r>
      <w:r>
        <w:rPr>
          <w:rFonts w:hint="eastAsia" w:hAnsi="宋体"/>
          <w:kern w:val="0"/>
          <w:sz w:val="24"/>
          <w:szCs w:val="24"/>
        </w:rPr>
        <w:t>网络的最大忙时，端到端时延，要求＜</w:t>
      </w:r>
      <w:r>
        <w:rPr>
          <w:kern w:val="0"/>
          <w:sz w:val="24"/>
          <w:szCs w:val="24"/>
        </w:rPr>
        <w:t>150ms</w:t>
      </w:r>
      <w:r>
        <w:rPr>
          <w:rFonts w:hint="eastAsia" w:hAnsi="宋体"/>
          <w:kern w:val="0"/>
          <w:sz w:val="24"/>
          <w:szCs w:val="24"/>
        </w:rPr>
        <w:t>；</w:t>
      </w:r>
    </w:p>
    <w:p>
      <w:pPr>
        <w:topLinePunct/>
        <w:adjustRightInd w:val="0"/>
        <w:snapToGrid w:val="0"/>
        <w:spacing w:line="360" w:lineRule="auto"/>
        <w:ind w:firstLine="480" w:firstLineChars="200"/>
        <w:rPr>
          <w:kern w:val="0"/>
          <w:sz w:val="24"/>
          <w:szCs w:val="24"/>
        </w:rPr>
      </w:pPr>
      <w:r>
        <w:rPr>
          <w:kern w:val="0"/>
          <w:sz w:val="24"/>
          <w:szCs w:val="24"/>
        </w:rPr>
        <w:t>2</w:t>
      </w:r>
      <w:r>
        <w:rPr>
          <w:rFonts w:hint="eastAsia" w:hAnsi="宋体"/>
          <w:kern w:val="0"/>
          <w:sz w:val="24"/>
          <w:szCs w:val="24"/>
        </w:rPr>
        <w:t>）</w:t>
      </w:r>
      <w:r>
        <w:rPr>
          <w:kern w:val="0"/>
          <w:sz w:val="24"/>
          <w:szCs w:val="24"/>
        </w:rPr>
        <w:tab/>
      </w:r>
      <w:r>
        <w:rPr>
          <w:rFonts w:hint="eastAsia" w:hAnsi="宋体"/>
          <w:kern w:val="0"/>
          <w:sz w:val="24"/>
          <w:szCs w:val="24"/>
        </w:rPr>
        <w:t>网络的最大忙时，端到端抖动，要求＜</w:t>
      </w:r>
      <w:r>
        <w:rPr>
          <w:kern w:val="0"/>
          <w:sz w:val="24"/>
          <w:szCs w:val="24"/>
        </w:rPr>
        <w:t>50ms</w:t>
      </w:r>
      <w:r>
        <w:rPr>
          <w:rFonts w:hint="eastAsia" w:hAnsi="宋体"/>
          <w:kern w:val="0"/>
          <w:sz w:val="24"/>
          <w:szCs w:val="24"/>
        </w:rPr>
        <w:t>；</w:t>
      </w:r>
    </w:p>
    <w:p>
      <w:pPr>
        <w:topLinePunct/>
        <w:adjustRightInd w:val="0"/>
        <w:snapToGrid w:val="0"/>
        <w:spacing w:line="360" w:lineRule="auto"/>
        <w:ind w:firstLine="480" w:firstLineChars="200"/>
        <w:rPr>
          <w:kern w:val="0"/>
          <w:sz w:val="24"/>
          <w:szCs w:val="24"/>
        </w:rPr>
      </w:pPr>
      <w:r>
        <w:rPr>
          <w:kern w:val="0"/>
          <w:sz w:val="24"/>
          <w:szCs w:val="24"/>
        </w:rPr>
        <w:t>3</w:t>
      </w:r>
      <w:r>
        <w:rPr>
          <w:rFonts w:hint="eastAsia" w:hAnsi="宋体"/>
          <w:kern w:val="0"/>
          <w:sz w:val="24"/>
          <w:szCs w:val="24"/>
        </w:rPr>
        <w:t>）</w:t>
      </w:r>
      <w:r>
        <w:rPr>
          <w:kern w:val="0"/>
          <w:sz w:val="24"/>
          <w:szCs w:val="24"/>
        </w:rPr>
        <w:tab/>
      </w:r>
      <w:r>
        <w:rPr>
          <w:rFonts w:hint="eastAsia" w:hAnsi="宋体"/>
          <w:kern w:val="0"/>
          <w:sz w:val="24"/>
          <w:szCs w:val="24"/>
        </w:rPr>
        <w:t>网络的最大忙时，端到端丢包率（标准包长，网络负载</w:t>
      </w:r>
      <w:r>
        <w:rPr>
          <w:kern w:val="0"/>
          <w:sz w:val="24"/>
          <w:szCs w:val="24"/>
        </w:rPr>
        <w:t>70</w:t>
      </w:r>
      <w:r>
        <w:rPr>
          <w:rFonts w:hint="eastAsia" w:hAnsi="宋体"/>
          <w:kern w:val="0"/>
          <w:sz w:val="24"/>
          <w:szCs w:val="24"/>
        </w:rPr>
        <w:t>％），要求＜</w:t>
      </w:r>
      <w:r>
        <w:rPr>
          <w:kern w:val="0"/>
          <w:sz w:val="24"/>
          <w:szCs w:val="24"/>
        </w:rPr>
        <w:t>10</w:t>
      </w:r>
      <w:r>
        <w:rPr>
          <w:kern w:val="0"/>
          <w:sz w:val="24"/>
          <w:szCs w:val="24"/>
          <w:vertAlign w:val="superscript"/>
        </w:rPr>
        <w:t>3</w:t>
      </w:r>
      <w:r>
        <w:rPr>
          <w:kern w:val="0"/>
          <w:sz w:val="24"/>
          <w:szCs w:val="24"/>
          <w:vertAlign w:val="superscript"/>
        </w:rPr>
        <w:sym w:font="Times New Roman" w:char="F02D"/>
      </w:r>
      <w:r>
        <w:rPr>
          <w:rFonts w:hint="eastAsia" w:hAnsi="宋体"/>
          <w:kern w:val="0"/>
          <w:sz w:val="24"/>
          <w:szCs w:val="24"/>
        </w:rPr>
        <w:t>；</w:t>
      </w:r>
    </w:p>
    <w:p>
      <w:pPr>
        <w:topLinePunct/>
        <w:adjustRightInd w:val="0"/>
        <w:snapToGrid w:val="0"/>
        <w:spacing w:line="360" w:lineRule="auto"/>
        <w:ind w:firstLine="480" w:firstLineChars="200"/>
        <w:rPr>
          <w:kern w:val="0"/>
          <w:sz w:val="24"/>
          <w:szCs w:val="24"/>
        </w:rPr>
      </w:pPr>
      <w:r>
        <w:rPr>
          <w:kern w:val="0"/>
          <w:sz w:val="24"/>
          <w:szCs w:val="24"/>
        </w:rPr>
        <w:t>4</w:t>
      </w:r>
      <w:r>
        <w:rPr>
          <w:rFonts w:hint="eastAsia" w:hAnsi="宋体"/>
          <w:kern w:val="0"/>
          <w:sz w:val="24"/>
          <w:szCs w:val="24"/>
        </w:rPr>
        <w:t>）</w:t>
      </w:r>
      <w:r>
        <w:rPr>
          <w:kern w:val="0"/>
          <w:sz w:val="24"/>
          <w:szCs w:val="24"/>
        </w:rPr>
        <w:tab/>
      </w:r>
      <w:r>
        <w:rPr>
          <w:rFonts w:hint="eastAsia" w:hAnsi="宋体"/>
          <w:kern w:val="0"/>
          <w:sz w:val="24"/>
          <w:szCs w:val="24"/>
        </w:rPr>
        <w:t>全网路由的收敛与恢复速度，要求＜</w:t>
      </w:r>
      <w:r>
        <w:rPr>
          <w:kern w:val="0"/>
          <w:sz w:val="24"/>
          <w:szCs w:val="24"/>
        </w:rPr>
        <w:t>40s</w:t>
      </w:r>
      <w:r>
        <w:rPr>
          <w:rFonts w:hint="eastAsia" w:hAnsi="宋体"/>
          <w:kern w:val="0"/>
          <w:sz w:val="24"/>
          <w:szCs w:val="24"/>
        </w:rPr>
        <w:t>（</w:t>
      </w:r>
      <w:r>
        <w:rPr>
          <w:kern w:val="0"/>
          <w:sz w:val="24"/>
          <w:szCs w:val="24"/>
        </w:rPr>
        <w:t>hello</w:t>
      </w:r>
      <w:r>
        <w:rPr>
          <w:rFonts w:hint="eastAsia" w:hAnsi="宋体"/>
          <w:kern w:val="0"/>
          <w:sz w:val="24"/>
          <w:szCs w:val="24"/>
        </w:rPr>
        <w:t>时间间隔为</w:t>
      </w:r>
      <w:r>
        <w:rPr>
          <w:kern w:val="0"/>
          <w:sz w:val="24"/>
          <w:szCs w:val="24"/>
        </w:rPr>
        <w:t>10s</w:t>
      </w:r>
      <w:r>
        <w:rPr>
          <w:rFonts w:hint="eastAsia" w:hAnsi="宋体"/>
          <w:kern w:val="0"/>
          <w:sz w:val="24"/>
          <w:szCs w:val="24"/>
        </w:rPr>
        <w:t>时）；</w:t>
      </w:r>
    </w:p>
    <w:p>
      <w:pPr>
        <w:topLinePunct/>
        <w:adjustRightInd w:val="0"/>
        <w:snapToGrid w:val="0"/>
        <w:spacing w:line="360" w:lineRule="auto"/>
        <w:ind w:firstLine="480" w:firstLineChars="200"/>
        <w:rPr>
          <w:kern w:val="0"/>
          <w:sz w:val="24"/>
          <w:szCs w:val="24"/>
        </w:rPr>
      </w:pPr>
      <w:r>
        <w:rPr>
          <w:kern w:val="0"/>
          <w:sz w:val="24"/>
          <w:szCs w:val="24"/>
        </w:rPr>
        <w:t>5</w:t>
      </w:r>
      <w:r>
        <w:rPr>
          <w:rFonts w:hint="eastAsia" w:hAnsi="宋体"/>
          <w:kern w:val="0"/>
          <w:sz w:val="24"/>
          <w:szCs w:val="24"/>
        </w:rPr>
        <w:t>）</w:t>
      </w:r>
      <w:r>
        <w:rPr>
          <w:kern w:val="0"/>
          <w:sz w:val="24"/>
          <w:szCs w:val="24"/>
        </w:rPr>
        <w:tab/>
      </w:r>
      <w:r>
        <w:rPr>
          <w:rFonts w:hint="eastAsia" w:hAnsi="宋体"/>
          <w:kern w:val="0"/>
          <w:sz w:val="24"/>
          <w:szCs w:val="24"/>
        </w:rPr>
        <w:t>网络的可用率要求不小于</w:t>
      </w:r>
      <w:r>
        <w:rPr>
          <w:kern w:val="0"/>
          <w:sz w:val="24"/>
          <w:szCs w:val="24"/>
        </w:rPr>
        <w:t>99.99</w:t>
      </w:r>
      <w:r>
        <w:rPr>
          <w:rFonts w:hint="eastAsia" w:hAnsi="宋体"/>
          <w:kern w:val="0"/>
          <w:sz w:val="24"/>
          <w:szCs w:val="24"/>
        </w:rPr>
        <w:t>％。</w:t>
      </w:r>
    </w:p>
    <w:p>
      <w:pPr>
        <w:topLinePunct/>
        <w:adjustRightInd w:val="0"/>
        <w:snapToGrid w:val="0"/>
        <w:spacing w:line="360" w:lineRule="auto"/>
        <w:ind w:firstLine="480" w:firstLineChars="200"/>
        <w:rPr>
          <w:kern w:val="0"/>
          <w:sz w:val="24"/>
          <w:szCs w:val="24"/>
        </w:rPr>
      </w:pPr>
      <w:r>
        <w:rPr>
          <w:rFonts w:hint="eastAsia" w:hAnsi="宋体"/>
          <w:kern w:val="0"/>
          <w:sz w:val="24"/>
          <w:szCs w:val="24"/>
        </w:rPr>
        <w:t>注：端到端是指在本工程所建</w:t>
      </w:r>
      <w:r>
        <w:rPr>
          <w:kern w:val="0"/>
          <w:sz w:val="24"/>
          <w:szCs w:val="24"/>
        </w:rPr>
        <w:t>IP</w:t>
      </w:r>
      <w:r>
        <w:rPr>
          <w:rFonts w:hint="eastAsia" w:hAnsi="宋体"/>
          <w:kern w:val="0"/>
          <w:sz w:val="24"/>
          <w:szCs w:val="24"/>
        </w:rPr>
        <w:t>网上的</w:t>
      </w:r>
      <w:r>
        <w:rPr>
          <w:kern w:val="0"/>
          <w:sz w:val="24"/>
          <w:szCs w:val="24"/>
        </w:rPr>
        <w:t>IP</w:t>
      </w:r>
      <w:r>
        <w:rPr>
          <w:rFonts w:hint="eastAsia" w:hAnsi="宋体"/>
          <w:kern w:val="0"/>
          <w:sz w:val="24"/>
          <w:szCs w:val="24"/>
        </w:rPr>
        <w:t>包端到端传送。</w:t>
      </w:r>
    </w:p>
    <w:p>
      <w:pPr>
        <w:pStyle w:val="3"/>
        <w:keepNext w:val="0"/>
        <w:topLinePunct/>
        <w:adjustRightInd w:val="0"/>
        <w:spacing w:before="62" w:after="62" w:line="360" w:lineRule="auto"/>
        <w:rPr>
          <w:sz w:val="24"/>
          <w:szCs w:val="24"/>
        </w:rPr>
      </w:pPr>
      <w:bookmarkStart w:id="85" w:name="_Toc247777297"/>
      <w:r>
        <w:rPr>
          <w:sz w:val="24"/>
          <w:szCs w:val="24"/>
        </w:rPr>
        <w:t>3.3</w:t>
      </w:r>
      <w:r>
        <w:rPr>
          <w:rFonts w:hint="eastAsia" w:hAnsi="宋体"/>
          <w:sz w:val="24"/>
          <w:szCs w:val="24"/>
        </w:rPr>
        <w:t>　设备技术要求</w:t>
      </w:r>
      <w:bookmarkEnd w:id="85"/>
    </w:p>
    <w:p>
      <w:pPr>
        <w:topLinePunct/>
        <w:adjustRightInd w:val="0"/>
        <w:snapToGrid w:val="0"/>
        <w:spacing w:line="360" w:lineRule="auto"/>
        <w:rPr>
          <w:kern w:val="0"/>
          <w:sz w:val="24"/>
          <w:szCs w:val="24"/>
        </w:rPr>
      </w:pPr>
      <w:r>
        <w:rPr>
          <w:sz w:val="24"/>
          <w:szCs w:val="24"/>
        </w:rPr>
        <w:t>3.3.1</w:t>
      </w:r>
      <w:r>
        <w:rPr>
          <w:rFonts w:hint="eastAsia" w:hAnsi="宋体"/>
          <w:sz w:val="24"/>
          <w:szCs w:val="24"/>
        </w:rPr>
        <w:t>　</w:t>
      </w:r>
      <w:r>
        <w:rPr>
          <w:rFonts w:hint="eastAsia" w:hAnsi="宋体"/>
          <w:bCs/>
          <w:kern w:val="0"/>
          <w:sz w:val="24"/>
          <w:szCs w:val="24"/>
        </w:rPr>
        <w:t>硬件。</w:t>
      </w:r>
      <w:r>
        <w:rPr>
          <w:rFonts w:hint="eastAsia" w:hAnsi="宋体"/>
          <w:kern w:val="0"/>
          <w:sz w:val="24"/>
          <w:szCs w:val="24"/>
        </w:rPr>
        <w:t>投标人提供的所有设备应是全新的产品，并保证所提供产品的数量、质量，特别是接口的兼容性，主要设备能在不中断通信的情况下，可带电进行所有板卡的插拔操作。</w:t>
      </w:r>
    </w:p>
    <w:p>
      <w:pPr>
        <w:tabs>
          <w:tab w:val="left" w:pos="1260"/>
        </w:tabs>
        <w:topLinePunct/>
        <w:adjustRightInd w:val="0"/>
        <w:snapToGrid w:val="0"/>
        <w:spacing w:line="360" w:lineRule="auto"/>
        <w:ind w:firstLine="480" w:firstLineChars="200"/>
        <w:rPr>
          <w:kern w:val="0"/>
          <w:sz w:val="24"/>
          <w:szCs w:val="24"/>
        </w:rPr>
      </w:pPr>
      <w:r>
        <w:rPr>
          <w:rFonts w:hint="eastAsia" w:hAnsi="宋体"/>
          <w:kern w:val="0"/>
          <w:sz w:val="24"/>
          <w:szCs w:val="24"/>
        </w:rPr>
        <w:t>投标人提供的设备要选用高质量的元器件，生产过程中进行严格质量控制，确保设备长期稳定、可靠地运行。</w:t>
      </w:r>
    </w:p>
    <w:p>
      <w:pPr>
        <w:tabs>
          <w:tab w:val="left" w:pos="1260"/>
        </w:tabs>
        <w:topLinePunct/>
        <w:adjustRightInd w:val="0"/>
        <w:snapToGrid w:val="0"/>
        <w:spacing w:line="360" w:lineRule="auto"/>
        <w:ind w:firstLine="480" w:firstLineChars="200"/>
        <w:rPr>
          <w:kern w:val="0"/>
          <w:sz w:val="24"/>
          <w:szCs w:val="24"/>
        </w:rPr>
      </w:pPr>
      <w:r>
        <w:rPr>
          <w:rFonts w:hint="eastAsia" w:hAnsi="宋体"/>
          <w:kern w:val="0"/>
          <w:sz w:val="24"/>
          <w:szCs w:val="24"/>
        </w:rPr>
        <w:t>环境要求：</w:t>
      </w:r>
    </w:p>
    <w:p>
      <w:pPr>
        <w:topLinePunct/>
        <w:adjustRightInd w:val="0"/>
        <w:snapToGrid w:val="0"/>
        <w:spacing w:line="360" w:lineRule="auto"/>
        <w:ind w:firstLine="480" w:firstLineChars="200"/>
        <w:rPr>
          <w:sz w:val="24"/>
          <w:szCs w:val="24"/>
        </w:rPr>
      </w:pPr>
      <w:r>
        <w:rPr>
          <w:sz w:val="24"/>
          <w:szCs w:val="24"/>
        </w:rPr>
        <w:t>1</w:t>
      </w:r>
      <w:r>
        <w:rPr>
          <w:rFonts w:hint="eastAsia" w:hAnsi="宋体"/>
          <w:sz w:val="24"/>
          <w:szCs w:val="24"/>
        </w:rPr>
        <w:t>）</w:t>
      </w:r>
      <w:r>
        <w:rPr>
          <w:sz w:val="24"/>
          <w:szCs w:val="24"/>
        </w:rPr>
        <w:tab/>
      </w:r>
      <w:r>
        <w:rPr>
          <w:rFonts w:hint="eastAsia" w:hAnsi="宋体"/>
          <w:sz w:val="24"/>
          <w:szCs w:val="24"/>
        </w:rPr>
        <w:t>环境温度：</w:t>
      </w:r>
      <w:r>
        <w:rPr>
          <w:sz w:val="24"/>
          <w:szCs w:val="24"/>
        </w:rPr>
        <w:t>–10</w:t>
      </w:r>
      <w:r>
        <w:rPr>
          <w:rFonts w:hint="eastAsia" w:hAnsi="宋体"/>
          <w:sz w:val="24"/>
          <w:szCs w:val="24"/>
        </w:rPr>
        <w:t>℃～</w:t>
      </w:r>
      <w:r>
        <w:rPr>
          <w:sz w:val="24"/>
          <w:szCs w:val="24"/>
        </w:rPr>
        <w:t>+50</w:t>
      </w:r>
      <w:r>
        <w:rPr>
          <w:rFonts w:hint="eastAsia" w:hAnsi="宋体"/>
          <w:sz w:val="24"/>
          <w:szCs w:val="24"/>
        </w:rPr>
        <w:t>℃。</w:t>
      </w:r>
    </w:p>
    <w:p>
      <w:pPr>
        <w:topLinePunct/>
        <w:adjustRightInd w:val="0"/>
        <w:snapToGrid w:val="0"/>
        <w:spacing w:line="360" w:lineRule="auto"/>
        <w:ind w:firstLine="480" w:firstLineChars="200"/>
        <w:rPr>
          <w:sz w:val="24"/>
          <w:szCs w:val="24"/>
        </w:rPr>
      </w:pPr>
      <w:r>
        <w:rPr>
          <w:sz w:val="24"/>
          <w:szCs w:val="24"/>
        </w:rPr>
        <w:t>2</w:t>
      </w:r>
      <w:r>
        <w:rPr>
          <w:rFonts w:hint="eastAsia" w:hAnsi="宋体"/>
          <w:sz w:val="24"/>
          <w:szCs w:val="24"/>
        </w:rPr>
        <w:t>）</w:t>
      </w:r>
      <w:r>
        <w:rPr>
          <w:sz w:val="24"/>
          <w:szCs w:val="24"/>
        </w:rPr>
        <w:tab/>
      </w:r>
      <w:r>
        <w:rPr>
          <w:rFonts w:hint="eastAsia" w:hAnsi="宋体"/>
          <w:sz w:val="24"/>
          <w:szCs w:val="24"/>
        </w:rPr>
        <w:t>相对湿度：</w:t>
      </w:r>
      <w:r>
        <w:rPr>
          <w:sz w:val="24"/>
          <w:szCs w:val="24"/>
        </w:rPr>
        <w:t>10</w:t>
      </w:r>
      <w:r>
        <w:rPr>
          <w:rFonts w:hint="eastAsia" w:hAnsi="宋体"/>
          <w:sz w:val="24"/>
          <w:szCs w:val="24"/>
        </w:rPr>
        <w:t>％～</w:t>
      </w:r>
      <w:r>
        <w:rPr>
          <w:sz w:val="24"/>
          <w:szCs w:val="24"/>
        </w:rPr>
        <w:t>95</w:t>
      </w:r>
      <w:r>
        <w:rPr>
          <w:rFonts w:hint="eastAsia" w:hAnsi="宋体"/>
          <w:sz w:val="24"/>
          <w:szCs w:val="24"/>
        </w:rPr>
        <w:t>％（在交换机内部不应凝露，也不应结冰）。</w:t>
      </w:r>
    </w:p>
    <w:p>
      <w:pPr>
        <w:topLinePunct/>
        <w:adjustRightInd w:val="0"/>
        <w:snapToGrid w:val="0"/>
        <w:spacing w:line="360" w:lineRule="auto"/>
        <w:ind w:firstLine="480" w:firstLineChars="200"/>
        <w:rPr>
          <w:kern w:val="0"/>
          <w:sz w:val="24"/>
          <w:szCs w:val="24"/>
        </w:rPr>
      </w:pPr>
      <w:r>
        <w:rPr>
          <w:sz w:val="24"/>
          <w:szCs w:val="24"/>
        </w:rPr>
        <w:t>3</w:t>
      </w:r>
      <w:r>
        <w:rPr>
          <w:rFonts w:hint="eastAsia" w:hAnsi="宋体"/>
          <w:sz w:val="24"/>
          <w:szCs w:val="24"/>
        </w:rPr>
        <w:t>）</w:t>
      </w:r>
      <w:r>
        <w:rPr>
          <w:sz w:val="24"/>
          <w:szCs w:val="24"/>
        </w:rPr>
        <w:tab/>
      </w:r>
      <w:r>
        <w:rPr>
          <w:rFonts w:hint="eastAsia" w:hAnsi="宋体"/>
          <w:sz w:val="24"/>
          <w:szCs w:val="24"/>
        </w:rPr>
        <w:t>大气压力：</w:t>
      </w:r>
      <w:r>
        <w:rPr>
          <w:sz w:val="24"/>
          <w:szCs w:val="24"/>
        </w:rPr>
        <w:t>86kPa</w:t>
      </w:r>
      <w:r>
        <w:rPr>
          <w:rFonts w:hint="eastAsia" w:hAnsi="宋体"/>
          <w:sz w:val="24"/>
          <w:szCs w:val="24"/>
        </w:rPr>
        <w:t>～</w:t>
      </w:r>
      <w:r>
        <w:rPr>
          <w:sz w:val="24"/>
          <w:szCs w:val="24"/>
        </w:rPr>
        <w:t>106kPa</w:t>
      </w:r>
      <w:r>
        <w:rPr>
          <w:rFonts w:hint="eastAsia" w:hAnsi="宋体"/>
          <w:sz w:val="24"/>
          <w:szCs w:val="24"/>
        </w:rPr>
        <w:t>（海拔</w:t>
      </w:r>
      <w:r>
        <w:rPr>
          <w:sz w:val="24"/>
          <w:szCs w:val="24"/>
        </w:rPr>
        <w:t>2000m</w:t>
      </w:r>
      <w:r>
        <w:rPr>
          <w:rFonts w:hint="eastAsia" w:hAnsi="宋体"/>
          <w:sz w:val="24"/>
          <w:szCs w:val="24"/>
        </w:rPr>
        <w:t>以下）。</w:t>
      </w:r>
    </w:p>
    <w:p>
      <w:pPr>
        <w:topLinePunct/>
        <w:adjustRightInd w:val="0"/>
        <w:snapToGrid w:val="0"/>
        <w:spacing w:line="360" w:lineRule="auto"/>
        <w:rPr>
          <w:bCs/>
          <w:kern w:val="0"/>
          <w:sz w:val="24"/>
          <w:szCs w:val="24"/>
        </w:rPr>
      </w:pPr>
      <w:r>
        <w:rPr>
          <w:sz w:val="24"/>
          <w:szCs w:val="24"/>
        </w:rPr>
        <w:t>3.3.2</w:t>
      </w:r>
      <w:r>
        <w:rPr>
          <w:rFonts w:hint="eastAsia" w:hAnsi="宋体"/>
          <w:sz w:val="24"/>
          <w:szCs w:val="24"/>
        </w:rPr>
        <w:t>　</w:t>
      </w:r>
      <w:r>
        <w:rPr>
          <w:rFonts w:hint="eastAsia" w:hAnsi="宋体"/>
          <w:bCs/>
          <w:kern w:val="0"/>
          <w:sz w:val="24"/>
          <w:szCs w:val="24"/>
        </w:rPr>
        <w:t>软件。</w:t>
      </w:r>
    </w:p>
    <w:p>
      <w:pPr>
        <w:topLinePunct/>
        <w:adjustRightInd w:val="0"/>
        <w:snapToGrid w:val="0"/>
        <w:spacing w:line="360" w:lineRule="auto"/>
        <w:ind w:firstLine="480" w:firstLineChars="200"/>
        <w:rPr>
          <w:kern w:val="0"/>
          <w:sz w:val="24"/>
          <w:szCs w:val="24"/>
        </w:rPr>
      </w:pPr>
      <w:r>
        <w:rPr>
          <w:kern w:val="0"/>
          <w:sz w:val="24"/>
          <w:szCs w:val="24"/>
        </w:rPr>
        <w:t>1</w:t>
      </w:r>
      <w:r>
        <w:rPr>
          <w:rFonts w:hint="eastAsia" w:hAnsi="宋体"/>
          <w:kern w:val="0"/>
          <w:sz w:val="24"/>
          <w:szCs w:val="24"/>
        </w:rPr>
        <w:t>）</w:t>
      </w:r>
      <w:r>
        <w:rPr>
          <w:kern w:val="0"/>
          <w:sz w:val="24"/>
          <w:szCs w:val="24"/>
        </w:rPr>
        <w:tab/>
      </w:r>
      <w:r>
        <w:rPr>
          <w:rFonts w:hint="eastAsia" w:hAnsi="宋体"/>
          <w:kern w:val="0"/>
          <w:sz w:val="24"/>
          <w:szCs w:val="24"/>
        </w:rPr>
        <w:t>软件模块化结构。投标人必须保证任何软件模块的维护和更新都不影响其他软件模块，软件具有容错能力。</w:t>
      </w:r>
    </w:p>
    <w:p>
      <w:pPr>
        <w:topLinePunct/>
        <w:adjustRightInd w:val="0"/>
        <w:snapToGrid w:val="0"/>
        <w:spacing w:line="360" w:lineRule="auto"/>
        <w:ind w:firstLine="480" w:firstLineChars="200"/>
        <w:rPr>
          <w:kern w:val="0"/>
          <w:sz w:val="24"/>
          <w:szCs w:val="24"/>
        </w:rPr>
      </w:pPr>
      <w:r>
        <w:rPr>
          <w:kern w:val="0"/>
          <w:sz w:val="24"/>
          <w:szCs w:val="24"/>
        </w:rPr>
        <w:t>2</w:t>
      </w:r>
      <w:r>
        <w:rPr>
          <w:rFonts w:hint="eastAsia" w:hAnsi="宋体"/>
          <w:kern w:val="0"/>
          <w:sz w:val="24"/>
          <w:szCs w:val="24"/>
        </w:rPr>
        <w:t>）</w:t>
      </w:r>
      <w:r>
        <w:rPr>
          <w:kern w:val="0"/>
          <w:sz w:val="24"/>
          <w:szCs w:val="24"/>
        </w:rPr>
        <w:tab/>
      </w:r>
      <w:r>
        <w:rPr>
          <w:rFonts w:hint="eastAsia" w:hAnsi="宋体"/>
          <w:kern w:val="0"/>
          <w:sz w:val="24"/>
          <w:szCs w:val="24"/>
        </w:rPr>
        <w:t>故障监视和诊断。软件能及时发现故障并发出告警能够自动恢复系统，不影响任何已建立的业务连接。</w:t>
      </w:r>
    </w:p>
    <w:p>
      <w:pPr>
        <w:topLinePunct/>
        <w:adjustRightInd w:val="0"/>
        <w:snapToGrid w:val="0"/>
        <w:spacing w:line="360" w:lineRule="auto"/>
        <w:ind w:firstLine="480" w:firstLineChars="200"/>
        <w:rPr>
          <w:kern w:val="0"/>
          <w:sz w:val="24"/>
          <w:szCs w:val="24"/>
        </w:rPr>
      </w:pPr>
      <w:r>
        <w:rPr>
          <w:kern w:val="0"/>
          <w:sz w:val="24"/>
          <w:szCs w:val="24"/>
        </w:rPr>
        <w:t>3</w:t>
      </w:r>
      <w:r>
        <w:rPr>
          <w:rFonts w:hint="eastAsia" w:hAnsi="宋体"/>
          <w:kern w:val="0"/>
          <w:sz w:val="24"/>
          <w:szCs w:val="24"/>
        </w:rPr>
        <w:t>）</w:t>
      </w:r>
      <w:r>
        <w:rPr>
          <w:kern w:val="0"/>
          <w:sz w:val="24"/>
          <w:szCs w:val="24"/>
        </w:rPr>
        <w:tab/>
      </w:r>
      <w:r>
        <w:rPr>
          <w:rFonts w:hint="eastAsia" w:hAnsi="宋体"/>
          <w:kern w:val="0"/>
          <w:sz w:val="24"/>
          <w:szCs w:val="24"/>
        </w:rPr>
        <w:t>兼容性及升级。</w:t>
      </w:r>
    </w:p>
    <w:p>
      <w:pPr>
        <w:topLinePunct/>
        <w:adjustRightInd w:val="0"/>
        <w:snapToGrid w:val="0"/>
        <w:spacing w:line="360" w:lineRule="auto"/>
        <w:ind w:firstLine="480" w:firstLineChars="200"/>
        <w:rPr>
          <w:kern w:val="0"/>
          <w:sz w:val="24"/>
          <w:szCs w:val="24"/>
        </w:rPr>
      </w:pPr>
      <w:r>
        <w:rPr>
          <w:kern w:val="0"/>
          <w:sz w:val="24"/>
          <w:szCs w:val="24"/>
        </w:rPr>
        <w:t>a</w:t>
      </w:r>
      <w:r>
        <w:rPr>
          <w:rFonts w:hint="eastAsia" w:hAnsi="宋体"/>
          <w:kern w:val="0"/>
          <w:sz w:val="24"/>
          <w:szCs w:val="24"/>
        </w:rPr>
        <w:t>）</w:t>
      </w:r>
      <w:r>
        <w:rPr>
          <w:kern w:val="0"/>
          <w:sz w:val="24"/>
          <w:szCs w:val="24"/>
        </w:rPr>
        <w:tab/>
      </w:r>
      <w:r>
        <w:rPr>
          <w:rFonts w:hint="eastAsia" w:hAnsi="宋体"/>
          <w:kern w:val="0"/>
          <w:sz w:val="24"/>
          <w:szCs w:val="24"/>
        </w:rPr>
        <w:t>设备不同时期软件版本应能向下兼容，软件版本易于升级，且在升级的过程中不影响网络的性能与运行。</w:t>
      </w:r>
    </w:p>
    <w:p>
      <w:pPr>
        <w:topLinePunct/>
        <w:adjustRightInd w:val="0"/>
        <w:snapToGrid w:val="0"/>
        <w:spacing w:line="360" w:lineRule="auto"/>
        <w:ind w:firstLine="480" w:firstLineChars="200"/>
        <w:rPr>
          <w:kern w:val="0"/>
          <w:sz w:val="24"/>
          <w:szCs w:val="24"/>
        </w:rPr>
      </w:pPr>
      <w:r>
        <w:rPr>
          <w:kern w:val="0"/>
          <w:sz w:val="24"/>
          <w:szCs w:val="24"/>
        </w:rPr>
        <w:t>b</w:t>
      </w:r>
      <w:r>
        <w:rPr>
          <w:rFonts w:hint="eastAsia" w:hAnsi="宋体"/>
          <w:kern w:val="0"/>
          <w:sz w:val="24"/>
          <w:szCs w:val="24"/>
        </w:rPr>
        <w:t>）</w:t>
      </w:r>
      <w:r>
        <w:rPr>
          <w:kern w:val="0"/>
          <w:sz w:val="24"/>
          <w:szCs w:val="24"/>
        </w:rPr>
        <w:tab/>
      </w:r>
      <w:r>
        <w:rPr>
          <w:rFonts w:hint="eastAsia" w:hAnsi="宋体"/>
          <w:kern w:val="0"/>
          <w:sz w:val="24"/>
          <w:szCs w:val="24"/>
        </w:rPr>
        <w:t>投标人应承诺在供货时提供最新版本的软件，且该软件应是经过测试正式推出的，其可靠性、稳定性经过严格验证了的商用版本。</w:t>
      </w:r>
    </w:p>
    <w:p>
      <w:pPr>
        <w:topLinePunct/>
        <w:adjustRightInd w:val="0"/>
        <w:snapToGrid w:val="0"/>
        <w:spacing w:line="360" w:lineRule="auto"/>
        <w:ind w:firstLine="480" w:firstLineChars="200"/>
        <w:rPr>
          <w:kern w:val="0"/>
          <w:sz w:val="24"/>
          <w:szCs w:val="24"/>
        </w:rPr>
      </w:pPr>
      <w:r>
        <w:rPr>
          <w:kern w:val="0"/>
          <w:sz w:val="24"/>
          <w:szCs w:val="24"/>
        </w:rPr>
        <w:t>c</w:t>
      </w:r>
      <w:r>
        <w:rPr>
          <w:rFonts w:hint="eastAsia" w:hAnsi="宋体"/>
          <w:kern w:val="0"/>
          <w:sz w:val="24"/>
          <w:szCs w:val="24"/>
        </w:rPr>
        <w:t>）</w:t>
      </w:r>
      <w:r>
        <w:rPr>
          <w:kern w:val="0"/>
          <w:sz w:val="24"/>
          <w:szCs w:val="24"/>
        </w:rPr>
        <w:tab/>
      </w:r>
      <w:r>
        <w:rPr>
          <w:rFonts w:hint="eastAsia" w:hAnsi="宋体"/>
          <w:kern w:val="0"/>
          <w:sz w:val="24"/>
          <w:szCs w:val="24"/>
        </w:rPr>
        <w:t>应提供各有效软件版本的清单，功能的描述，对各种协议的支持，以及对硬件平台（处理器、内存等）的要求；应提供各软件版本与硬件模块对应关系。</w:t>
      </w:r>
    </w:p>
    <w:p>
      <w:pPr>
        <w:topLinePunct/>
        <w:adjustRightInd w:val="0"/>
        <w:snapToGrid w:val="0"/>
        <w:spacing w:line="360" w:lineRule="auto"/>
        <w:ind w:firstLine="480" w:firstLineChars="200"/>
        <w:rPr>
          <w:kern w:val="0"/>
          <w:sz w:val="24"/>
          <w:szCs w:val="24"/>
        </w:rPr>
      </w:pPr>
      <w:r>
        <w:rPr>
          <w:kern w:val="0"/>
          <w:sz w:val="24"/>
          <w:szCs w:val="24"/>
        </w:rPr>
        <w:t>d</w:t>
      </w:r>
      <w:r>
        <w:rPr>
          <w:rFonts w:hint="eastAsia" w:hAnsi="宋体"/>
          <w:kern w:val="0"/>
          <w:sz w:val="24"/>
          <w:szCs w:val="24"/>
        </w:rPr>
        <w:t>）</w:t>
      </w:r>
      <w:r>
        <w:rPr>
          <w:kern w:val="0"/>
          <w:sz w:val="24"/>
          <w:szCs w:val="24"/>
        </w:rPr>
        <w:tab/>
      </w:r>
      <w:r>
        <w:rPr>
          <w:rFonts w:hint="eastAsia" w:hAnsi="宋体"/>
          <w:kern w:val="0"/>
          <w:sz w:val="24"/>
          <w:szCs w:val="24"/>
        </w:rPr>
        <w:t>投标人应承诺</w:t>
      </w:r>
      <w:r>
        <w:rPr>
          <w:kern w:val="0"/>
          <w:sz w:val="24"/>
          <w:szCs w:val="24"/>
        </w:rPr>
        <w:t>5</w:t>
      </w:r>
      <w:r>
        <w:rPr>
          <w:rFonts w:hint="eastAsia" w:hAnsi="宋体"/>
          <w:kern w:val="0"/>
          <w:sz w:val="24"/>
          <w:szCs w:val="24"/>
        </w:rPr>
        <w:t>年内免费更新软件版本，并提供相应的新版本软件功能说明书及修改说明书。</w:t>
      </w:r>
    </w:p>
    <w:p>
      <w:pPr>
        <w:topLinePunct/>
        <w:adjustRightInd w:val="0"/>
        <w:snapToGrid w:val="0"/>
        <w:spacing w:line="360" w:lineRule="auto"/>
        <w:rPr>
          <w:kern w:val="0"/>
          <w:sz w:val="24"/>
          <w:szCs w:val="24"/>
        </w:rPr>
      </w:pPr>
      <w:r>
        <w:rPr>
          <w:sz w:val="24"/>
          <w:szCs w:val="24"/>
        </w:rPr>
        <w:t>3.3.3</w:t>
      </w:r>
      <w:r>
        <w:rPr>
          <w:rFonts w:hint="eastAsia" w:hAnsi="宋体"/>
          <w:sz w:val="24"/>
          <w:szCs w:val="24"/>
        </w:rPr>
        <w:t>　</w:t>
      </w:r>
      <w:r>
        <w:rPr>
          <w:rFonts w:hint="eastAsia" w:hAnsi="宋体"/>
          <w:kern w:val="0"/>
          <w:sz w:val="24"/>
          <w:szCs w:val="24"/>
        </w:rPr>
        <w:t>互操作性。投标人应详细说明与其他厂家产品的互连、互通程度和能力。</w:t>
      </w:r>
    </w:p>
    <w:p>
      <w:pPr>
        <w:topLinePunct/>
        <w:adjustRightInd w:val="0"/>
        <w:snapToGrid w:val="0"/>
        <w:spacing w:line="360" w:lineRule="auto"/>
        <w:ind w:firstLine="480" w:firstLineChars="200"/>
        <w:rPr>
          <w:kern w:val="0"/>
          <w:sz w:val="24"/>
          <w:szCs w:val="24"/>
        </w:rPr>
      </w:pPr>
      <w:r>
        <w:rPr>
          <w:rFonts w:hint="eastAsia" w:hAnsi="宋体"/>
          <w:kern w:val="0"/>
          <w:sz w:val="24"/>
          <w:szCs w:val="24"/>
        </w:rPr>
        <w:t>投标人应说明各种设备端口与其他设备的互通能力与保证。</w:t>
      </w:r>
    </w:p>
    <w:p>
      <w:pPr>
        <w:topLinePunct/>
        <w:adjustRightInd w:val="0"/>
        <w:snapToGrid w:val="0"/>
        <w:spacing w:line="360" w:lineRule="auto"/>
        <w:ind w:firstLine="480" w:firstLineChars="200"/>
        <w:rPr>
          <w:kern w:val="0"/>
          <w:sz w:val="24"/>
          <w:szCs w:val="24"/>
        </w:rPr>
      </w:pPr>
      <w:r>
        <w:rPr>
          <w:rFonts w:hint="eastAsia" w:hAnsi="宋体"/>
          <w:kern w:val="0"/>
          <w:sz w:val="24"/>
          <w:szCs w:val="24"/>
        </w:rPr>
        <w:t>投标人应说明其设备支持的各种协议与其他设备的互通能力与保证。</w:t>
      </w:r>
    </w:p>
    <w:p>
      <w:pPr>
        <w:topLinePunct/>
        <w:adjustRightInd w:val="0"/>
        <w:snapToGrid w:val="0"/>
        <w:spacing w:line="360" w:lineRule="auto"/>
        <w:rPr>
          <w:kern w:val="0"/>
          <w:sz w:val="24"/>
          <w:szCs w:val="24"/>
        </w:rPr>
      </w:pPr>
      <w:r>
        <w:rPr>
          <w:sz w:val="24"/>
          <w:szCs w:val="24"/>
        </w:rPr>
        <w:t>3.3.4</w:t>
      </w:r>
      <w:r>
        <w:rPr>
          <w:rFonts w:hint="eastAsia" w:hAnsi="宋体"/>
          <w:sz w:val="24"/>
          <w:szCs w:val="24"/>
        </w:rPr>
        <w:t>　</w:t>
      </w:r>
      <w:r>
        <w:rPr>
          <w:rFonts w:hint="eastAsia" w:hAnsi="宋体"/>
          <w:kern w:val="0"/>
          <w:sz w:val="24"/>
          <w:szCs w:val="24"/>
        </w:rPr>
        <w:t>管理要求。设备应至少支持</w:t>
      </w:r>
      <w:r>
        <w:rPr>
          <w:kern w:val="0"/>
          <w:sz w:val="24"/>
          <w:szCs w:val="24"/>
        </w:rPr>
        <w:t>SNMP</w:t>
      </w:r>
      <w:r>
        <w:rPr>
          <w:rFonts w:hint="eastAsia" w:hAnsi="宋体"/>
          <w:kern w:val="0"/>
          <w:sz w:val="24"/>
          <w:szCs w:val="24"/>
        </w:rPr>
        <w:t>网管协议与</w:t>
      </w:r>
      <w:r>
        <w:rPr>
          <w:kern w:val="0"/>
          <w:sz w:val="24"/>
          <w:szCs w:val="24"/>
        </w:rPr>
        <w:t>RMON</w:t>
      </w:r>
      <w:r>
        <w:rPr>
          <w:rFonts w:hint="eastAsia" w:hAnsi="宋体"/>
          <w:kern w:val="0"/>
          <w:sz w:val="24"/>
          <w:szCs w:val="24"/>
        </w:rPr>
        <w:t>故障管理、配置管理、性能管理和安全管理。可与网管中心配合完成。</w:t>
      </w:r>
    </w:p>
    <w:p>
      <w:pPr>
        <w:topLinePunct/>
        <w:adjustRightInd w:val="0"/>
        <w:snapToGrid w:val="0"/>
        <w:spacing w:line="360" w:lineRule="auto"/>
        <w:ind w:firstLine="480" w:firstLineChars="200"/>
        <w:rPr>
          <w:kern w:val="0"/>
          <w:sz w:val="24"/>
          <w:szCs w:val="24"/>
        </w:rPr>
      </w:pPr>
      <w:r>
        <w:rPr>
          <w:rFonts w:hint="eastAsia" w:hAnsi="宋体"/>
          <w:kern w:val="0"/>
          <w:sz w:val="24"/>
          <w:szCs w:val="24"/>
        </w:rPr>
        <w:t>应提供设备支持网络管理和控制的机制，包括存储／上载配置、诊断、升级、状态报告、异常情况报告及控制等。</w:t>
      </w:r>
    </w:p>
    <w:p>
      <w:pPr>
        <w:topLinePunct/>
        <w:adjustRightInd w:val="0"/>
        <w:snapToGrid w:val="0"/>
        <w:spacing w:line="360" w:lineRule="auto"/>
        <w:ind w:firstLine="480" w:firstLineChars="200"/>
        <w:rPr>
          <w:kern w:val="0"/>
          <w:sz w:val="24"/>
          <w:szCs w:val="24"/>
        </w:rPr>
      </w:pPr>
      <w:r>
        <w:rPr>
          <w:rFonts w:hint="eastAsia" w:hAnsi="宋体"/>
          <w:kern w:val="0"/>
          <w:sz w:val="24"/>
          <w:szCs w:val="24"/>
        </w:rPr>
        <w:t>投标人应列明设备的安全措施。</w:t>
      </w:r>
    </w:p>
    <w:p>
      <w:pPr>
        <w:topLinePunct/>
        <w:adjustRightInd w:val="0"/>
        <w:snapToGrid w:val="0"/>
        <w:spacing w:line="360" w:lineRule="auto"/>
        <w:ind w:firstLine="480" w:firstLineChars="200"/>
        <w:rPr>
          <w:sz w:val="24"/>
          <w:szCs w:val="24"/>
        </w:rPr>
      </w:pPr>
      <w:r>
        <w:rPr>
          <w:rFonts w:hint="eastAsia" w:hAnsi="宋体"/>
          <w:kern w:val="0"/>
          <w:sz w:val="24"/>
          <w:szCs w:val="24"/>
        </w:rPr>
        <w:t>投标人应说明从其设备各种接口上可得到的管理信息。</w:t>
      </w:r>
    </w:p>
    <w:p>
      <w:pPr>
        <w:topLinePunct/>
        <w:adjustRightInd w:val="0"/>
        <w:snapToGrid w:val="0"/>
        <w:spacing w:line="360" w:lineRule="auto"/>
        <w:rPr>
          <w:sz w:val="24"/>
          <w:szCs w:val="24"/>
        </w:rPr>
      </w:pPr>
      <w:r>
        <w:rPr>
          <w:sz w:val="24"/>
          <w:szCs w:val="24"/>
        </w:rPr>
        <w:t>3.3.5</w:t>
      </w:r>
      <w:r>
        <w:rPr>
          <w:rFonts w:hint="eastAsia" w:hAnsi="宋体"/>
          <w:sz w:val="24"/>
          <w:szCs w:val="24"/>
        </w:rPr>
        <w:t>　</w:t>
      </w:r>
      <w:r>
        <w:rPr>
          <w:rFonts w:hint="eastAsia" w:hAnsi="宋体"/>
          <w:bCs/>
          <w:kern w:val="0"/>
          <w:sz w:val="24"/>
          <w:szCs w:val="24"/>
        </w:rPr>
        <w:t>连接线缆。</w:t>
      </w:r>
      <w:r>
        <w:rPr>
          <w:rFonts w:hint="eastAsia" w:hAnsi="宋体"/>
          <w:kern w:val="0"/>
          <w:sz w:val="24"/>
          <w:szCs w:val="24"/>
        </w:rPr>
        <w:t>投标人所提供的设备连接线缆应满足招标人现场安装条件和距离要求。安装条件将在合同谈判或设计联络会时提供。</w:t>
      </w:r>
    </w:p>
    <w:bookmarkEnd w:id="78"/>
    <w:bookmarkEnd w:id="79"/>
    <w:p>
      <w:pPr>
        <w:pStyle w:val="13"/>
        <w:adjustRightInd w:val="0"/>
        <w:snapToGrid w:val="0"/>
        <w:spacing w:line="360" w:lineRule="auto"/>
        <w:jc w:val="both"/>
        <w:outlineLvl w:val="0"/>
        <w:rPr>
          <w:rFonts w:ascii="Times New Roman" w:eastAsia="宋体"/>
          <w:b/>
          <w:color w:val="auto"/>
          <w:sz w:val="24"/>
          <w:szCs w:val="24"/>
        </w:rPr>
      </w:pPr>
      <w:bookmarkStart w:id="86" w:name="_Toc244155640"/>
      <w:bookmarkStart w:id="87" w:name="_Toc247777303"/>
      <w:bookmarkStart w:id="88" w:name="_Toc244156675"/>
      <w:bookmarkStart w:id="89" w:name="_Toc244155677"/>
      <w:bookmarkStart w:id="90" w:name="_Toc103766644"/>
      <w:bookmarkStart w:id="91" w:name="_Toc244399771"/>
      <w:bookmarkStart w:id="92" w:name="_Toc244156622"/>
      <w:bookmarkStart w:id="93" w:name="_Toc244075272"/>
      <w:r>
        <w:rPr>
          <w:rFonts w:ascii="Times New Roman" w:eastAsia="宋体"/>
          <w:b/>
          <w:color w:val="auto"/>
          <w:sz w:val="24"/>
          <w:szCs w:val="24"/>
        </w:rPr>
        <w:t>4</w:t>
      </w:r>
      <w:r>
        <w:rPr>
          <w:rFonts w:hint="eastAsia" w:ascii="Times New Roman" w:hAnsi="宋体" w:eastAsia="宋体"/>
          <w:b/>
          <w:color w:val="auto"/>
          <w:sz w:val="24"/>
          <w:szCs w:val="24"/>
        </w:rPr>
        <w:t>　验收试验</w:t>
      </w:r>
      <w:bookmarkEnd w:id="86"/>
      <w:bookmarkEnd w:id="87"/>
      <w:bookmarkEnd w:id="88"/>
      <w:bookmarkEnd w:id="89"/>
      <w:bookmarkEnd w:id="90"/>
      <w:bookmarkEnd w:id="91"/>
      <w:bookmarkEnd w:id="92"/>
      <w:bookmarkEnd w:id="93"/>
    </w:p>
    <w:p>
      <w:pPr>
        <w:pStyle w:val="16"/>
        <w:adjustRightInd w:val="0"/>
        <w:snapToGrid w:val="0"/>
        <w:spacing w:line="360" w:lineRule="auto"/>
        <w:rPr>
          <w:rFonts w:ascii="Times New Roman" w:eastAsia="宋体"/>
          <w:color w:val="auto"/>
          <w:sz w:val="24"/>
          <w:szCs w:val="24"/>
        </w:rPr>
      </w:pPr>
      <w:bookmarkStart w:id="94" w:name="_Toc244155678"/>
      <w:bookmarkStart w:id="95" w:name="_Toc97018539"/>
      <w:bookmarkStart w:id="96" w:name="_Toc97018132"/>
      <w:bookmarkStart w:id="97" w:name="_Toc247777304"/>
      <w:bookmarkStart w:id="98" w:name="_Toc244156676"/>
      <w:bookmarkStart w:id="99" w:name="_Toc244156623"/>
      <w:bookmarkStart w:id="100" w:name="_Toc244075273"/>
      <w:bookmarkStart w:id="101" w:name="_Toc244155641"/>
      <w:r>
        <w:rPr>
          <w:rFonts w:ascii="Times New Roman" w:eastAsia="宋体"/>
          <w:color w:val="auto"/>
          <w:sz w:val="24"/>
          <w:szCs w:val="24"/>
        </w:rPr>
        <w:t>4.1</w:t>
      </w:r>
      <w:r>
        <w:rPr>
          <w:rFonts w:hint="eastAsia" w:ascii="Times New Roman" w:hAnsi="宋体" w:eastAsia="宋体"/>
          <w:color w:val="auto"/>
          <w:sz w:val="24"/>
          <w:szCs w:val="24"/>
        </w:rPr>
        <w:t>　概述</w:t>
      </w:r>
      <w:bookmarkEnd w:id="94"/>
      <w:bookmarkEnd w:id="95"/>
      <w:bookmarkEnd w:id="96"/>
      <w:bookmarkEnd w:id="97"/>
      <w:bookmarkEnd w:id="98"/>
      <w:bookmarkEnd w:id="99"/>
      <w:bookmarkEnd w:id="100"/>
      <w:bookmarkEnd w:id="101"/>
    </w:p>
    <w:p>
      <w:pPr>
        <w:topLinePunct/>
        <w:adjustRightInd w:val="0"/>
        <w:snapToGrid w:val="0"/>
        <w:spacing w:line="360" w:lineRule="auto"/>
        <w:rPr>
          <w:sz w:val="24"/>
          <w:szCs w:val="24"/>
        </w:rPr>
      </w:pPr>
      <w:r>
        <w:rPr>
          <w:sz w:val="24"/>
          <w:szCs w:val="24"/>
        </w:rPr>
        <w:t>4.1.1</w:t>
      </w:r>
      <w:r>
        <w:rPr>
          <w:rFonts w:hint="eastAsia" w:hAnsi="宋体"/>
          <w:sz w:val="24"/>
          <w:szCs w:val="24"/>
        </w:rPr>
        <w:t>　卖方所提供设备的质量、功能、性能等均应经过试验，并经买方认可才能交货。试验内容由卖方制订，并经买方确认，买方有权根据实际需要增加或减少实验内容、更改实验方法、调整实验条件。</w:t>
      </w:r>
    </w:p>
    <w:p>
      <w:pPr>
        <w:topLinePunct/>
        <w:adjustRightInd w:val="0"/>
        <w:snapToGrid w:val="0"/>
        <w:spacing w:line="360" w:lineRule="auto"/>
        <w:rPr>
          <w:sz w:val="24"/>
          <w:szCs w:val="24"/>
        </w:rPr>
      </w:pPr>
      <w:r>
        <w:rPr>
          <w:sz w:val="24"/>
          <w:szCs w:val="24"/>
        </w:rPr>
        <w:t>4.1.2</w:t>
      </w:r>
      <w:r>
        <w:rPr>
          <w:rFonts w:hint="eastAsia" w:hAnsi="宋体"/>
          <w:sz w:val="24"/>
          <w:szCs w:val="24"/>
        </w:rPr>
        <w:t>　卖方应提供所有工厂试验及现场验收的细则，细则中应明确规定试验项目以及所达到的性能要求。</w:t>
      </w:r>
    </w:p>
    <w:p>
      <w:pPr>
        <w:topLinePunct/>
        <w:adjustRightInd w:val="0"/>
        <w:snapToGrid w:val="0"/>
        <w:spacing w:line="360" w:lineRule="auto"/>
        <w:rPr>
          <w:sz w:val="24"/>
          <w:szCs w:val="24"/>
        </w:rPr>
      </w:pPr>
      <w:r>
        <w:rPr>
          <w:sz w:val="24"/>
          <w:szCs w:val="24"/>
        </w:rPr>
        <w:t>4.1.3</w:t>
      </w:r>
      <w:r>
        <w:rPr>
          <w:rFonts w:hint="eastAsia" w:hAnsi="宋体"/>
          <w:sz w:val="24"/>
          <w:szCs w:val="24"/>
        </w:rPr>
        <w:t>　买方人员对试验的认可签字并不解除卖方对合同规定的保证责任。</w:t>
      </w:r>
    </w:p>
    <w:p>
      <w:pPr>
        <w:topLinePunct/>
        <w:adjustRightInd w:val="0"/>
        <w:snapToGrid w:val="0"/>
        <w:spacing w:line="360" w:lineRule="auto"/>
        <w:rPr>
          <w:sz w:val="24"/>
          <w:szCs w:val="24"/>
        </w:rPr>
      </w:pPr>
      <w:r>
        <w:rPr>
          <w:sz w:val="24"/>
          <w:szCs w:val="24"/>
        </w:rPr>
        <w:t>4.1.4</w:t>
      </w:r>
      <w:r>
        <w:rPr>
          <w:rFonts w:hint="eastAsia" w:hAnsi="宋体"/>
          <w:sz w:val="24"/>
          <w:szCs w:val="24"/>
        </w:rPr>
        <w:t>　卖方应提供一份详细的工厂试验和现场验收的计划（包括系统性能、功能及系统稳定运行的测试方法），买方对卖方提供的试验和验收计划具有修改的权力，并在设计联络会上经买方确认后生效。</w:t>
      </w:r>
    </w:p>
    <w:p>
      <w:pPr>
        <w:topLinePunct/>
        <w:adjustRightInd w:val="0"/>
        <w:snapToGrid w:val="0"/>
        <w:spacing w:line="360" w:lineRule="auto"/>
        <w:rPr>
          <w:sz w:val="24"/>
          <w:szCs w:val="24"/>
        </w:rPr>
      </w:pPr>
      <w:r>
        <w:rPr>
          <w:sz w:val="24"/>
          <w:szCs w:val="24"/>
        </w:rPr>
        <w:t>4.1.5</w:t>
      </w:r>
      <w:r>
        <w:rPr>
          <w:rFonts w:hint="eastAsia" w:hAnsi="宋体"/>
          <w:sz w:val="24"/>
          <w:szCs w:val="24"/>
        </w:rPr>
        <w:t>　卖方应提供四份试验报告的拷贝，每份报告均应有编号、日期。试验报告至少要包括如下内容：</w:t>
      </w:r>
    </w:p>
    <w:p>
      <w:pPr>
        <w:topLinePunct/>
        <w:adjustRightInd w:val="0"/>
        <w:snapToGrid w:val="0"/>
        <w:spacing w:line="360" w:lineRule="auto"/>
        <w:ind w:firstLine="480" w:firstLineChars="200"/>
        <w:rPr>
          <w:sz w:val="24"/>
          <w:szCs w:val="24"/>
        </w:rPr>
      </w:pPr>
      <w:bookmarkStart w:id="102" w:name="_Toc97018133"/>
      <w:r>
        <w:rPr>
          <w:sz w:val="24"/>
          <w:szCs w:val="24"/>
        </w:rPr>
        <w:t>1</w:t>
      </w:r>
      <w:r>
        <w:rPr>
          <w:rFonts w:hint="eastAsia" w:hAnsi="宋体"/>
          <w:sz w:val="24"/>
          <w:szCs w:val="24"/>
        </w:rPr>
        <w:t>）</w:t>
      </w:r>
      <w:r>
        <w:rPr>
          <w:sz w:val="24"/>
          <w:szCs w:val="24"/>
        </w:rPr>
        <w:tab/>
      </w:r>
      <w:r>
        <w:rPr>
          <w:rFonts w:hint="eastAsia" w:hAnsi="宋体"/>
          <w:sz w:val="24"/>
          <w:szCs w:val="24"/>
        </w:rPr>
        <w:t>设备的说明</w:t>
      </w:r>
      <w:bookmarkEnd w:id="102"/>
      <w:r>
        <w:rPr>
          <w:rFonts w:hint="eastAsia" w:hAnsi="宋体"/>
          <w:sz w:val="24"/>
          <w:szCs w:val="24"/>
        </w:rPr>
        <w:t>；</w:t>
      </w:r>
    </w:p>
    <w:p>
      <w:pPr>
        <w:topLinePunct/>
        <w:adjustRightInd w:val="0"/>
        <w:snapToGrid w:val="0"/>
        <w:spacing w:line="360" w:lineRule="auto"/>
        <w:ind w:firstLine="480" w:firstLineChars="200"/>
        <w:rPr>
          <w:sz w:val="24"/>
          <w:szCs w:val="24"/>
        </w:rPr>
      </w:pPr>
      <w:bookmarkStart w:id="103" w:name="_Toc97018134"/>
      <w:r>
        <w:rPr>
          <w:sz w:val="24"/>
          <w:szCs w:val="24"/>
        </w:rPr>
        <w:t>2</w:t>
      </w:r>
      <w:r>
        <w:rPr>
          <w:rFonts w:hint="eastAsia" w:hAnsi="宋体"/>
          <w:sz w:val="24"/>
          <w:szCs w:val="24"/>
        </w:rPr>
        <w:t>）</w:t>
      </w:r>
      <w:r>
        <w:rPr>
          <w:sz w:val="24"/>
          <w:szCs w:val="24"/>
        </w:rPr>
        <w:tab/>
      </w:r>
      <w:r>
        <w:rPr>
          <w:rFonts w:hint="eastAsia" w:hAnsi="宋体"/>
          <w:sz w:val="24"/>
          <w:szCs w:val="24"/>
        </w:rPr>
        <w:t>设备的项目编号，数量以及顺序号</w:t>
      </w:r>
      <w:bookmarkEnd w:id="103"/>
      <w:r>
        <w:rPr>
          <w:rFonts w:hint="eastAsia" w:hAnsi="宋体"/>
          <w:sz w:val="24"/>
          <w:szCs w:val="24"/>
        </w:rPr>
        <w:t>；</w:t>
      </w:r>
    </w:p>
    <w:p>
      <w:pPr>
        <w:topLinePunct/>
        <w:adjustRightInd w:val="0"/>
        <w:snapToGrid w:val="0"/>
        <w:spacing w:line="360" w:lineRule="auto"/>
        <w:ind w:firstLine="480" w:firstLineChars="200"/>
        <w:rPr>
          <w:sz w:val="24"/>
          <w:szCs w:val="24"/>
        </w:rPr>
      </w:pPr>
      <w:bookmarkStart w:id="104" w:name="_Toc97018135"/>
      <w:r>
        <w:rPr>
          <w:sz w:val="24"/>
          <w:szCs w:val="24"/>
        </w:rPr>
        <w:t>3</w:t>
      </w:r>
      <w:r>
        <w:rPr>
          <w:rFonts w:hint="eastAsia" w:hAnsi="宋体"/>
          <w:sz w:val="24"/>
          <w:szCs w:val="24"/>
        </w:rPr>
        <w:t>）</w:t>
      </w:r>
      <w:r>
        <w:rPr>
          <w:sz w:val="24"/>
          <w:szCs w:val="24"/>
        </w:rPr>
        <w:tab/>
      </w:r>
      <w:r>
        <w:rPr>
          <w:rFonts w:hint="eastAsia" w:hAnsi="宋体"/>
          <w:sz w:val="24"/>
          <w:szCs w:val="24"/>
        </w:rPr>
        <w:t>完成试验的时间、地点及方法</w:t>
      </w:r>
      <w:bookmarkEnd w:id="104"/>
      <w:r>
        <w:rPr>
          <w:rFonts w:hint="eastAsia" w:hAnsi="宋体"/>
          <w:sz w:val="24"/>
          <w:szCs w:val="24"/>
        </w:rPr>
        <w:t>；</w:t>
      </w:r>
    </w:p>
    <w:p>
      <w:pPr>
        <w:topLinePunct/>
        <w:adjustRightInd w:val="0"/>
        <w:snapToGrid w:val="0"/>
        <w:spacing w:line="360" w:lineRule="auto"/>
        <w:ind w:firstLine="480" w:firstLineChars="200"/>
        <w:rPr>
          <w:sz w:val="24"/>
          <w:szCs w:val="24"/>
        </w:rPr>
      </w:pPr>
      <w:bookmarkStart w:id="105" w:name="_Toc97018136"/>
      <w:r>
        <w:rPr>
          <w:sz w:val="24"/>
          <w:szCs w:val="24"/>
        </w:rPr>
        <w:t>4</w:t>
      </w:r>
      <w:r>
        <w:rPr>
          <w:rFonts w:hint="eastAsia" w:hAnsi="宋体"/>
          <w:sz w:val="24"/>
          <w:szCs w:val="24"/>
        </w:rPr>
        <w:t>）</w:t>
      </w:r>
      <w:r>
        <w:rPr>
          <w:sz w:val="24"/>
          <w:szCs w:val="24"/>
        </w:rPr>
        <w:tab/>
      </w:r>
      <w:r>
        <w:rPr>
          <w:rFonts w:hint="eastAsia" w:hAnsi="宋体"/>
          <w:sz w:val="24"/>
          <w:szCs w:val="24"/>
        </w:rPr>
        <w:t>试验环境（包括温度、湿度、电源、电压）和条件</w:t>
      </w:r>
      <w:bookmarkEnd w:id="105"/>
      <w:r>
        <w:rPr>
          <w:rFonts w:hint="eastAsia" w:hAnsi="宋体"/>
          <w:sz w:val="24"/>
          <w:szCs w:val="24"/>
        </w:rPr>
        <w:t>；</w:t>
      </w:r>
    </w:p>
    <w:p>
      <w:pPr>
        <w:topLinePunct/>
        <w:adjustRightInd w:val="0"/>
        <w:snapToGrid w:val="0"/>
        <w:spacing w:line="360" w:lineRule="auto"/>
        <w:ind w:firstLine="480" w:firstLineChars="200"/>
        <w:rPr>
          <w:sz w:val="24"/>
          <w:szCs w:val="24"/>
        </w:rPr>
      </w:pPr>
      <w:bookmarkStart w:id="106" w:name="_Toc97018137"/>
      <w:r>
        <w:rPr>
          <w:sz w:val="24"/>
          <w:szCs w:val="24"/>
        </w:rPr>
        <w:t>5</w:t>
      </w:r>
      <w:r>
        <w:rPr>
          <w:rFonts w:hint="eastAsia" w:hAnsi="宋体"/>
          <w:sz w:val="24"/>
          <w:szCs w:val="24"/>
        </w:rPr>
        <w:t>）</w:t>
      </w:r>
      <w:r>
        <w:rPr>
          <w:sz w:val="24"/>
          <w:szCs w:val="24"/>
        </w:rPr>
        <w:tab/>
      </w:r>
      <w:r>
        <w:rPr>
          <w:rFonts w:hint="eastAsia" w:hAnsi="宋体"/>
          <w:sz w:val="24"/>
          <w:szCs w:val="24"/>
        </w:rPr>
        <w:t>试验合格的标准</w:t>
      </w:r>
      <w:bookmarkEnd w:id="106"/>
      <w:r>
        <w:rPr>
          <w:rFonts w:hint="eastAsia" w:hAnsi="宋体"/>
          <w:sz w:val="24"/>
          <w:szCs w:val="24"/>
        </w:rPr>
        <w:t>；</w:t>
      </w:r>
    </w:p>
    <w:p>
      <w:pPr>
        <w:topLinePunct/>
        <w:adjustRightInd w:val="0"/>
        <w:snapToGrid w:val="0"/>
        <w:spacing w:line="360" w:lineRule="auto"/>
        <w:ind w:firstLine="480" w:firstLineChars="200"/>
        <w:rPr>
          <w:sz w:val="24"/>
          <w:szCs w:val="24"/>
        </w:rPr>
      </w:pPr>
      <w:bookmarkStart w:id="107" w:name="_Toc97018138"/>
      <w:r>
        <w:rPr>
          <w:sz w:val="24"/>
          <w:szCs w:val="24"/>
        </w:rPr>
        <w:t>6</w:t>
      </w:r>
      <w:r>
        <w:rPr>
          <w:rFonts w:hint="eastAsia" w:hAnsi="宋体"/>
          <w:sz w:val="24"/>
          <w:szCs w:val="24"/>
        </w:rPr>
        <w:t>）</w:t>
      </w:r>
      <w:r>
        <w:rPr>
          <w:sz w:val="24"/>
          <w:szCs w:val="24"/>
        </w:rPr>
        <w:tab/>
      </w:r>
      <w:r>
        <w:rPr>
          <w:rFonts w:hint="eastAsia" w:hAnsi="宋体"/>
          <w:sz w:val="24"/>
          <w:szCs w:val="24"/>
        </w:rPr>
        <w:t>试验数据</w:t>
      </w:r>
      <w:bookmarkEnd w:id="107"/>
      <w:r>
        <w:rPr>
          <w:rFonts w:hint="eastAsia" w:hAnsi="宋体"/>
          <w:sz w:val="24"/>
          <w:szCs w:val="24"/>
        </w:rPr>
        <w:t>；</w:t>
      </w:r>
    </w:p>
    <w:p>
      <w:pPr>
        <w:topLinePunct/>
        <w:adjustRightInd w:val="0"/>
        <w:snapToGrid w:val="0"/>
        <w:spacing w:line="360" w:lineRule="auto"/>
        <w:ind w:firstLine="480" w:firstLineChars="200"/>
        <w:rPr>
          <w:sz w:val="24"/>
          <w:szCs w:val="24"/>
        </w:rPr>
      </w:pPr>
      <w:bookmarkStart w:id="108" w:name="_Toc97018139"/>
      <w:r>
        <w:rPr>
          <w:sz w:val="24"/>
          <w:szCs w:val="24"/>
        </w:rPr>
        <w:t>7</w:t>
      </w:r>
      <w:r>
        <w:rPr>
          <w:rFonts w:hint="eastAsia" w:hAnsi="宋体"/>
          <w:sz w:val="24"/>
          <w:szCs w:val="24"/>
        </w:rPr>
        <w:t>）</w:t>
      </w:r>
      <w:r>
        <w:rPr>
          <w:sz w:val="24"/>
          <w:szCs w:val="24"/>
        </w:rPr>
        <w:tab/>
      </w:r>
      <w:r>
        <w:rPr>
          <w:rFonts w:hint="eastAsia" w:hAnsi="宋体"/>
          <w:sz w:val="24"/>
          <w:szCs w:val="24"/>
        </w:rPr>
        <w:t>试验人员名单</w:t>
      </w:r>
      <w:bookmarkEnd w:id="108"/>
      <w:r>
        <w:rPr>
          <w:rFonts w:hint="eastAsia" w:hAnsi="宋体"/>
          <w:sz w:val="24"/>
          <w:szCs w:val="24"/>
        </w:rPr>
        <w:t>；</w:t>
      </w:r>
    </w:p>
    <w:p>
      <w:pPr>
        <w:topLinePunct/>
        <w:adjustRightInd w:val="0"/>
        <w:snapToGrid w:val="0"/>
        <w:spacing w:line="360" w:lineRule="auto"/>
        <w:ind w:firstLine="480" w:firstLineChars="200"/>
        <w:rPr>
          <w:sz w:val="24"/>
          <w:szCs w:val="24"/>
        </w:rPr>
      </w:pPr>
      <w:bookmarkStart w:id="109" w:name="_Toc97018140"/>
      <w:r>
        <w:rPr>
          <w:sz w:val="24"/>
          <w:szCs w:val="24"/>
        </w:rPr>
        <w:t>8</w:t>
      </w:r>
      <w:r>
        <w:rPr>
          <w:rFonts w:hint="eastAsia" w:hAnsi="宋体"/>
          <w:sz w:val="24"/>
          <w:szCs w:val="24"/>
        </w:rPr>
        <w:t>）</w:t>
      </w:r>
      <w:r>
        <w:rPr>
          <w:sz w:val="24"/>
          <w:szCs w:val="24"/>
        </w:rPr>
        <w:tab/>
      </w:r>
      <w:r>
        <w:rPr>
          <w:rFonts w:hint="eastAsia" w:hAnsi="宋体"/>
          <w:sz w:val="24"/>
          <w:szCs w:val="24"/>
        </w:rPr>
        <w:t>负责人签字</w:t>
      </w:r>
      <w:bookmarkEnd w:id="109"/>
      <w:r>
        <w:rPr>
          <w:rFonts w:hint="eastAsia" w:hAnsi="宋体"/>
          <w:sz w:val="24"/>
          <w:szCs w:val="24"/>
        </w:rPr>
        <w:t>。</w:t>
      </w:r>
    </w:p>
    <w:p>
      <w:pPr>
        <w:topLinePunct/>
        <w:adjustRightInd w:val="0"/>
        <w:snapToGrid w:val="0"/>
        <w:spacing w:line="360" w:lineRule="auto"/>
        <w:rPr>
          <w:sz w:val="24"/>
          <w:szCs w:val="24"/>
        </w:rPr>
      </w:pPr>
      <w:r>
        <w:rPr>
          <w:sz w:val="24"/>
          <w:szCs w:val="24"/>
        </w:rPr>
        <w:t>4.1.6</w:t>
      </w:r>
      <w:r>
        <w:rPr>
          <w:rFonts w:hint="eastAsia" w:hAnsi="宋体"/>
          <w:sz w:val="24"/>
          <w:szCs w:val="24"/>
        </w:rPr>
        <w:t>　工厂试验期间，卖方应根据技术规范书的要求，提供检验、维护、测量、试验和记录的设备。现场验收的专用仪器仪表由卖方提供，通用仪器仪表由买方提供。</w:t>
      </w:r>
    </w:p>
    <w:p>
      <w:pPr>
        <w:pStyle w:val="16"/>
        <w:adjustRightInd w:val="0"/>
        <w:snapToGrid w:val="0"/>
        <w:spacing w:line="360" w:lineRule="auto"/>
        <w:rPr>
          <w:rFonts w:ascii="Times New Roman" w:eastAsia="宋体"/>
          <w:b/>
          <w:color w:val="auto"/>
          <w:sz w:val="24"/>
          <w:szCs w:val="24"/>
        </w:rPr>
      </w:pPr>
      <w:bookmarkStart w:id="110" w:name="_Toc97018143"/>
      <w:bookmarkStart w:id="111" w:name="_Toc97018541"/>
      <w:bookmarkStart w:id="112" w:name="_Toc244075275"/>
      <w:bookmarkStart w:id="113" w:name="_Toc244156625"/>
      <w:bookmarkStart w:id="114" w:name="_Toc244155643"/>
      <w:bookmarkStart w:id="115" w:name="_Toc247777305"/>
      <w:bookmarkStart w:id="116" w:name="_Toc244156678"/>
      <w:bookmarkStart w:id="117" w:name="_Toc244155680"/>
      <w:r>
        <w:rPr>
          <w:rFonts w:ascii="Times New Roman" w:eastAsia="宋体"/>
          <w:color w:val="auto"/>
          <w:sz w:val="24"/>
          <w:szCs w:val="24"/>
        </w:rPr>
        <w:t>4.2</w:t>
      </w:r>
      <w:r>
        <w:rPr>
          <w:rFonts w:hint="eastAsia" w:ascii="Times New Roman" w:hAnsi="宋体" w:eastAsia="宋体"/>
          <w:color w:val="auto"/>
          <w:sz w:val="24"/>
          <w:szCs w:val="24"/>
        </w:rPr>
        <w:t>　现场验收试验</w:t>
      </w:r>
      <w:r>
        <w:rPr>
          <w:rFonts w:hint="eastAsia" w:ascii="Times New Roman" w:hAnsi="宋体" w:eastAsia="宋体"/>
          <w:b/>
          <w:color w:val="auto"/>
          <w:sz w:val="24"/>
          <w:szCs w:val="24"/>
        </w:rPr>
        <w:t>（</w:t>
      </w:r>
      <w:r>
        <w:rPr>
          <w:rFonts w:ascii="Times New Roman" w:eastAsia="宋体"/>
          <w:b/>
          <w:color w:val="auto"/>
          <w:sz w:val="24"/>
          <w:szCs w:val="24"/>
        </w:rPr>
        <w:t>SAT</w:t>
      </w:r>
      <w:bookmarkEnd w:id="110"/>
      <w:bookmarkEnd w:id="111"/>
      <w:r>
        <w:rPr>
          <w:rFonts w:hint="eastAsia" w:ascii="Times New Roman" w:hAnsi="宋体" w:eastAsia="宋体"/>
          <w:b/>
          <w:color w:val="auto"/>
          <w:sz w:val="24"/>
          <w:szCs w:val="24"/>
        </w:rPr>
        <w:t>）</w:t>
      </w:r>
      <w:bookmarkEnd w:id="112"/>
      <w:bookmarkEnd w:id="113"/>
      <w:bookmarkEnd w:id="114"/>
      <w:bookmarkEnd w:id="115"/>
      <w:bookmarkEnd w:id="116"/>
      <w:bookmarkEnd w:id="117"/>
    </w:p>
    <w:p>
      <w:pPr>
        <w:topLinePunct/>
        <w:adjustRightInd w:val="0"/>
        <w:snapToGrid w:val="0"/>
        <w:spacing w:line="360" w:lineRule="auto"/>
        <w:ind w:firstLine="480" w:firstLineChars="200"/>
        <w:rPr>
          <w:sz w:val="24"/>
          <w:szCs w:val="24"/>
        </w:rPr>
      </w:pPr>
      <w:r>
        <w:rPr>
          <w:sz w:val="24"/>
          <w:szCs w:val="24"/>
        </w:rPr>
        <w:t>SAT</w:t>
      </w:r>
      <w:r>
        <w:rPr>
          <w:rFonts w:hint="eastAsia" w:hAnsi="宋体"/>
          <w:sz w:val="24"/>
          <w:szCs w:val="24"/>
        </w:rPr>
        <w:t>由买方人员在卖方工程师的现场指导下进行。</w:t>
      </w:r>
    </w:p>
    <w:p>
      <w:pPr>
        <w:topLinePunct/>
        <w:adjustRightInd w:val="0"/>
        <w:snapToGrid w:val="0"/>
        <w:spacing w:line="360" w:lineRule="auto"/>
        <w:ind w:firstLine="480" w:firstLineChars="200"/>
        <w:rPr>
          <w:sz w:val="24"/>
          <w:szCs w:val="24"/>
        </w:rPr>
      </w:pPr>
      <w:r>
        <w:rPr>
          <w:sz w:val="24"/>
          <w:szCs w:val="24"/>
        </w:rPr>
        <w:t>SAT</w:t>
      </w:r>
      <w:r>
        <w:rPr>
          <w:rFonts w:hint="eastAsia" w:hAnsi="宋体"/>
          <w:sz w:val="24"/>
          <w:szCs w:val="24"/>
        </w:rPr>
        <w:t>应在完成</w:t>
      </w:r>
      <w:r>
        <w:rPr>
          <w:sz w:val="24"/>
          <w:szCs w:val="24"/>
        </w:rPr>
        <w:t>FAT</w:t>
      </w:r>
      <w:r>
        <w:rPr>
          <w:rFonts w:hint="eastAsia" w:hAnsi="宋体"/>
          <w:sz w:val="24"/>
          <w:szCs w:val="24"/>
        </w:rPr>
        <w:t>所进行的全部系统功能试验和稳定性试验后，现场设备安装、调试完毕，并已具备条件时进行。</w:t>
      </w:r>
    </w:p>
    <w:p>
      <w:pPr>
        <w:topLinePunct/>
        <w:adjustRightInd w:val="0"/>
        <w:snapToGrid w:val="0"/>
        <w:spacing w:line="360" w:lineRule="auto"/>
        <w:ind w:firstLine="480" w:firstLineChars="200"/>
        <w:rPr>
          <w:sz w:val="24"/>
          <w:szCs w:val="24"/>
        </w:rPr>
      </w:pPr>
      <w:r>
        <w:rPr>
          <w:sz w:val="24"/>
          <w:szCs w:val="24"/>
        </w:rPr>
        <w:t>SAT</w:t>
      </w:r>
      <w:r>
        <w:rPr>
          <w:rFonts w:hint="eastAsia" w:hAnsi="宋体"/>
          <w:sz w:val="24"/>
          <w:szCs w:val="24"/>
        </w:rPr>
        <w:t>应包括设备与买方其他系统、设备互连的试验，还应测试与网管中心或者终端的通信试验。</w:t>
      </w:r>
    </w:p>
    <w:p>
      <w:pPr>
        <w:topLinePunct/>
        <w:adjustRightInd w:val="0"/>
        <w:snapToGrid w:val="0"/>
        <w:spacing w:line="360" w:lineRule="auto"/>
        <w:ind w:firstLine="480" w:firstLineChars="200"/>
        <w:rPr>
          <w:sz w:val="24"/>
          <w:szCs w:val="24"/>
        </w:rPr>
      </w:pPr>
      <w:r>
        <w:rPr>
          <w:sz w:val="24"/>
          <w:szCs w:val="24"/>
        </w:rPr>
        <w:t>SAT</w:t>
      </w:r>
      <w:r>
        <w:rPr>
          <w:rFonts w:hint="eastAsia" w:hAnsi="宋体"/>
          <w:sz w:val="24"/>
          <w:szCs w:val="24"/>
        </w:rPr>
        <w:t>稳定性试验的时间为连续进行的</w:t>
      </w:r>
      <w:r>
        <w:rPr>
          <w:sz w:val="24"/>
          <w:szCs w:val="24"/>
        </w:rPr>
        <w:t>168h</w:t>
      </w:r>
      <w:r>
        <w:rPr>
          <w:rFonts w:hint="eastAsia" w:hAnsi="宋体"/>
          <w:sz w:val="24"/>
          <w:szCs w:val="24"/>
        </w:rPr>
        <w:t>。在稳定性试验的</w:t>
      </w:r>
      <w:r>
        <w:rPr>
          <w:sz w:val="24"/>
          <w:szCs w:val="24"/>
        </w:rPr>
        <w:t>168h</w:t>
      </w:r>
      <w:r>
        <w:rPr>
          <w:rFonts w:hint="eastAsia" w:hAnsi="宋体"/>
          <w:sz w:val="24"/>
          <w:szCs w:val="24"/>
        </w:rPr>
        <w:t>期间，不得对硬件设备和软件程序进行调整，除非经过买方许可。</w:t>
      </w:r>
    </w:p>
    <w:p>
      <w:pPr>
        <w:topLinePunct/>
        <w:adjustRightInd w:val="0"/>
        <w:snapToGrid w:val="0"/>
        <w:spacing w:line="360" w:lineRule="auto"/>
        <w:ind w:firstLine="480" w:firstLineChars="200"/>
        <w:rPr>
          <w:sz w:val="24"/>
          <w:szCs w:val="24"/>
        </w:rPr>
      </w:pPr>
      <w:r>
        <w:rPr>
          <w:sz w:val="24"/>
          <w:szCs w:val="24"/>
        </w:rPr>
        <w:t>SAT</w:t>
      </w:r>
      <w:r>
        <w:rPr>
          <w:rFonts w:hint="eastAsia" w:hAnsi="宋体"/>
          <w:sz w:val="24"/>
          <w:szCs w:val="24"/>
        </w:rPr>
        <w:t>开始</w:t>
      </w:r>
      <w:r>
        <w:rPr>
          <w:sz w:val="24"/>
          <w:szCs w:val="24"/>
        </w:rPr>
        <w:t>3</w:t>
      </w:r>
      <w:r>
        <w:rPr>
          <w:rFonts w:hint="eastAsia" w:hAnsi="宋体"/>
          <w:sz w:val="24"/>
          <w:szCs w:val="24"/>
        </w:rPr>
        <w:t>周内，如果系统不能正常运行，则</w:t>
      </w:r>
      <w:r>
        <w:rPr>
          <w:sz w:val="24"/>
          <w:szCs w:val="24"/>
        </w:rPr>
        <w:t>SAT</w:t>
      </w:r>
      <w:r>
        <w:rPr>
          <w:rFonts w:hint="eastAsia" w:hAnsi="宋体"/>
          <w:sz w:val="24"/>
          <w:szCs w:val="24"/>
        </w:rPr>
        <w:t>不能通过。卖方应采取必要的措施予以纠正，费用由卖方负责。</w:t>
      </w:r>
    </w:p>
    <w:p>
      <w:pPr>
        <w:topLinePunct/>
        <w:adjustRightInd w:val="0"/>
        <w:snapToGrid w:val="0"/>
        <w:spacing w:line="360" w:lineRule="auto"/>
        <w:ind w:firstLine="480" w:firstLineChars="200"/>
        <w:rPr>
          <w:sz w:val="24"/>
          <w:szCs w:val="24"/>
        </w:rPr>
      </w:pPr>
      <w:r>
        <w:rPr>
          <w:sz w:val="24"/>
          <w:szCs w:val="24"/>
        </w:rPr>
        <w:t>SAT</w:t>
      </w:r>
      <w:r>
        <w:rPr>
          <w:rFonts w:hint="eastAsia" w:hAnsi="宋体"/>
          <w:sz w:val="24"/>
          <w:szCs w:val="24"/>
        </w:rPr>
        <w:t>的一般仪表由买方准备，专用工具和仪器由卖方提供。</w:t>
      </w:r>
    </w:p>
    <w:p>
      <w:pPr>
        <w:topLinePunct/>
        <w:adjustRightInd w:val="0"/>
        <w:snapToGrid w:val="0"/>
        <w:spacing w:line="360" w:lineRule="auto"/>
        <w:ind w:firstLine="480" w:firstLineChars="200"/>
        <w:rPr>
          <w:sz w:val="24"/>
          <w:szCs w:val="24"/>
        </w:rPr>
      </w:pPr>
      <w:r>
        <w:rPr>
          <w:sz w:val="24"/>
          <w:szCs w:val="24"/>
        </w:rPr>
        <w:t>SAT</w:t>
      </w:r>
      <w:r>
        <w:rPr>
          <w:rFonts w:hint="eastAsia" w:hAnsi="宋体"/>
          <w:sz w:val="24"/>
          <w:szCs w:val="24"/>
        </w:rPr>
        <w:t>合格完成后</w:t>
      </w:r>
      <w:r>
        <w:rPr>
          <w:sz w:val="24"/>
          <w:szCs w:val="24"/>
        </w:rPr>
        <w:t>30</w:t>
      </w:r>
      <w:r>
        <w:rPr>
          <w:rFonts w:hint="eastAsia" w:hAnsi="宋体"/>
          <w:sz w:val="24"/>
          <w:szCs w:val="24"/>
        </w:rPr>
        <w:t>天，双方代表应在</w:t>
      </w:r>
      <w:r>
        <w:rPr>
          <w:sz w:val="24"/>
          <w:szCs w:val="24"/>
        </w:rPr>
        <w:t>SAT</w:t>
      </w:r>
      <w:r>
        <w:rPr>
          <w:rFonts w:hint="eastAsia" w:hAnsi="宋体"/>
          <w:sz w:val="24"/>
          <w:szCs w:val="24"/>
        </w:rPr>
        <w:t>验收报告上签字。</w:t>
      </w:r>
    </w:p>
    <w:p>
      <w:pPr>
        <w:topLinePunct/>
        <w:adjustRightInd w:val="0"/>
        <w:snapToGrid w:val="0"/>
        <w:spacing w:line="360" w:lineRule="auto"/>
        <w:ind w:firstLine="480" w:firstLineChars="200"/>
        <w:rPr>
          <w:sz w:val="24"/>
          <w:szCs w:val="24"/>
        </w:rPr>
      </w:pPr>
      <w:r>
        <w:rPr>
          <w:rFonts w:hint="eastAsia" w:hAnsi="宋体"/>
          <w:sz w:val="24"/>
          <w:szCs w:val="24"/>
        </w:rPr>
        <w:t>作为证明系统符合规范书的依据，</w:t>
      </w:r>
      <w:r>
        <w:rPr>
          <w:sz w:val="24"/>
          <w:szCs w:val="24"/>
        </w:rPr>
        <w:t>SAT</w:t>
      </w:r>
      <w:r>
        <w:rPr>
          <w:rFonts w:hint="eastAsia" w:hAnsi="宋体"/>
          <w:sz w:val="24"/>
          <w:szCs w:val="24"/>
        </w:rPr>
        <w:t>完成后</w:t>
      </w:r>
      <w:r>
        <w:rPr>
          <w:sz w:val="24"/>
          <w:szCs w:val="24"/>
        </w:rPr>
        <w:t>30</w:t>
      </w:r>
      <w:r>
        <w:rPr>
          <w:rFonts w:hint="eastAsia" w:hAnsi="宋体"/>
          <w:sz w:val="24"/>
          <w:szCs w:val="24"/>
        </w:rPr>
        <w:t>天以内，卖方应向买方递交两份经签字的性能试验报告，其中包括所完成试验的结果、所使用的仪器及试验人员的签字。</w:t>
      </w:r>
    </w:p>
    <w:p>
      <w:pPr>
        <w:topLinePunct/>
        <w:adjustRightInd w:val="0"/>
        <w:snapToGrid w:val="0"/>
        <w:spacing w:line="360" w:lineRule="auto"/>
        <w:ind w:firstLine="480" w:firstLineChars="200"/>
        <w:rPr>
          <w:sz w:val="24"/>
          <w:szCs w:val="24"/>
        </w:rPr>
      </w:pPr>
      <w:r>
        <w:rPr>
          <w:rFonts w:hint="eastAsia" w:hAnsi="宋体"/>
          <w:sz w:val="24"/>
          <w:szCs w:val="24"/>
        </w:rPr>
        <w:t>卖方应派合格的工程师到买方现场组织实施</w:t>
      </w:r>
      <w:r>
        <w:rPr>
          <w:sz w:val="24"/>
          <w:szCs w:val="24"/>
        </w:rPr>
        <w:t>SAT</w:t>
      </w:r>
      <w:r>
        <w:rPr>
          <w:rFonts w:hint="eastAsia" w:hAnsi="宋体"/>
          <w:sz w:val="24"/>
          <w:szCs w:val="24"/>
        </w:rPr>
        <w:t>，</w:t>
      </w:r>
      <w:r>
        <w:rPr>
          <w:sz w:val="24"/>
          <w:szCs w:val="24"/>
        </w:rPr>
        <w:t>SAT</w:t>
      </w:r>
      <w:r>
        <w:rPr>
          <w:rFonts w:hint="eastAsia" w:hAnsi="宋体"/>
          <w:sz w:val="24"/>
          <w:szCs w:val="24"/>
        </w:rPr>
        <w:t>和现场服务所需的费用应包括在合同中并单列。</w:t>
      </w:r>
    </w:p>
    <w:p>
      <w:pPr>
        <w:pStyle w:val="13"/>
        <w:adjustRightInd w:val="0"/>
        <w:snapToGrid w:val="0"/>
        <w:spacing w:line="360" w:lineRule="auto"/>
        <w:jc w:val="both"/>
        <w:outlineLvl w:val="0"/>
        <w:rPr>
          <w:rFonts w:ascii="Times New Roman" w:eastAsia="宋体"/>
          <w:b/>
          <w:color w:val="auto"/>
          <w:sz w:val="24"/>
          <w:szCs w:val="24"/>
        </w:rPr>
      </w:pPr>
      <w:bookmarkStart w:id="118" w:name="_Toc103766645"/>
      <w:bookmarkStart w:id="119" w:name="_Toc244156679"/>
      <w:bookmarkStart w:id="120" w:name="_Toc244156626"/>
      <w:bookmarkStart w:id="121" w:name="_Toc244075276"/>
      <w:bookmarkStart w:id="122" w:name="_Toc244155681"/>
      <w:bookmarkStart w:id="123" w:name="_Toc244155644"/>
      <w:bookmarkStart w:id="124" w:name="_Toc244399772"/>
      <w:bookmarkStart w:id="125" w:name="_Toc247777306"/>
      <w:r>
        <w:rPr>
          <w:rFonts w:ascii="Times New Roman" w:eastAsia="宋体"/>
          <w:b/>
          <w:color w:val="auto"/>
          <w:sz w:val="24"/>
          <w:szCs w:val="24"/>
        </w:rPr>
        <w:t>5</w:t>
      </w:r>
      <w:r>
        <w:rPr>
          <w:rFonts w:hint="eastAsia" w:ascii="Times New Roman" w:hAnsi="宋体" w:eastAsia="宋体"/>
          <w:b/>
          <w:color w:val="auto"/>
          <w:sz w:val="24"/>
          <w:szCs w:val="24"/>
        </w:rPr>
        <w:t>　质量保证及管理</w:t>
      </w:r>
      <w:bookmarkEnd w:id="118"/>
      <w:bookmarkEnd w:id="119"/>
      <w:bookmarkEnd w:id="120"/>
      <w:bookmarkEnd w:id="121"/>
      <w:bookmarkEnd w:id="122"/>
      <w:bookmarkEnd w:id="123"/>
      <w:bookmarkEnd w:id="124"/>
      <w:bookmarkEnd w:id="125"/>
    </w:p>
    <w:p>
      <w:pPr>
        <w:topLinePunct/>
        <w:adjustRightInd w:val="0"/>
        <w:snapToGrid w:val="0"/>
        <w:spacing w:line="360" w:lineRule="auto"/>
        <w:rPr>
          <w:sz w:val="24"/>
          <w:szCs w:val="24"/>
        </w:rPr>
      </w:pPr>
      <w:bookmarkStart w:id="126" w:name="_Toc97018145"/>
      <w:bookmarkStart w:id="127" w:name="_Toc97018440"/>
      <w:bookmarkStart w:id="128" w:name="_Toc97018543"/>
      <w:r>
        <w:rPr>
          <w:kern w:val="0"/>
          <w:sz w:val="24"/>
          <w:szCs w:val="24"/>
        </w:rPr>
        <w:t>5.1</w:t>
      </w:r>
      <w:r>
        <w:rPr>
          <w:rFonts w:hint="eastAsia" w:hAnsi="宋体"/>
          <w:sz w:val="24"/>
          <w:szCs w:val="24"/>
        </w:rPr>
        <w:t>　卖方应保证其所提供的所有设备都是全新的，未使用过的，且按最佳方式进行设计和制造。采用的是优质材料和先进工艺，并在各方面符合合同规定的质量、规格和性能要求。</w:t>
      </w:r>
      <w:bookmarkEnd w:id="126"/>
      <w:bookmarkEnd w:id="127"/>
      <w:bookmarkEnd w:id="128"/>
    </w:p>
    <w:p>
      <w:pPr>
        <w:topLinePunct/>
        <w:adjustRightInd w:val="0"/>
        <w:snapToGrid w:val="0"/>
        <w:spacing w:line="360" w:lineRule="auto"/>
        <w:rPr>
          <w:sz w:val="24"/>
          <w:szCs w:val="24"/>
        </w:rPr>
      </w:pPr>
      <w:bookmarkStart w:id="129" w:name="_Toc97018544"/>
      <w:bookmarkStart w:id="130" w:name="_Toc97018441"/>
      <w:bookmarkStart w:id="131" w:name="_Toc97018146"/>
      <w:r>
        <w:rPr>
          <w:sz w:val="24"/>
          <w:szCs w:val="24"/>
        </w:rPr>
        <w:t>5.2</w:t>
      </w:r>
      <w:r>
        <w:rPr>
          <w:rFonts w:hint="eastAsia" w:hAnsi="宋体"/>
          <w:sz w:val="24"/>
          <w:szCs w:val="24"/>
        </w:rPr>
        <w:t>　卖方应保证系统硬件设备经过正确安装、正常操作和保养，在其寿命期内运行良好。卖方应承诺系统主要设备及部件的运行寿命不少于</w:t>
      </w:r>
      <w:r>
        <w:rPr>
          <w:sz w:val="24"/>
          <w:szCs w:val="24"/>
        </w:rPr>
        <w:t>10</w:t>
      </w:r>
      <w:r>
        <w:rPr>
          <w:rFonts w:hint="eastAsia" w:hAnsi="宋体"/>
          <w:sz w:val="24"/>
          <w:szCs w:val="24"/>
        </w:rPr>
        <w:t>年。由于卖方设计、材料或工艺的原因所造成的缺陷或故障，在合理的运行寿命期限内卖方应免费负责修理或更换有缺陷的零部件、模板或整机。</w:t>
      </w:r>
      <w:bookmarkEnd w:id="129"/>
      <w:bookmarkEnd w:id="130"/>
      <w:bookmarkEnd w:id="131"/>
    </w:p>
    <w:p>
      <w:pPr>
        <w:topLinePunct/>
        <w:adjustRightInd w:val="0"/>
        <w:snapToGrid w:val="0"/>
        <w:spacing w:line="360" w:lineRule="auto"/>
        <w:rPr>
          <w:sz w:val="24"/>
          <w:szCs w:val="24"/>
        </w:rPr>
      </w:pPr>
      <w:bookmarkStart w:id="132" w:name="_Toc97018545"/>
      <w:bookmarkStart w:id="133" w:name="_Toc97018147"/>
      <w:bookmarkStart w:id="134" w:name="_Toc97018442"/>
      <w:r>
        <w:rPr>
          <w:sz w:val="24"/>
          <w:szCs w:val="24"/>
        </w:rPr>
        <w:t>5.3</w:t>
      </w:r>
      <w:bookmarkEnd w:id="132"/>
      <w:bookmarkEnd w:id="133"/>
      <w:bookmarkEnd w:id="134"/>
      <w:r>
        <w:rPr>
          <w:rFonts w:hint="eastAsia" w:hAnsi="宋体"/>
          <w:sz w:val="24"/>
          <w:szCs w:val="24"/>
        </w:rPr>
        <w:t>　质量保证期（包括软件功能）为</w:t>
      </w:r>
      <w:r>
        <w:rPr>
          <w:sz w:val="24"/>
          <w:szCs w:val="24"/>
        </w:rPr>
        <w:t>2</w:t>
      </w:r>
      <w:r>
        <w:rPr>
          <w:rFonts w:hint="eastAsia" w:hAnsi="宋体"/>
          <w:sz w:val="24"/>
          <w:szCs w:val="24"/>
        </w:rPr>
        <w:t>年，按照到货</w:t>
      </w:r>
      <w:r>
        <w:rPr>
          <w:sz w:val="24"/>
          <w:szCs w:val="24"/>
        </w:rPr>
        <w:t>24</w:t>
      </w:r>
      <w:r>
        <w:rPr>
          <w:rFonts w:hint="eastAsia" w:hAnsi="宋体"/>
          <w:sz w:val="24"/>
          <w:szCs w:val="24"/>
        </w:rPr>
        <w:t>个月或者现场验收后</w:t>
      </w:r>
      <w:r>
        <w:rPr>
          <w:sz w:val="24"/>
          <w:szCs w:val="24"/>
        </w:rPr>
        <w:t>18</w:t>
      </w:r>
      <w:r>
        <w:rPr>
          <w:rFonts w:hint="eastAsia" w:hAnsi="宋体"/>
          <w:sz w:val="24"/>
          <w:szCs w:val="24"/>
        </w:rPr>
        <w:t>个月，以先到为准。</w:t>
      </w:r>
    </w:p>
    <w:p>
      <w:pPr>
        <w:topLinePunct/>
        <w:adjustRightInd w:val="0"/>
        <w:snapToGrid w:val="0"/>
        <w:spacing w:line="360" w:lineRule="auto"/>
        <w:rPr>
          <w:sz w:val="24"/>
          <w:szCs w:val="24"/>
        </w:rPr>
      </w:pPr>
      <w:bookmarkStart w:id="135" w:name="_Toc97018546"/>
      <w:bookmarkStart w:id="136" w:name="_Toc97018148"/>
      <w:bookmarkStart w:id="137" w:name="_Toc97018443"/>
      <w:r>
        <w:rPr>
          <w:sz w:val="24"/>
          <w:szCs w:val="24"/>
        </w:rPr>
        <w:t>5.4</w:t>
      </w:r>
      <w:r>
        <w:rPr>
          <w:rFonts w:hint="eastAsia" w:hAnsi="宋体"/>
          <w:sz w:val="24"/>
          <w:szCs w:val="24"/>
        </w:rPr>
        <w:t>　在质量保证期内由于卖方设备或软件的质量问题而造成系统的停运，卖方应负责尽快更换有缺陷或损坏的部件、或者调整相应的软件，并赔偿有此造成的损失。</w:t>
      </w:r>
      <w:bookmarkEnd w:id="135"/>
      <w:bookmarkEnd w:id="136"/>
      <w:bookmarkEnd w:id="137"/>
    </w:p>
    <w:p>
      <w:pPr>
        <w:topLinePunct/>
        <w:adjustRightInd w:val="0"/>
        <w:snapToGrid w:val="0"/>
        <w:spacing w:line="360" w:lineRule="auto"/>
        <w:rPr>
          <w:sz w:val="24"/>
          <w:szCs w:val="24"/>
        </w:rPr>
      </w:pPr>
      <w:bookmarkStart w:id="138" w:name="_Toc97018547"/>
      <w:bookmarkStart w:id="139" w:name="_Toc97018149"/>
      <w:bookmarkStart w:id="140" w:name="_Toc97018444"/>
      <w:r>
        <w:rPr>
          <w:sz w:val="24"/>
          <w:szCs w:val="24"/>
        </w:rPr>
        <w:t>5.5</w:t>
      </w:r>
      <w:r>
        <w:rPr>
          <w:rFonts w:hint="eastAsia" w:hAnsi="宋体"/>
          <w:sz w:val="24"/>
          <w:szCs w:val="24"/>
        </w:rPr>
        <w:t>　卖方应对合同设备的设计、材料和零部件选购、加工、制造、集成组态、试验等过程建立严格的质量保证体系，并在合同的整个制造和集成组态过程中严格按其执行。卖方提供的所有设备均应附有制造商发出的，有卖方签字的检查记录、质量保证书和试验报告。</w:t>
      </w:r>
      <w:bookmarkEnd w:id="138"/>
      <w:bookmarkEnd w:id="139"/>
      <w:bookmarkEnd w:id="140"/>
    </w:p>
    <w:p>
      <w:pPr>
        <w:topLinePunct/>
        <w:adjustRightInd w:val="0"/>
        <w:snapToGrid w:val="0"/>
        <w:spacing w:line="360" w:lineRule="auto"/>
        <w:rPr>
          <w:sz w:val="24"/>
          <w:szCs w:val="24"/>
        </w:rPr>
      </w:pPr>
      <w:bookmarkStart w:id="141" w:name="_Toc97018548"/>
      <w:bookmarkStart w:id="142" w:name="_Toc97018150"/>
      <w:bookmarkStart w:id="143" w:name="_Toc97018445"/>
      <w:r>
        <w:rPr>
          <w:sz w:val="24"/>
          <w:szCs w:val="24"/>
        </w:rPr>
        <w:t>5.6</w:t>
      </w:r>
      <w:r>
        <w:rPr>
          <w:rFonts w:hint="eastAsia" w:hAnsi="宋体"/>
          <w:sz w:val="24"/>
          <w:szCs w:val="24"/>
        </w:rPr>
        <w:t>　卖方应采用有运行经验证明正确的、成熟的技术来进行合同设备的生产和系统的组态。如采用卖方过去从未采用过的新技术，应征得买方的同意。</w:t>
      </w:r>
      <w:bookmarkEnd w:id="141"/>
      <w:bookmarkEnd w:id="142"/>
      <w:bookmarkEnd w:id="143"/>
    </w:p>
    <w:p>
      <w:pPr>
        <w:topLinePunct/>
        <w:adjustRightInd w:val="0"/>
        <w:snapToGrid w:val="0"/>
        <w:spacing w:line="360" w:lineRule="auto"/>
        <w:rPr>
          <w:sz w:val="24"/>
          <w:szCs w:val="24"/>
        </w:rPr>
      </w:pPr>
      <w:bookmarkStart w:id="144" w:name="_Toc97018446"/>
      <w:bookmarkStart w:id="145" w:name="_Toc97018549"/>
      <w:bookmarkStart w:id="146" w:name="_Toc97018151"/>
      <w:r>
        <w:rPr>
          <w:sz w:val="24"/>
          <w:szCs w:val="24"/>
        </w:rPr>
        <w:t>5.7</w:t>
      </w:r>
      <w:r>
        <w:rPr>
          <w:rFonts w:hint="eastAsia" w:hAnsi="宋体"/>
          <w:sz w:val="24"/>
          <w:szCs w:val="24"/>
        </w:rPr>
        <w:t>　卖方从其他厂商采购的软件和设备，一切质量、版权问题应由卖方负责。</w:t>
      </w:r>
      <w:bookmarkEnd w:id="144"/>
      <w:bookmarkEnd w:id="145"/>
      <w:bookmarkEnd w:id="146"/>
    </w:p>
    <w:p>
      <w:pPr>
        <w:topLinePunct/>
        <w:adjustRightInd w:val="0"/>
        <w:snapToGrid w:val="0"/>
        <w:spacing w:line="360" w:lineRule="auto"/>
        <w:rPr>
          <w:sz w:val="24"/>
          <w:szCs w:val="24"/>
        </w:rPr>
      </w:pPr>
      <w:bookmarkStart w:id="147" w:name="_Toc97018447"/>
      <w:bookmarkStart w:id="148" w:name="_Toc97018152"/>
      <w:bookmarkStart w:id="149" w:name="_Toc97018550"/>
      <w:r>
        <w:rPr>
          <w:sz w:val="24"/>
          <w:szCs w:val="24"/>
        </w:rPr>
        <w:t>5.8</w:t>
      </w:r>
      <w:r>
        <w:rPr>
          <w:rFonts w:hint="eastAsia" w:hAnsi="宋体"/>
          <w:sz w:val="24"/>
          <w:szCs w:val="24"/>
        </w:rPr>
        <w:t>　卖方应提供支持服务</w:t>
      </w:r>
      <w:bookmarkEnd w:id="147"/>
      <w:bookmarkEnd w:id="148"/>
      <w:bookmarkEnd w:id="149"/>
      <w:r>
        <w:rPr>
          <w:rFonts w:hint="eastAsia" w:hAnsi="宋体"/>
          <w:sz w:val="24"/>
          <w:szCs w:val="24"/>
        </w:rPr>
        <w:t>。</w:t>
      </w:r>
    </w:p>
    <w:p>
      <w:pPr>
        <w:topLinePunct/>
        <w:adjustRightInd w:val="0"/>
        <w:snapToGrid w:val="0"/>
        <w:spacing w:line="360" w:lineRule="auto"/>
        <w:rPr>
          <w:sz w:val="24"/>
          <w:szCs w:val="24"/>
        </w:rPr>
      </w:pPr>
      <w:r>
        <w:rPr>
          <w:sz w:val="24"/>
          <w:szCs w:val="24"/>
        </w:rPr>
        <w:t>5.8.1</w:t>
      </w:r>
      <w:r>
        <w:rPr>
          <w:rFonts w:hint="eastAsia" w:hAnsi="宋体"/>
          <w:sz w:val="24"/>
          <w:szCs w:val="24"/>
        </w:rPr>
        <w:t>　提供对所有系统硬件和软件维护问题的帮助，应提供一天</w:t>
      </w:r>
      <w:r>
        <w:rPr>
          <w:sz w:val="24"/>
          <w:szCs w:val="24"/>
        </w:rPr>
        <w:t>24h</w:t>
      </w:r>
      <w:r>
        <w:rPr>
          <w:rFonts w:hint="eastAsia" w:hAnsi="宋体"/>
          <w:sz w:val="24"/>
          <w:szCs w:val="24"/>
        </w:rPr>
        <w:t>、一周</w:t>
      </w:r>
      <w:r>
        <w:rPr>
          <w:sz w:val="24"/>
          <w:szCs w:val="24"/>
        </w:rPr>
        <w:t>7</w:t>
      </w:r>
      <w:r>
        <w:rPr>
          <w:rFonts w:hint="eastAsia" w:hAnsi="宋体"/>
          <w:sz w:val="24"/>
          <w:szCs w:val="24"/>
        </w:rPr>
        <w:t>天的紧急帮助服务，紧急帮助可采用远程诊断方式（远程诊断的方式所需要的软硬件设备应包含在投标报价中）。</w:t>
      </w:r>
    </w:p>
    <w:p>
      <w:pPr>
        <w:topLinePunct/>
        <w:adjustRightInd w:val="0"/>
        <w:snapToGrid w:val="0"/>
        <w:spacing w:line="360" w:lineRule="auto"/>
        <w:rPr>
          <w:sz w:val="24"/>
          <w:szCs w:val="24"/>
        </w:rPr>
      </w:pPr>
      <w:r>
        <w:rPr>
          <w:sz w:val="24"/>
          <w:szCs w:val="24"/>
        </w:rPr>
        <w:t>5.8.2</w:t>
      </w:r>
      <w:r>
        <w:rPr>
          <w:rFonts w:hint="eastAsia" w:hAnsi="宋体"/>
          <w:sz w:val="24"/>
          <w:szCs w:val="24"/>
        </w:rPr>
        <w:t>　可通过电话提供支持服务，指导买方技术人员诊断存在的技术问题。如果买方技术人员不能解决问题，卖方应派遣维护人员赶赴现场。</w:t>
      </w:r>
    </w:p>
    <w:p>
      <w:pPr>
        <w:topLinePunct/>
        <w:adjustRightInd w:val="0"/>
        <w:snapToGrid w:val="0"/>
        <w:spacing w:line="360" w:lineRule="auto"/>
        <w:rPr>
          <w:sz w:val="24"/>
          <w:szCs w:val="24"/>
        </w:rPr>
      </w:pPr>
      <w:r>
        <w:rPr>
          <w:sz w:val="24"/>
          <w:szCs w:val="24"/>
        </w:rPr>
        <w:t>5.8.3</w:t>
      </w:r>
      <w:r>
        <w:rPr>
          <w:rFonts w:hint="eastAsia" w:hAnsi="宋体"/>
          <w:sz w:val="24"/>
          <w:szCs w:val="24"/>
        </w:rPr>
        <w:t>　支持服务的报价应包括交通、住宿和人工费用。</w:t>
      </w:r>
    </w:p>
    <w:p>
      <w:pPr>
        <w:pStyle w:val="13"/>
        <w:adjustRightInd w:val="0"/>
        <w:snapToGrid w:val="0"/>
        <w:spacing w:line="360" w:lineRule="auto"/>
        <w:jc w:val="both"/>
        <w:outlineLvl w:val="0"/>
        <w:rPr>
          <w:rFonts w:ascii="Times New Roman" w:eastAsia="宋体"/>
          <w:b/>
          <w:color w:val="auto"/>
          <w:sz w:val="24"/>
          <w:szCs w:val="24"/>
        </w:rPr>
      </w:pPr>
      <w:bookmarkStart w:id="150" w:name="_Toc244399773"/>
      <w:bookmarkStart w:id="151" w:name="_Toc247777307"/>
      <w:bookmarkStart w:id="152" w:name="_Toc244156627"/>
      <w:bookmarkStart w:id="153" w:name="_Toc103766646"/>
      <w:bookmarkStart w:id="154" w:name="_Toc97018153"/>
      <w:bookmarkStart w:id="155" w:name="_Toc97018551"/>
      <w:bookmarkStart w:id="156" w:name="_Toc244155645"/>
      <w:bookmarkStart w:id="157" w:name="_Toc244075277"/>
      <w:bookmarkStart w:id="158" w:name="_Toc244156680"/>
      <w:bookmarkStart w:id="159" w:name="_Toc244155682"/>
      <w:r>
        <w:rPr>
          <w:rFonts w:ascii="Times New Roman" w:eastAsia="宋体"/>
          <w:b/>
          <w:color w:val="auto"/>
          <w:sz w:val="24"/>
          <w:szCs w:val="24"/>
        </w:rPr>
        <w:t>6</w:t>
      </w:r>
      <w:r>
        <w:rPr>
          <w:rFonts w:hint="eastAsia" w:ascii="Times New Roman" w:hAnsi="宋体" w:eastAsia="宋体"/>
          <w:b/>
          <w:color w:val="auto"/>
          <w:sz w:val="24"/>
          <w:szCs w:val="24"/>
        </w:rPr>
        <w:t>　技术服务</w:t>
      </w:r>
      <w:bookmarkEnd w:id="150"/>
      <w:bookmarkEnd w:id="151"/>
      <w:bookmarkEnd w:id="152"/>
      <w:bookmarkEnd w:id="153"/>
      <w:bookmarkEnd w:id="154"/>
      <w:bookmarkEnd w:id="155"/>
      <w:bookmarkEnd w:id="156"/>
      <w:bookmarkEnd w:id="157"/>
      <w:bookmarkEnd w:id="158"/>
      <w:bookmarkEnd w:id="159"/>
    </w:p>
    <w:p>
      <w:pPr>
        <w:topLinePunct/>
        <w:adjustRightInd w:val="0"/>
        <w:snapToGrid w:val="0"/>
        <w:spacing w:line="360" w:lineRule="auto"/>
        <w:rPr>
          <w:sz w:val="24"/>
          <w:szCs w:val="24"/>
        </w:rPr>
      </w:pPr>
      <w:bookmarkStart w:id="160" w:name="_Toc97018154"/>
      <w:bookmarkStart w:id="161" w:name="_Toc97018449"/>
      <w:bookmarkStart w:id="162" w:name="_Toc97018552"/>
      <w:r>
        <w:rPr>
          <w:sz w:val="24"/>
          <w:szCs w:val="24"/>
        </w:rPr>
        <w:t>6.1</w:t>
      </w:r>
      <w:r>
        <w:rPr>
          <w:rFonts w:hint="eastAsia" w:hAnsi="宋体"/>
          <w:sz w:val="24"/>
          <w:szCs w:val="24"/>
        </w:rPr>
        <w:t>　卖方应必须指派合格的、有经验的安装监督人员和试验工程师到现场，对合同设备的安装、调试和现场试验等工作进行技术指导和监督。卖方的现场工程师应对所有安装工作的正确性负责，除非买方的现场安装人员的工作未按照卖方指导人员的意见执行，并且卖方的现场工程师立即以书面的形式将此情况通知买方项目负责人。</w:t>
      </w:r>
      <w:bookmarkEnd w:id="160"/>
      <w:bookmarkEnd w:id="161"/>
      <w:bookmarkEnd w:id="162"/>
    </w:p>
    <w:p>
      <w:pPr>
        <w:topLinePunct/>
        <w:adjustRightInd w:val="0"/>
        <w:snapToGrid w:val="0"/>
        <w:spacing w:line="360" w:lineRule="auto"/>
        <w:rPr>
          <w:sz w:val="24"/>
          <w:szCs w:val="24"/>
        </w:rPr>
      </w:pPr>
      <w:bookmarkStart w:id="163" w:name="_Toc97018553"/>
      <w:bookmarkStart w:id="164" w:name="_Toc97018155"/>
      <w:bookmarkStart w:id="165" w:name="_Toc97018450"/>
      <w:r>
        <w:rPr>
          <w:sz w:val="24"/>
          <w:szCs w:val="24"/>
        </w:rPr>
        <w:t>6.2</w:t>
      </w:r>
      <w:r>
        <w:rPr>
          <w:rFonts w:hint="eastAsia" w:hAnsi="宋体"/>
          <w:sz w:val="24"/>
          <w:szCs w:val="24"/>
        </w:rPr>
        <w:t>　卖方指定的工地代表应在合同范围内全面与买方的工地代表合作与协商，解决合同有关的技术问题和现场安装工作问题。双方的工地代表未经授权，无权变更和修改合同。</w:t>
      </w:r>
      <w:bookmarkEnd w:id="163"/>
      <w:bookmarkEnd w:id="164"/>
      <w:bookmarkEnd w:id="165"/>
    </w:p>
    <w:p>
      <w:pPr>
        <w:topLinePunct/>
        <w:adjustRightInd w:val="0"/>
        <w:snapToGrid w:val="0"/>
        <w:spacing w:line="360" w:lineRule="auto"/>
        <w:rPr>
          <w:sz w:val="24"/>
          <w:szCs w:val="24"/>
        </w:rPr>
      </w:pPr>
      <w:bookmarkStart w:id="166" w:name="_Toc97018554"/>
      <w:bookmarkStart w:id="167" w:name="_Toc97018156"/>
      <w:bookmarkStart w:id="168" w:name="_Toc97018451"/>
      <w:r>
        <w:rPr>
          <w:sz w:val="24"/>
          <w:szCs w:val="24"/>
        </w:rPr>
        <w:t>6.3</w:t>
      </w:r>
      <w:r>
        <w:rPr>
          <w:rFonts w:hint="eastAsia" w:hAnsi="宋体"/>
          <w:sz w:val="24"/>
          <w:szCs w:val="24"/>
        </w:rPr>
        <w:t>　卖方现场工程师应完成合同规定的有关技术服务，进行指导、监督设备的安装、调试和验收试验。卖方现场工程师应对买方人员详细解释技术文件、图纸、运行和维护手册、设备特性、分析方法和有关的注意事项等，以及解答和解决买方在合同范围内提出的技术问题。</w:t>
      </w:r>
      <w:bookmarkEnd w:id="166"/>
      <w:bookmarkEnd w:id="167"/>
      <w:bookmarkEnd w:id="168"/>
    </w:p>
    <w:p>
      <w:pPr>
        <w:topLinePunct/>
        <w:adjustRightInd w:val="0"/>
        <w:snapToGrid w:val="0"/>
        <w:spacing w:line="360" w:lineRule="auto"/>
        <w:rPr>
          <w:sz w:val="24"/>
          <w:szCs w:val="24"/>
        </w:rPr>
      </w:pPr>
      <w:bookmarkStart w:id="169" w:name="_Toc97018555"/>
      <w:bookmarkStart w:id="170" w:name="_Toc97018157"/>
      <w:bookmarkStart w:id="171" w:name="_Toc97018452"/>
      <w:r>
        <w:rPr>
          <w:sz w:val="24"/>
          <w:szCs w:val="24"/>
        </w:rPr>
        <w:t>6.4</w:t>
      </w:r>
      <w:r>
        <w:rPr>
          <w:rFonts w:hint="eastAsia" w:hAnsi="宋体"/>
          <w:sz w:val="24"/>
          <w:szCs w:val="24"/>
        </w:rPr>
        <w:t>　卖方现场工程师有义务协助买方在现场对运行和维护的人员进行必要的培训。</w:t>
      </w:r>
      <w:bookmarkEnd w:id="169"/>
      <w:bookmarkEnd w:id="170"/>
      <w:bookmarkEnd w:id="171"/>
    </w:p>
    <w:p>
      <w:pPr>
        <w:topLinePunct/>
        <w:adjustRightInd w:val="0"/>
        <w:snapToGrid w:val="0"/>
        <w:spacing w:line="360" w:lineRule="auto"/>
        <w:rPr>
          <w:sz w:val="24"/>
          <w:szCs w:val="24"/>
        </w:rPr>
      </w:pPr>
      <w:bookmarkStart w:id="172" w:name="_Toc97018453"/>
      <w:bookmarkStart w:id="173" w:name="_Toc97018556"/>
      <w:bookmarkStart w:id="174" w:name="_Toc97018158"/>
      <w:r>
        <w:rPr>
          <w:sz w:val="24"/>
          <w:szCs w:val="24"/>
        </w:rPr>
        <w:t>6.5</w:t>
      </w:r>
      <w:r>
        <w:rPr>
          <w:rFonts w:hint="eastAsia" w:hAnsi="宋体"/>
          <w:sz w:val="24"/>
          <w:szCs w:val="24"/>
        </w:rPr>
        <w:t>　如因卖方技术人员的错误指导而引起设备和材料的损坏，卖方应负责修复、更换或补充，其费用由卖方承担，该费用中还包括进行修复期间所发生的服务费。</w:t>
      </w:r>
      <w:bookmarkEnd w:id="172"/>
      <w:bookmarkEnd w:id="173"/>
      <w:bookmarkEnd w:id="174"/>
    </w:p>
    <w:p>
      <w:pPr>
        <w:topLinePunct/>
        <w:adjustRightInd w:val="0"/>
        <w:snapToGrid w:val="0"/>
        <w:spacing w:line="360" w:lineRule="auto"/>
        <w:rPr>
          <w:sz w:val="24"/>
          <w:szCs w:val="24"/>
        </w:rPr>
      </w:pPr>
      <w:bookmarkStart w:id="175" w:name="_Toc97018159"/>
      <w:bookmarkStart w:id="176" w:name="_Toc97018557"/>
      <w:bookmarkStart w:id="177" w:name="_Toc97018454"/>
      <w:r>
        <w:rPr>
          <w:sz w:val="24"/>
          <w:szCs w:val="24"/>
        </w:rPr>
        <w:t>6.6</w:t>
      </w:r>
      <w:r>
        <w:rPr>
          <w:rFonts w:hint="eastAsia" w:hAnsi="宋体"/>
          <w:sz w:val="24"/>
          <w:szCs w:val="24"/>
        </w:rPr>
        <w:t>　如因卖方原因造成安装或现场试验工作的拖期，买方有权要求卖方的安装监督人员或试验工程师继续留在现场服务，且费用由卖方自理。如因买方的原因造成安装或试验的拖期，买方根据需要有权要求卖方的安装监督人员或试验工程师继续留在现场服务，并承担有关费用。</w:t>
      </w:r>
      <w:bookmarkEnd w:id="175"/>
      <w:bookmarkEnd w:id="176"/>
      <w:bookmarkEnd w:id="177"/>
    </w:p>
    <w:p>
      <w:pPr>
        <w:topLinePunct/>
        <w:adjustRightInd w:val="0"/>
        <w:snapToGrid w:val="0"/>
        <w:spacing w:line="360" w:lineRule="auto"/>
        <w:rPr>
          <w:sz w:val="24"/>
          <w:szCs w:val="24"/>
        </w:rPr>
      </w:pPr>
      <w:bookmarkStart w:id="178" w:name="_Toc97018558"/>
      <w:bookmarkStart w:id="179" w:name="_Toc97018455"/>
      <w:bookmarkStart w:id="180" w:name="_Toc97018160"/>
      <w:r>
        <w:rPr>
          <w:sz w:val="24"/>
          <w:szCs w:val="24"/>
        </w:rPr>
        <w:t>6.7</w:t>
      </w:r>
      <w:bookmarkEnd w:id="178"/>
      <w:bookmarkEnd w:id="179"/>
      <w:bookmarkEnd w:id="180"/>
      <w:r>
        <w:rPr>
          <w:rFonts w:hint="eastAsia" w:hAnsi="宋体"/>
          <w:sz w:val="24"/>
          <w:szCs w:val="24"/>
        </w:rPr>
        <w:t>　供方保证服务期同寿命期，免费服务期为</w:t>
      </w:r>
      <w:r>
        <w:rPr>
          <w:sz w:val="24"/>
          <w:szCs w:val="24"/>
        </w:rPr>
        <w:t>2</w:t>
      </w:r>
      <w:r>
        <w:rPr>
          <w:rFonts w:hint="eastAsia" w:hAnsi="宋体"/>
          <w:sz w:val="24"/>
          <w:szCs w:val="24"/>
        </w:rPr>
        <w:t>年。</w:t>
      </w:r>
    </w:p>
    <w:p>
      <w:pPr>
        <w:pStyle w:val="13"/>
        <w:adjustRightInd w:val="0"/>
        <w:snapToGrid w:val="0"/>
        <w:spacing w:line="360" w:lineRule="auto"/>
        <w:jc w:val="both"/>
        <w:outlineLvl w:val="0"/>
        <w:rPr>
          <w:rFonts w:ascii="Times New Roman" w:eastAsia="宋体"/>
          <w:b/>
          <w:color w:val="auto"/>
          <w:sz w:val="24"/>
          <w:szCs w:val="24"/>
        </w:rPr>
      </w:pPr>
      <w:bookmarkStart w:id="181" w:name="_Toc244155647"/>
      <w:bookmarkStart w:id="182" w:name="_Toc244075279"/>
      <w:bookmarkStart w:id="183" w:name="_Toc247777308"/>
      <w:bookmarkStart w:id="184" w:name="_Toc244399775"/>
      <w:bookmarkStart w:id="185" w:name="_Toc244156682"/>
      <w:bookmarkStart w:id="186" w:name="_Toc244155684"/>
      <w:bookmarkStart w:id="187" w:name="_Toc244156629"/>
      <w:bookmarkStart w:id="188" w:name="_Toc103766647"/>
      <w:r>
        <w:rPr>
          <w:rFonts w:ascii="Times New Roman" w:eastAsia="宋体"/>
          <w:b/>
          <w:color w:val="auto"/>
          <w:sz w:val="24"/>
          <w:szCs w:val="24"/>
        </w:rPr>
        <w:t>7</w:t>
      </w:r>
      <w:r>
        <w:rPr>
          <w:rFonts w:hint="eastAsia" w:ascii="Times New Roman" w:hAnsi="宋体" w:eastAsia="宋体"/>
          <w:b/>
          <w:color w:val="auto"/>
          <w:sz w:val="24"/>
          <w:szCs w:val="24"/>
        </w:rPr>
        <w:t>　备品备件、仪器仪表及专用工具</w:t>
      </w:r>
      <w:bookmarkEnd w:id="181"/>
      <w:bookmarkEnd w:id="182"/>
      <w:bookmarkEnd w:id="183"/>
      <w:bookmarkEnd w:id="184"/>
      <w:bookmarkEnd w:id="185"/>
      <w:bookmarkEnd w:id="186"/>
      <w:bookmarkEnd w:id="187"/>
      <w:bookmarkEnd w:id="188"/>
    </w:p>
    <w:p>
      <w:pPr>
        <w:pStyle w:val="17"/>
        <w:widowControl w:val="0"/>
        <w:topLinePunct/>
        <w:autoSpaceDE/>
        <w:adjustRightInd w:val="0"/>
        <w:snapToGrid w:val="0"/>
        <w:spacing w:line="360" w:lineRule="auto"/>
        <w:ind w:firstLine="480"/>
        <w:rPr>
          <w:rFonts w:ascii="Times New Roman"/>
          <w:sz w:val="24"/>
          <w:szCs w:val="24"/>
        </w:rPr>
      </w:pPr>
      <w:r>
        <w:rPr>
          <w:rFonts w:hint="eastAsia" w:ascii="Times New Roman" w:hAnsi="宋体"/>
          <w:sz w:val="24"/>
          <w:szCs w:val="24"/>
        </w:rPr>
        <w:t>卖方根据所提供的设备，认为必须或者建议的备品、备件，以及在工程安装、调试、试验、验收，设备运行时所必须或者建议的仪器、仪表、工具也必须列出并提供。</w:t>
      </w:r>
      <w:bookmarkStart w:id="189" w:name="_Toc244399776"/>
      <w:bookmarkStart w:id="190" w:name="_Toc244075280"/>
      <w:bookmarkStart w:id="191" w:name="_Toc244155648"/>
      <w:bookmarkStart w:id="192" w:name="_Toc244156683"/>
      <w:bookmarkStart w:id="193" w:name="_Toc244156630"/>
      <w:bookmarkStart w:id="194" w:name="_Toc244155685"/>
    </w:p>
    <w:p>
      <w:pPr>
        <w:pStyle w:val="13"/>
        <w:adjustRightInd w:val="0"/>
        <w:snapToGrid w:val="0"/>
        <w:spacing w:line="360" w:lineRule="auto"/>
        <w:jc w:val="both"/>
        <w:outlineLvl w:val="0"/>
        <w:rPr>
          <w:rFonts w:ascii="Times New Roman" w:eastAsia="宋体"/>
          <w:b/>
          <w:color w:val="auto"/>
          <w:sz w:val="24"/>
          <w:szCs w:val="24"/>
        </w:rPr>
      </w:pPr>
      <w:bookmarkStart w:id="195" w:name="_Toc103766648"/>
      <w:bookmarkStart w:id="196" w:name="_Toc247777309"/>
      <w:r>
        <w:rPr>
          <w:rFonts w:ascii="Times New Roman" w:eastAsia="宋体"/>
          <w:b/>
          <w:color w:val="auto"/>
          <w:sz w:val="24"/>
          <w:szCs w:val="24"/>
        </w:rPr>
        <w:t>8</w:t>
      </w:r>
      <w:r>
        <w:rPr>
          <w:rFonts w:hint="eastAsia" w:ascii="Times New Roman" w:hAnsi="宋体" w:eastAsia="宋体"/>
          <w:b/>
          <w:color w:val="auto"/>
          <w:sz w:val="24"/>
          <w:szCs w:val="24"/>
        </w:rPr>
        <w:t>　技术资料、图纸和说明书</w:t>
      </w:r>
      <w:bookmarkEnd w:id="189"/>
      <w:bookmarkEnd w:id="190"/>
      <w:bookmarkEnd w:id="191"/>
      <w:bookmarkEnd w:id="192"/>
      <w:bookmarkEnd w:id="193"/>
      <w:bookmarkEnd w:id="194"/>
      <w:bookmarkEnd w:id="195"/>
      <w:bookmarkEnd w:id="196"/>
    </w:p>
    <w:p>
      <w:pPr>
        <w:topLinePunct/>
        <w:adjustRightInd w:val="0"/>
        <w:snapToGrid w:val="0"/>
        <w:spacing w:line="360" w:lineRule="auto"/>
        <w:ind w:firstLine="480" w:firstLineChars="200"/>
        <w:rPr>
          <w:sz w:val="24"/>
          <w:szCs w:val="24"/>
        </w:rPr>
      </w:pPr>
      <w:r>
        <w:rPr>
          <w:rFonts w:hint="eastAsia" w:hAnsi="宋体"/>
          <w:sz w:val="24"/>
          <w:szCs w:val="24"/>
        </w:rPr>
        <w:t>为了确保系统验收、现场施工设计、安装、投运、维护的需要，卖方应提供系统的设计文件、安装文件和图纸、检验记录、工程竣工文件、</w:t>
      </w:r>
      <w:r>
        <w:rPr>
          <w:sz w:val="24"/>
          <w:szCs w:val="24"/>
        </w:rPr>
        <w:t>SAT</w:t>
      </w:r>
      <w:r>
        <w:rPr>
          <w:rFonts w:hint="eastAsia" w:hAnsi="宋体"/>
          <w:sz w:val="24"/>
          <w:szCs w:val="24"/>
        </w:rPr>
        <w:t>文档、技术手册、用户手册、设备技术使用的说明书等资料，并对所提供的全部技术资料的准确性负责。</w:t>
      </w:r>
    </w:p>
    <w:p>
      <w:pPr>
        <w:pStyle w:val="16"/>
        <w:adjustRightInd w:val="0"/>
        <w:snapToGrid w:val="0"/>
        <w:spacing w:line="360" w:lineRule="auto"/>
        <w:rPr>
          <w:rFonts w:ascii="Times New Roman" w:eastAsia="宋体"/>
          <w:color w:val="auto"/>
          <w:sz w:val="24"/>
          <w:szCs w:val="24"/>
        </w:rPr>
      </w:pPr>
      <w:r>
        <w:rPr>
          <w:rFonts w:ascii="Times New Roman" w:eastAsia="宋体"/>
          <w:color w:val="auto"/>
          <w:sz w:val="24"/>
          <w:szCs w:val="24"/>
        </w:rPr>
        <w:t>8.1</w:t>
      </w:r>
      <w:r>
        <w:rPr>
          <w:rFonts w:hint="eastAsia" w:ascii="Times New Roman" w:hAnsi="宋体" w:eastAsia="宋体"/>
          <w:color w:val="auto"/>
          <w:sz w:val="24"/>
          <w:szCs w:val="24"/>
        </w:rPr>
        <w:t>　文件资料的数量</w:t>
      </w:r>
    </w:p>
    <w:p>
      <w:pPr>
        <w:topLinePunct/>
        <w:adjustRightInd w:val="0"/>
        <w:snapToGrid w:val="0"/>
        <w:spacing w:line="360" w:lineRule="auto"/>
        <w:ind w:firstLine="480" w:firstLineChars="200"/>
        <w:rPr>
          <w:sz w:val="24"/>
          <w:szCs w:val="24"/>
        </w:rPr>
      </w:pPr>
      <w:bookmarkStart w:id="197" w:name="_Toc97017983"/>
      <w:r>
        <w:rPr>
          <w:rFonts w:hint="eastAsia" w:hAnsi="宋体"/>
          <w:sz w:val="24"/>
          <w:szCs w:val="24"/>
        </w:rPr>
        <w:t>卖方提供的图纸和资料的数量为</w:t>
      </w:r>
      <w:r>
        <w:rPr>
          <w:sz w:val="24"/>
          <w:szCs w:val="24"/>
        </w:rPr>
        <w:t>4</w:t>
      </w:r>
      <w:r>
        <w:rPr>
          <w:rFonts w:hint="eastAsia" w:hAnsi="宋体"/>
          <w:sz w:val="24"/>
          <w:szCs w:val="24"/>
        </w:rPr>
        <w:t>套。</w:t>
      </w:r>
      <w:bookmarkEnd w:id="197"/>
    </w:p>
    <w:p>
      <w:pPr>
        <w:pStyle w:val="16"/>
        <w:adjustRightInd w:val="0"/>
        <w:snapToGrid w:val="0"/>
        <w:spacing w:line="360" w:lineRule="auto"/>
        <w:rPr>
          <w:rFonts w:ascii="Times New Roman" w:eastAsia="宋体"/>
          <w:color w:val="auto"/>
          <w:sz w:val="24"/>
          <w:szCs w:val="24"/>
        </w:rPr>
      </w:pPr>
      <w:r>
        <w:rPr>
          <w:rFonts w:ascii="Times New Roman" w:eastAsia="宋体"/>
          <w:color w:val="auto"/>
          <w:sz w:val="24"/>
          <w:szCs w:val="24"/>
        </w:rPr>
        <w:t>8.2</w:t>
      </w:r>
      <w:r>
        <w:rPr>
          <w:rFonts w:hint="eastAsia" w:ascii="Times New Roman" w:hAnsi="宋体" w:eastAsia="宋体"/>
          <w:color w:val="auto"/>
          <w:sz w:val="24"/>
          <w:szCs w:val="24"/>
        </w:rPr>
        <w:t>　文件资料的内容</w:t>
      </w:r>
    </w:p>
    <w:p>
      <w:pPr>
        <w:pStyle w:val="16"/>
        <w:adjustRightInd w:val="0"/>
        <w:snapToGrid w:val="0"/>
        <w:spacing w:line="360" w:lineRule="auto"/>
        <w:rPr>
          <w:rFonts w:ascii="Times New Roman" w:eastAsia="宋体"/>
          <w:color w:val="auto"/>
          <w:kern w:val="0"/>
          <w:sz w:val="24"/>
          <w:szCs w:val="24"/>
        </w:rPr>
      </w:pPr>
      <w:r>
        <w:rPr>
          <w:rFonts w:ascii="Times New Roman" w:eastAsia="宋体"/>
          <w:color w:val="auto"/>
          <w:sz w:val="24"/>
          <w:szCs w:val="24"/>
        </w:rPr>
        <w:t>8.2.1</w:t>
      </w:r>
      <w:r>
        <w:rPr>
          <w:rFonts w:hint="eastAsia" w:ascii="Times New Roman" w:hAnsi="宋体" w:eastAsia="宋体"/>
          <w:color w:val="auto"/>
          <w:sz w:val="24"/>
          <w:szCs w:val="24"/>
        </w:rPr>
        <w:t>　</w:t>
      </w:r>
      <w:r>
        <w:rPr>
          <w:rFonts w:hint="eastAsia" w:ascii="Times New Roman" w:hAnsi="宋体" w:eastAsia="宋体"/>
          <w:color w:val="auto"/>
          <w:kern w:val="0"/>
          <w:sz w:val="24"/>
          <w:szCs w:val="24"/>
        </w:rPr>
        <w:t>设计文件。</w:t>
      </w:r>
      <w:bookmarkStart w:id="198" w:name="_Toc97017984"/>
      <w:r>
        <w:rPr>
          <w:rFonts w:hint="eastAsia" w:ascii="Times New Roman" w:hAnsi="宋体" w:eastAsia="宋体"/>
          <w:color w:val="auto"/>
          <w:kern w:val="0"/>
          <w:sz w:val="24"/>
          <w:szCs w:val="24"/>
        </w:rPr>
        <w:t>卖方根据本技术规范书进行系统设备制造所编制的图纸和说明，包括：</w:t>
      </w:r>
      <w:bookmarkEnd w:id="198"/>
    </w:p>
    <w:p>
      <w:pPr>
        <w:topLinePunct/>
        <w:adjustRightInd w:val="0"/>
        <w:snapToGrid w:val="0"/>
        <w:spacing w:line="360" w:lineRule="auto"/>
        <w:ind w:firstLine="480" w:firstLineChars="200"/>
        <w:rPr>
          <w:sz w:val="24"/>
          <w:szCs w:val="24"/>
        </w:rPr>
      </w:pPr>
      <w:bookmarkStart w:id="199" w:name="_Toc97017985"/>
      <w:r>
        <w:rPr>
          <w:sz w:val="24"/>
          <w:szCs w:val="24"/>
        </w:rPr>
        <w:t>1</w:t>
      </w:r>
      <w:r>
        <w:rPr>
          <w:rFonts w:hint="eastAsia" w:hAnsi="宋体"/>
          <w:sz w:val="24"/>
          <w:szCs w:val="24"/>
        </w:rPr>
        <w:t>）</w:t>
      </w:r>
      <w:r>
        <w:rPr>
          <w:sz w:val="24"/>
          <w:szCs w:val="24"/>
        </w:rPr>
        <w:tab/>
      </w:r>
      <w:r>
        <w:rPr>
          <w:rFonts w:hint="eastAsia" w:hAnsi="宋体"/>
          <w:sz w:val="24"/>
          <w:szCs w:val="24"/>
        </w:rPr>
        <w:t>全部设备的配置和构成图及设备、材料清单</w:t>
      </w:r>
      <w:bookmarkEnd w:id="199"/>
      <w:r>
        <w:rPr>
          <w:rFonts w:hint="eastAsia" w:hAnsi="宋体"/>
          <w:sz w:val="24"/>
          <w:szCs w:val="24"/>
        </w:rPr>
        <w:t>；</w:t>
      </w:r>
    </w:p>
    <w:p>
      <w:pPr>
        <w:topLinePunct/>
        <w:adjustRightInd w:val="0"/>
        <w:snapToGrid w:val="0"/>
        <w:spacing w:line="360" w:lineRule="auto"/>
        <w:ind w:firstLine="480" w:firstLineChars="200"/>
        <w:rPr>
          <w:sz w:val="24"/>
          <w:szCs w:val="24"/>
        </w:rPr>
      </w:pPr>
      <w:bookmarkStart w:id="200" w:name="_Toc97017986"/>
      <w:r>
        <w:rPr>
          <w:sz w:val="24"/>
          <w:szCs w:val="24"/>
        </w:rPr>
        <w:t>2</w:t>
      </w:r>
      <w:r>
        <w:rPr>
          <w:rFonts w:hint="eastAsia" w:hAnsi="宋体"/>
          <w:sz w:val="24"/>
          <w:szCs w:val="24"/>
        </w:rPr>
        <w:t>）</w:t>
      </w:r>
      <w:r>
        <w:rPr>
          <w:sz w:val="24"/>
          <w:szCs w:val="24"/>
        </w:rPr>
        <w:tab/>
      </w:r>
      <w:r>
        <w:rPr>
          <w:rFonts w:hint="eastAsia" w:hAnsi="宋体"/>
          <w:sz w:val="24"/>
          <w:szCs w:val="24"/>
        </w:rPr>
        <w:t>全部设备的技术说明书，包括型号、技术特点和性能参数等</w:t>
      </w:r>
      <w:bookmarkEnd w:id="200"/>
      <w:r>
        <w:rPr>
          <w:rFonts w:hint="eastAsia" w:hAnsi="宋体"/>
          <w:sz w:val="24"/>
          <w:szCs w:val="24"/>
        </w:rPr>
        <w:t>；</w:t>
      </w:r>
    </w:p>
    <w:p>
      <w:pPr>
        <w:topLinePunct/>
        <w:adjustRightInd w:val="0"/>
        <w:snapToGrid w:val="0"/>
        <w:spacing w:line="360" w:lineRule="auto"/>
        <w:ind w:firstLine="480" w:firstLineChars="200"/>
        <w:rPr>
          <w:sz w:val="24"/>
          <w:szCs w:val="24"/>
        </w:rPr>
      </w:pPr>
      <w:bookmarkStart w:id="201" w:name="_Toc97017987"/>
      <w:r>
        <w:rPr>
          <w:sz w:val="24"/>
          <w:szCs w:val="24"/>
        </w:rPr>
        <w:t>3</w:t>
      </w:r>
      <w:r>
        <w:rPr>
          <w:rFonts w:hint="eastAsia" w:hAnsi="宋体"/>
          <w:sz w:val="24"/>
          <w:szCs w:val="24"/>
        </w:rPr>
        <w:t>）</w:t>
      </w:r>
      <w:r>
        <w:rPr>
          <w:sz w:val="24"/>
          <w:szCs w:val="24"/>
        </w:rPr>
        <w:t xml:space="preserve"> </w:t>
      </w:r>
      <w:r>
        <w:rPr>
          <w:rFonts w:hint="eastAsia" w:hAnsi="宋体"/>
          <w:sz w:val="24"/>
          <w:szCs w:val="24"/>
        </w:rPr>
        <w:t>设备和机柜的布置和电缆连线图</w:t>
      </w:r>
      <w:bookmarkEnd w:id="201"/>
      <w:r>
        <w:rPr>
          <w:rFonts w:hint="eastAsia" w:hAnsi="宋体"/>
          <w:sz w:val="24"/>
          <w:szCs w:val="24"/>
        </w:rPr>
        <w:t>；</w:t>
      </w:r>
    </w:p>
    <w:p>
      <w:pPr>
        <w:topLinePunct/>
        <w:adjustRightInd w:val="0"/>
        <w:snapToGrid w:val="0"/>
        <w:spacing w:line="360" w:lineRule="auto"/>
        <w:ind w:firstLine="480" w:firstLineChars="200"/>
        <w:rPr>
          <w:sz w:val="24"/>
          <w:szCs w:val="24"/>
        </w:rPr>
      </w:pPr>
      <w:bookmarkStart w:id="202" w:name="_Toc97017988"/>
      <w:r>
        <w:rPr>
          <w:sz w:val="24"/>
          <w:szCs w:val="24"/>
        </w:rPr>
        <w:t>4</w:t>
      </w:r>
      <w:r>
        <w:rPr>
          <w:rFonts w:hint="eastAsia" w:hAnsi="宋体"/>
          <w:sz w:val="24"/>
          <w:szCs w:val="24"/>
        </w:rPr>
        <w:t>）</w:t>
      </w:r>
      <w:r>
        <w:rPr>
          <w:sz w:val="24"/>
          <w:szCs w:val="24"/>
        </w:rPr>
        <w:t xml:space="preserve"> </w:t>
      </w:r>
      <w:r>
        <w:rPr>
          <w:rFonts w:hint="eastAsia" w:hAnsi="宋体"/>
          <w:sz w:val="24"/>
          <w:szCs w:val="24"/>
        </w:rPr>
        <w:t>软件说明书、功能及清单。</w:t>
      </w:r>
      <w:bookmarkEnd w:id="202"/>
    </w:p>
    <w:p>
      <w:pPr>
        <w:topLinePunct/>
        <w:adjustRightInd w:val="0"/>
        <w:snapToGrid w:val="0"/>
        <w:spacing w:line="360" w:lineRule="auto"/>
        <w:rPr>
          <w:sz w:val="24"/>
          <w:szCs w:val="24"/>
        </w:rPr>
      </w:pPr>
      <w:r>
        <w:rPr>
          <w:sz w:val="24"/>
          <w:szCs w:val="24"/>
        </w:rPr>
        <w:t>8.2.2</w:t>
      </w:r>
      <w:r>
        <w:rPr>
          <w:rFonts w:hint="eastAsia" w:hAnsi="宋体"/>
          <w:sz w:val="24"/>
          <w:szCs w:val="24"/>
        </w:rPr>
        <w:t>　安装文件。</w:t>
      </w:r>
    </w:p>
    <w:p>
      <w:pPr>
        <w:topLinePunct/>
        <w:adjustRightInd w:val="0"/>
        <w:snapToGrid w:val="0"/>
        <w:spacing w:line="360" w:lineRule="auto"/>
        <w:ind w:firstLine="480" w:firstLineChars="200"/>
        <w:rPr>
          <w:sz w:val="24"/>
          <w:szCs w:val="24"/>
        </w:rPr>
      </w:pPr>
      <w:bookmarkStart w:id="203" w:name="_Toc97017989"/>
      <w:r>
        <w:rPr>
          <w:sz w:val="24"/>
          <w:szCs w:val="24"/>
        </w:rPr>
        <w:t>1</w:t>
      </w:r>
      <w:r>
        <w:rPr>
          <w:rFonts w:hint="eastAsia" w:hAnsi="宋体"/>
          <w:sz w:val="24"/>
          <w:szCs w:val="24"/>
        </w:rPr>
        <w:t>）</w:t>
      </w:r>
      <w:r>
        <w:rPr>
          <w:sz w:val="24"/>
          <w:szCs w:val="24"/>
        </w:rPr>
        <w:t xml:space="preserve"> </w:t>
      </w:r>
      <w:r>
        <w:rPr>
          <w:rFonts w:hint="eastAsia" w:hAnsi="宋体"/>
          <w:sz w:val="24"/>
          <w:szCs w:val="24"/>
        </w:rPr>
        <w:t>设备的安装手册或说明书</w:t>
      </w:r>
      <w:bookmarkEnd w:id="203"/>
      <w:r>
        <w:rPr>
          <w:rFonts w:hint="eastAsia" w:hAnsi="宋体"/>
          <w:sz w:val="24"/>
          <w:szCs w:val="24"/>
        </w:rPr>
        <w:t>；</w:t>
      </w:r>
    </w:p>
    <w:p>
      <w:pPr>
        <w:topLinePunct/>
        <w:adjustRightInd w:val="0"/>
        <w:snapToGrid w:val="0"/>
        <w:spacing w:line="360" w:lineRule="auto"/>
        <w:ind w:firstLine="480" w:firstLineChars="200"/>
        <w:rPr>
          <w:sz w:val="24"/>
          <w:szCs w:val="24"/>
        </w:rPr>
      </w:pPr>
      <w:bookmarkStart w:id="204" w:name="_Toc97017990"/>
      <w:r>
        <w:rPr>
          <w:sz w:val="24"/>
          <w:szCs w:val="24"/>
        </w:rPr>
        <w:t>2</w:t>
      </w:r>
      <w:r>
        <w:rPr>
          <w:rFonts w:hint="eastAsia" w:hAnsi="宋体"/>
          <w:sz w:val="24"/>
          <w:szCs w:val="24"/>
        </w:rPr>
        <w:t>）</w:t>
      </w:r>
      <w:r>
        <w:rPr>
          <w:sz w:val="24"/>
          <w:szCs w:val="24"/>
        </w:rPr>
        <w:t xml:space="preserve"> </w:t>
      </w:r>
      <w:r>
        <w:rPr>
          <w:rFonts w:hint="eastAsia" w:hAnsi="宋体"/>
          <w:sz w:val="24"/>
          <w:szCs w:val="24"/>
        </w:rPr>
        <w:t>机柜屏面布置图、需与买方设备连接的详细端子图</w:t>
      </w:r>
      <w:bookmarkEnd w:id="204"/>
      <w:r>
        <w:rPr>
          <w:rFonts w:hint="eastAsia" w:hAnsi="宋体"/>
          <w:sz w:val="24"/>
          <w:szCs w:val="24"/>
        </w:rPr>
        <w:t>；</w:t>
      </w:r>
    </w:p>
    <w:p>
      <w:pPr>
        <w:topLinePunct/>
        <w:adjustRightInd w:val="0"/>
        <w:snapToGrid w:val="0"/>
        <w:spacing w:line="360" w:lineRule="auto"/>
        <w:ind w:firstLine="480" w:firstLineChars="200"/>
        <w:rPr>
          <w:sz w:val="24"/>
          <w:szCs w:val="24"/>
        </w:rPr>
      </w:pPr>
      <w:bookmarkStart w:id="205" w:name="_Toc97017991"/>
      <w:r>
        <w:rPr>
          <w:sz w:val="24"/>
          <w:szCs w:val="24"/>
        </w:rPr>
        <w:t>3</w:t>
      </w:r>
      <w:r>
        <w:rPr>
          <w:rFonts w:hint="eastAsia" w:hAnsi="宋体"/>
          <w:sz w:val="24"/>
          <w:szCs w:val="24"/>
        </w:rPr>
        <w:t>）</w:t>
      </w:r>
      <w:r>
        <w:rPr>
          <w:sz w:val="24"/>
          <w:szCs w:val="24"/>
        </w:rPr>
        <w:t xml:space="preserve"> </w:t>
      </w:r>
      <w:r>
        <w:rPr>
          <w:rFonts w:hint="eastAsia" w:hAnsi="宋体"/>
          <w:sz w:val="24"/>
          <w:szCs w:val="24"/>
        </w:rPr>
        <w:t>设备安装尺寸、开孔、固定连接、接地连接图</w:t>
      </w:r>
      <w:bookmarkEnd w:id="205"/>
      <w:r>
        <w:rPr>
          <w:rFonts w:hint="eastAsia" w:hAnsi="宋体"/>
          <w:sz w:val="24"/>
          <w:szCs w:val="24"/>
        </w:rPr>
        <w:t>；</w:t>
      </w:r>
    </w:p>
    <w:p>
      <w:pPr>
        <w:topLinePunct/>
        <w:adjustRightInd w:val="0"/>
        <w:snapToGrid w:val="0"/>
        <w:spacing w:line="360" w:lineRule="auto"/>
        <w:ind w:firstLine="480" w:firstLineChars="200"/>
        <w:rPr>
          <w:sz w:val="24"/>
          <w:szCs w:val="24"/>
        </w:rPr>
      </w:pPr>
      <w:bookmarkStart w:id="206" w:name="_Toc97017992"/>
      <w:r>
        <w:rPr>
          <w:sz w:val="24"/>
          <w:szCs w:val="24"/>
        </w:rPr>
        <w:t>4</w:t>
      </w:r>
      <w:r>
        <w:rPr>
          <w:rFonts w:hint="eastAsia" w:hAnsi="宋体"/>
          <w:sz w:val="24"/>
          <w:szCs w:val="24"/>
        </w:rPr>
        <w:t>）</w:t>
      </w:r>
      <w:r>
        <w:rPr>
          <w:sz w:val="24"/>
          <w:szCs w:val="24"/>
        </w:rPr>
        <w:t xml:space="preserve"> </w:t>
      </w:r>
      <w:r>
        <w:rPr>
          <w:rFonts w:hint="eastAsia" w:hAnsi="宋体"/>
          <w:sz w:val="24"/>
          <w:szCs w:val="24"/>
        </w:rPr>
        <w:t>设备防护措施及环境要求。</w:t>
      </w:r>
      <w:bookmarkEnd w:id="206"/>
    </w:p>
    <w:p>
      <w:pPr>
        <w:pStyle w:val="16"/>
        <w:adjustRightInd w:val="0"/>
        <w:snapToGrid w:val="0"/>
        <w:spacing w:line="360" w:lineRule="auto"/>
        <w:rPr>
          <w:rFonts w:ascii="Times New Roman" w:eastAsia="宋体"/>
          <w:color w:val="auto"/>
          <w:kern w:val="0"/>
          <w:sz w:val="24"/>
          <w:szCs w:val="24"/>
        </w:rPr>
      </w:pPr>
      <w:r>
        <w:rPr>
          <w:rFonts w:ascii="Times New Roman" w:eastAsia="宋体"/>
          <w:color w:val="auto"/>
          <w:sz w:val="24"/>
          <w:szCs w:val="24"/>
        </w:rPr>
        <w:t>8.2.3</w:t>
      </w:r>
      <w:r>
        <w:rPr>
          <w:rFonts w:hint="eastAsia" w:ascii="Times New Roman" w:hAnsi="宋体" w:eastAsia="宋体"/>
          <w:color w:val="auto"/>
          <w:sz w:val="24"/>
          <w:szCs w:val="24"/>
        </w:rPr>
        <w:t>　</w:t>
      </w:r>
      <w:r>
        <w:rPr>
          <w:rFonts w:hint="eastAsia" w:ascii="Times New Roman" w:hAnsi="宋体" w:eastAsia="宋体"/>
          <w:color w:val="auto"/>
          <w:kern w:val="0"/>
          <w:sz w:val="24"/>
          <w:szCs w:val="24"/>
        </w:rPr>
        <w:t>系统运行维护资料。</w:t>
      </w:r>
      <w:bookmarkStart w:id="207" w:name="_Toc97017993"/>
      <w:r>
        <w:rPr>
          <w:rFonts w:hint="eastAsia" w:ascii="Times New Roman" w:hAnsi="宋体" w:eastAsia="宋体"/>
          <w:color w:val="auto"/>
          <w:kern w:val="0"/>
          <w:sz w:val="24"/>
          <w:szCs w:val="24"/>
        </w:rPr>
        <w:t>应提供保证系统正常运行、维护所必需的文件和资料，包括：</w:t>
      </w:r>
      <w:bookmarkEnd w:id="207"/>
    </w:p>
    <w:p>
      <w:pPr>
        <w:topLinePunct/>
        <w:adjustRightInd w:val="0"/>
        <w:snapToGrid w:val="0"/>
        <w:spacing w:line="360" w:lineRule="auto"/>
        <w:ind w:firstLine="480" w:firstLineChars="200"/>
        <w:rPr>
          <w:sz w:val="24"/>
          <w:szCs w:val="24"/>
        </w:rPr>
      </w:pPr>
      <w:bookmarkStart w:id="208" w:name="_Toc97017994"/>
      <w:r>
        <w:rPr>
          <w:sz w:val="24"/>
          <w:szCs w:val="24"/>
        </w:rPr>
        <w:t>1</w:t>
      </w:r>
      <w:r>
        <w:rPr>
          <w:rFonts w:hint="eastAsia" w:hAnsi="宋体"/>
          <w:sz w:val="24"/>
          <w:szCs w:val="24"/>
        </w:rPr>
        <w:t>）</w:t>
      </w:r>
      <w:r>
        <w:rPr>
          <w:sz w:val="24"/>
          <w:szCs w:val="24"/>
        </w:rPr>
        <w:t xml:space="preserve"> </w:t>
      </w:r>
      <w:r>
        <w:rPr>
          <w:rFonts w:hint="eastAsia" w:hAnsi="宋体"/>
          <w:sz w:val="24"/>
          <w:szCs w:val="24"/>
        </w:rPr>
        <w:t>运行操作文件</w:t>
      </w:r>
      <w:bookmarkEnd w:id="208"/>
      <w:bookmarkStart w:id="209" w:name="_Toc97017995"/>
      <w:r>
        <w:rPr>
          <w:rFonts w:hint="eastAsia" w:hAnsi="宋体"/>
          <w:sz w:val="24"/>
          <w:szCs w:val="24"/>
        </w:rPr>
        <w:t>：为操作员提供使用本系统设备的操作说明书、运行手册等</w:t>
      </w:r>
      <w:bookmarkEnd w:id="209"/>
      <w:r>
        <w:rPr>
          <w:rFonts w:hint="eastAsia" w:hAnsi="宋体"/>
          <w:sz w:val="24"/>
          <w:szCs w:val="24"/>
        </w:rPr>
        <w:t>；</w:t>
      </w:r>
    </w:p>
    <w:p>
      <w:pPr>
        <w:topLinePunct/>
        <w:adjustRightInd w:val="0"/>
        <w:snapToGrid w:val="0"/>
        <w:spacing w:line="360" w:lineRule="auto"/>
        <w:ind w:firstLine="480" w:firstLineChars="200"/>
        <w:rPr>
          <w:sz w:val="24"/>
          <w:szCs w:val="24"/>
        </w:rPr>
      </w:pPr>
      <w:bookmarkStart w:id="210" w:name="_Toc97017996"/>
      <w:r>
        <w:rPr>
          <w:sz w:val="24"/>
          <w:szCs w:val="24"/>
        </w:rPr>
        <w:t>2</w:t>
      </w:r>
      <w:r>
        <w:rPr>
          <w:rFonts w:hint="eastAsia" w:hAnsi="宋体"/>
          <w:sz w:val="24"/>
          <w:szCs w:val="24"/>
        </w:rPr>
        <w:t>）</w:t>
      </w:r>
      <w:r>
        <w:rPr>
          <w:sz w:val="24"/>
          <w:szCs w:val="24"/>
        </w:rPr>
        <w:t xml:space="preserve"> </w:t>
      </w:r>
      <w:r>
        <w:rPr>
          <w:rFonts w:hint="eastAsia" w:hAnsi="宋体"/>
          <w:sz w:val="24"/>
          <w:szCs w:val="24"/>
        </w:rPr>
        <w:t>维护诊断文件，主要有软硬件设备诊断维护手册、用户手册、故障检查及维修说明，维护诊断、设备使用手册等</w:t>
      </w:r>
      <w:bookmarkEnd w:id="210"/>
      <w:r>
        <w:rPr>
          <w:rFonts w:hint="eastAsia" w:hAnsi="宋体"/>
          <w:sz w:val="24"/>
          <w:szCs w:val="24"/>
        </w:rPr>
        <w:t>；</w:t>
      </w:r>
    </w:p>
    <w:p>
      <w:pPr>
        <w:topLinePunct/>
        <w:adjustRightInd w:val="0"/>
        <w:snapToGrid w:val="0"/>
        <w:spacing w:line="360" w:lineRule="auto"/>
        <w:ind w:firstLine="480" w:firstLineChars="200"/>
        <w:rPr>
          <w:sz w:val="24"/>
          <w:szCs w:val="24"/>
        </w:rPr>
      </w:pPr>
      <w:bookmarkStart w:id="211" w:name="_Toc97017997"/>
      <w:r>
        <w:rPr>
          <w:sz w:val="24"/>
          <w:szCs w:val="24"/>
        </w:rPr>
        <w:t>3</w:t>
      </w:r>
      <w:r>
        <w:rPr>
          <w:rFonts w:hint="eastAsia" w:hAnsi="宋体"/>
          <w:sz w:val="24"/>
          <w:szCs w:val="24"/>
        </w:rPr>
        <w:t>）</w:t>
      </w:r>
      <w:r>
        <w:rPr>
          <w:sz w:val="24"/>
          <w:szCs w:val="24"/>
        </w:rPr>
        <w:t xml:space="preserve"> </w:t>
      </w:r>
      <w:r>
        <w:rPr>
          <w:rFonts w:hint="eastAsia" w:hAnsi="宋体"/>
          <w:sz w:val="24"/>
          <w:szCs w:val="24"/>
        </w:rPr>
        <w:t>针对用户运行、维护的培训教材。</w:t>
      </w:r>
      <w:bookmarkEnd w:id="211"/>
    </w:p>
    <w:p>
      <w:pPr>
        <w:pStyle w:val="16"/>
        <w:adjustRightInd w:val="0"/>
        <w:snapToGrid w:val="0"/>
        <w:spacing w:line="360" w:lineRule="auto"/>
        <w:rPr>
          <w:rFonts w:ascii="Times New Roman" w:eastAsia="宋体"/>
          <w:color w:val="auto"/>
          <w:sz w:val="24"/>
          <w:szCs w:val="24"/>
        </w:rPr>
      </w:pPr>
      <w:r>
        <w:rPr>
          <w:rFonts w:ascii="Times New Roman" w:eastAsia="宋体"/>
          <w:color w:val="auto"/>
          <w:sz w:val="24"/>
          <w:szCs w:val="24"/>
        </w:rPr>
        <w:t>8.2.4</w:t>
      </w:r>
      <w:r>
        <w:rPr>
          <w:rFonts w:hint="eastAsia" w:ascii="Times New Roman" w:hAnsi="宋体" w:eastAsia="宋体"/>
          <w:color w:val="auto"/>
          <w:sz w:val="24"/>
          <w:szCs w:val="24"/>
        </w:rPr>
        <w:t>　</w:t>
      </w:r>
      <w:r>
        <w:rPr>
          <w:rFonts w:hint="eastAsia" w:ascii="Times New Roman" w:hAnsi="宋体" w:eastAsia="宋体"/>
          <w:color w:val="auto"/>
          <w:kern w:val="0"/>
          <w:sz w:val="24"/>
          <w:szCs w:val="24"/>
        </w:rPr>
        <w:t>检验记录</w:t>
      </w:r>
      <w:r>
        <w:rPr>
          <w:rFonts w:hint="eastAsia" w:ascii="Times New Roman" w:hAnsi="宋体" w:eastAsia="宋体"/>
          <w:color w:val="auto"/>
          <w:sz w:val="24"/>
          <w:szCs w:val="24"/>
        </w:rPr>
        <w:t>。</w:t>
      </w:r>
    </w:p>
    <w:p>
      <w:pPr>
        <w:topLinePunct/>
        <w:adjustRightInd w:val="0"/>
        <w:snapToGrid w:val="0"/>
        <w:spacing w:line="360" w:lineRule="auto"/>
        <w:ind w:firstLine="480" w:firstLineChars="200"/>
        <w:rPr>
          <w:sz w:val="24"/>
          <w:szCs w:val="24"/>
        </w:rPr>
      </w:pPr>
      <w:bookmarkStart w:id="212" w:name="_Toc97017998"/>
      <w:r>
        <w:rPr>
          <w:sz w:val="24"/>
          <w:szCs w:val="24"/>
        </w:rPr>
        <w:t>1</w:t>
      </w:r>
      <w:r>
        <w:rPr>
          <w:rFonts w:hint="eastAsia" w:hAnsi="宋体"/>
          <w:sz w:val="24"/>
          <w:szCs w:val="24"/>
        </w:rPr>
        <w:t>）</w:t>
      </w:r>
      <w:r>
        <w:rPr>
          <w:sz w:val="24"/>
          <w:szCs w:val="24"/>
        </w:rPr>
        <w:t xml:space="preserve"> </w:t>
      </w:r>
      <w:r>
        <w:rPr>
          <w:rFonts w:hint="eastAsia" w:hAnsi="宋体"/>
          <w:sz w:val="24"/>
          <w:szCs w:val="24"/>
        </w:rPr>
        <w:t>全部设备的出厂检验证书</w:t>
      </w:r>
      <w:bookmarkEnd w:id="212"/>
      <w:r>
        <w:rPr>
          <w:rFonts w:hint="eastAsia" w:hAnsi="宋体"/>
          <w:sz w:val="24"/>
          <w:szCs w:val="24"/>
        </w:rPr>
        <w:t>；</w:t>
      </w:r>
    </w:p>
    <w:p>
      <w:pPr>
        <w:topLinePunct/>
        <w:adjustRightInd w:val="0"/>
        <w:snapToGrid w:val="0"/>
        <w:spacing w:line="360" w:lineRule="auto"/>
        <w:ind w:firstLine="480" w:firstLineChars="200"/>
        <w:rPr>
          <w:sz w:val="24"/>
          <w:szCs w:val="24"/>
        </w:rPr>
      </w:pPr>
      <w:bookmarkStart w:id="213" w:name="_Toc97017999"/>
      <w:r>
        <w:rPr>
          <w:sz w:val="24"/>
          <w:szCs w:val="24"/>
        </w:rPr>
        <w:t>2</w:t>
      </w:r>
      <w:r>
        <w:rPr>
          <w:rFonts w:hint="eastAsia" w:hAnsi="宋体"/>
          <w:sz w:val="24"/>
          <w:szCs w:val="24"/>
        </w:rPr>
        <w:t>）</w:t>
      </w:r>
      <w:r>
        <w:rPr>
          <w:sz w:val="24"/>
          <w:szCs w:val="24"/>
        </w:rPr>
        <w:t xml:space="preserve"> </w:t>
      </w:r>
      <w:r>
        <w:rPr>
          <w:rFonts w:hint="eastAsia" w:hAnsi="宋体"/>
          <w:sz w:val="24"/>
          <w:szCs w:val="24"/>
        </w:rPr>
        <w:t>系统的出厂检验记录</w:t>
      </w:r>
      <w:bookmarkEnd w:id="213"/>
      <w:r>
        <w:rPr>
          <w:rFonts w:hint="eastAsia" w:hAnsi="宋体"/>
          <w:sz w:val="24"/>
          <w:szCs w:val="24"/>
        </w:rPr>
        <w:t>；</w:t>
      </w:r>
    </w:p>
    <w:p>
      <w:pPr>
        <w:topLinePunct/>
        <w:adjustRightInd w:val="0"/>
        <w:snapToGrid w:val="0"/>
        <w:spacing w:line="360" w:lineRule="auto"/>
        <w:ind w:firstLine="480" w:firstLineChars="200"/>
        <w:rPr>
          <w:sz w:val="24"/>
          <w:szCs w:val="24"/>
        </w:rPr>
      </w:pPr>
      <w:bookmarkStart w:id="214" w:name="_Toc97018000"/>
      <w:r>
        <w:rPr>
          <w:sz w:val="24"/>
          <w:szCs w:val="24"/>
        </w:rPr>
        <w:t>3</w:t>
      </w:r>
      <w:r>
        <w:rPr>
          <w:rFonts w:hint="eastAsia" w:hAnsi="宋体"/>
          <w:sz w:val="24"/>
          <w:szCs w:val="24"/>
        </w:rPr>
        <w:t>）</w:t>
      </w:r>
      <w:r>
        <w:rPr>
          <w:sz w:val="24"/>
          <w:szCs w:val="24"/>
        </w:rPr>
        <w:t xml:space="preserve"> </w:t>
      </w:r>
      <w:r>
        <w:rPr>
          <w:rFonts w:hint="eastAsia" w:hAnsi="宋体"/>
          <w:sz w:val="24"/>
          <w:szCs w:val="24"/>
        </w:rPr>
        <w:t>系统的现场验收记录</w:t>
      </w:r>
      <w:bookmarkEnd w:id="214"/>
      <w:r>
        <w:rPr>
          <w:sz w:val="24"/>
          <w:szCs w:val="24"/>
        </w:rPr>
        <w:t>SAT</w:t>
      </w:r>
      <w:r>
        <w:rPr>
          <w:rFonts w:hint="eastAsia" w:hAnsi="宋体"/>
          <w:sz w:val="24"/>
          <w:szCs w:val="24"/>
        </w:rPr>
        <w:t>。</w:t>
      </w:r>
    </w:p>
    <w:p>
      <w:pPr>
        <w:pStyle w:val="16"/>
        <w:adjustRightInd w:val="0"/>
        <w:snapToGrid w:val="0"/>
        <w:spacing w:line="360" w:lineRule="auto"/>
        <w:rPr>
          <w:rFonts w:ascii="Times New Roman" w:eastAsia="宋体"/>
          <w:color w:val="auto"/>
          <w:sz w:val="24"/>
          <w:szCs w:val="24"/>
        </w:rPr>
      </w:pPr>
      <w:r>
        <w:rPr>
          <w:rFonts w:ascii="Times New Roman" w:eastAsia="宋体"/>
          <w:color w:val="auto"/>
          <w:sz w:val="24"/>
          <w:szCs w:val="24"/>
        </w:rPr>
        <w:t>8.2.5</w:t>
      </w:r>
      <w:r>
        <w:rPr>
          <w:rFonts w:hint="eastAsia" w:ascii="Times New Roman" w:hAnsi="宋体" w:eastAsia="宋体"/>
          <w:color w:val="auto"/>
          <w:sz w:val="24"/>
          <w:szCs w:val="24"/>
        </w:rPr>
        <w:t>　</w:t>
      </w:r>
      <w:r>
        <w:rPr>
          <w:rFonts w:hint="eastAsia" w:ascii="Times New Roman" w:hAnsi="宋体" w:eastAsia="宋体"/>
          <w:color w:val="auto"/>
          <w:kern w:val="0"/>
          <w:sz w:val="24"/>
          <w:szCs w:val="24"/>
        </w:rPr>
        <w:t>工程竣工资料等</w:t>
      </w:r>
      <w:r>
        <w:rPr>
          <w:rFonts w:hint="eastAsia" w:ascii="Times New Roman" w:hAnsi="宋体" w:eastAsia="宋体"/>
          <w:color w:val="auto"/>
          <w:sz w:val="24"/>
          <w:szCs w:val="24"/>
        </w:rPr>
        <w:t>。</w:t>
      </w:r>
    </w:p>
    <w:p>
      <w:pPr>
        <w:pStyle w:val="16"/>
        <w:adjustRightInd w:val="0"/>
        <w:snapToGrid w:val="0"/>
        <w:spacing w:line="360" w:lineRule="auto"/>
        <w:rPr>
          <w:rFonts w:ascii="Times New Roman" w:eastAsia="宋体"/>
          <w:color w:val="auto"/>
          <w:sz w:val="24"/>
          <w:szCs w:val="24"/>
        </w:rPr>
      </w:pPr>
      <w:r>
        <w:rPr>
          <w:rFonts w:ascii="Times New Roman" w:eastAsia="宋体"/>
          <w:color w:val="auto"/>
          <w:sz w:val="24"/>
          <w:szCs w:val="24"/>
        </w:rPr>
        <w:t>8.3</w:t>
      </w:r>
      <w:r>
        <w:rPr>
          <w:rFonts w:hint="eastAsia" w:ascii="Times New Roman" w:hAnsi="宋体" w:eastAsia="宋体"/>
          <w:color w:val="auto"/>
          <w:sz w:val="24"/>
          <w:szCs w:val="24"/>
        </w:rPr>
        <w:t>　图纸规格</w:t>
      </w:r>
    </w:p>
    <w:p>
      <w:pPr>
        <w:topLinePunct/>
        <w:adjustRightInd w:val="0"/>
        <w:snapToGrid w:val="0"/>
        <w:spacing w:line="360" w:lineRule="auto"/>
        <w:ind w:firstLine="480" w:firstLineChars="200"/>
        <w:rPr>
          <w:sz w:val="24"/>
          <w:szCs w:val="24"/>
        </w:rPr>
      </w:pPr>
      <w:bookmarkStart w:id="215" w:name="_Toc97018001"/>
      <w:r>
        <w:rPr>
          <w:rFonts w:hint="eastAsia" w:hAnsi="宋体"/>
          <w:sz w:val="24"/>
          <w:szCs w:val="24"/>
        </w:rPr>
        <w:t>卖方提供的所有图纸应符合</w:t>
      </w:r>
      <w:r>
        <w:rPr>
          <w:sz w:val="24"/>
          <w:szCs w:val="24"/>
        </w:rPr>
        <w:t>ISO</w:t>
      </w:r>
      <w:r>
        <w:rPr>
          <w:rFonts w:hint="eastAsia" w:hAnsi="宋体"/>
          <w:sz w:val="24"/>
          <w:szCs w:val="24"/>
        </w:rPr>
        <w:t>标准，图纸及技术文件、说明书等资料应使用中文书写，尺寸采用</w:t>
      </w:r>
      <w:r>
        <w:rPr>
          <w:sz w:val="24"/>
          <w:szCs w:val="24"/>
        </w:rPr>
        <w:t>SI</w:t>
      </w:r>
      <w:r>
        <w:rPr>
          <w:rFonts w:hint="eastAsia" w:hAnsi="宋体"/>
          <w:sz w:val="24"/>
          <w:szCs w:val="24"/>
        </w:rPr>
        <w:t>制。</w:t>
      </w:r>
      <w:bookmarkEnd w:id="215"/>
    </w:p>
    <w:p>
      <w:pPr>
        <w:pStyle w:val="16"/>
        <w:adjustRightInd w:val="0"/>
        <w:snapToGrid w:val="0"/>
        <w:spacing w:line="360" w:lineRule="auto"/>
        <w:rPr>
          <w:rFonts w:ascii="Times New Roman" w:eastAsia="宋体"/>
          <w:color w:val="auto"/>
          <w:sz w:val="24"/>
          <w:szCs w:val="24"/>
        </w:rPr>
      </w:pPr>
      <w:r>
        <w:rPr>
          <w:rFonts w:ascii="Times New Roman" w:eastAsia="宋体"/>
          <w:color w:val="auto"/>
          <w:sz w:val="24"/>
          <w:szCs w:val="24"/>
        </w:rPr>
        <w:t>8.4</w:t>
      </w:r>
      <w:r>
        <w:rPr>
          <w:rFonts w:hint="eastAsia" w:ascii="Times New Roman" w:hAnsi="宋体" w:eastAsia="宋体"/>
          <w:color w:val="auto"/>
          <w:sz w:val="24"/>
          <w:szCs w:val="24"/>
        </w:rPr>
        <w:t>　资料和图纸提交进度</w:t>
      </w:r>
    </w:p>
    <w:p>
      <w:pPr>
        <w:topLinePunct/>
        <w:adjustRightInd w:val="0"/>
        <w:snapToGrid w:val="0"/>
        <w:spacing w:line="360" w:lineRule="auto"/>
        <w:ind w:firstLine="480" w:firstLineChars="200"/>
        <w:rPr>
          <w:sz w:val="24"/>
          <w:szCs w:val="24"/>
        </w:rPr>
      </w:pPr>
      <w:bookmarkStart w:id="216" w:name="_Toc97018002"/>
      <w:r>
        <w:rPr>
          <w:rFonts w:hint="eastAsia" w:hAnsi="宋体"/>
          <w:sz w:val="24"/>
          <w:szCs w:val="24"/>
        </w:rPr>
        <w:t>卖方负责在合同签字生效后</w:t>
      </w:r>
      <w:r>
        <w:rPr>
          <w:sz w:val="24"/>
          <w:szCs w:val="24"/>
        </w:rPr>
        <w:t>2</w:t>
      </w:r>
      <w:r>
        <w:rPr>
          <w:rFonts w:hint="eastAsia" w:hAnsi="宋体"/>
          <w:sz w:val="24"/>
          <w:szCs w:val="24"/>
        </w:rPr>
        <w:t>周内提供所供设备的初步设计文件。经设计联络会讨论确定后，在设计联络会后</w:t>
      </w:r>
      <w:r>
        <w:rPr>
          <w:sz w:val="24"/>
          <w:szCs w:val="24"/>
        </w:rPr>
        <w:t>2</w:t>
      </w:r>
      <w:r>
        <w:rPr>
          <w:rFonts w:hint="eastAsia" w:hAnsi="宋体"/>
          <w:sz w:val="24"/>
          <w:szCs w:val="24"/>
        </w:rPr>
        <w:t>周内提交最终的设计文件和全部图纸，同时应提交针对用户运行、维护的培训教材。</w:t>
      </w:r>
      <w:bookmarkEnd w:id="216"/>
    </w:p>
    <w:p>
      <w:pPr>
        <w:pStyle w:val="16"/>
        <w:adjustRightInd w:val="0"/>
        <w:snapToGrid w:val="0"/>
        <w:spacing w:line="360" w:lineRule="auto"/>
        <w:rPr>
          <w:rFonts w:ascii="Times New Roman" w:eastAsia="宋体"/>
          <w:color w:val="auto"/>
          <w:sz w:val="24"/>
          <w:szCs w:val="24"/>
        </w:rPr>
      </w:pPr>
      <w:r>
        <w:rPr>
          <w:rFonts w:ascii="Times New Roman" w:eastAsia="宋体"/>
          <w:color w:val="auto"/>
          <w:sz w:val="24"/>
          <w:szCs w:val="24"/>
        </w:rPr>
        <w:t>8.5</w:t>
      </w:r>
      <w:r>
        <w:rPr>
          <w:rFonts w:hint="eastAsia" w:ascii="Times New Roman" w:hAnsi="宋体" w:eastAsia="宋体"/>
          <w:color w:val="auto"/>
          <w:sz w:val="24"/>
          <w:szCs w:val="24"/>
        </w:rPr>
        <w:t>　资料的形式</w:t>
      </w:r>
    </w:p>
    <w:p>
      <w:pPr>
        <w:topLinePunct/>
        <w:adjustRightInd w:val="0"/>
        <w:snapToGrid w:val="0"/>
        <w:spacing w:line="360" w:lineRule="auto"/>
        <w:ind w:firstLine="480" w:firstLineChars="200"/>
        <w:rPr>
          <w:sz w:val="24"/>
          <w:szCs w:val="24"/>
        </w:rPr>
      </w:pPr>
      <w:r>
        <w:rPr>
          <w:rFonts w:hint="eastAsia" w:hAnsi="宋体"/>
          <w:sz w:val="24"/>
          <w:szCs w:val="24"/>
        </w:rPr>
        <w:t>除了随设备自身的纸质文档外，其他文件均需要以电子文件和纸质形式提供。</w:t>
      </w:r>
    </w:p>
    <w:p>
      <w:pPr>
        <w:pStyle w:val="13"/>
        <w:adjustRightInd w:val="0"/>
        <w:snapToGrid w:val="0"/>
        <w:spacing w:line="360" w:lineRule="auto"/>
        <w:jc w:val="both"/>
        <w:outlineLvl w:val="0"/>
        <w:rPr>
          <w:rFonts w:ascii="Times New Roman" w:hAnsi="宋体" w:eastAsia="宋体"/>
          <w:b/>
          <w:color w:val="auto"/>
          <w:sz w:val="24"/>
          <w:szCs w:val="24"/>
        </w:rPr>
      </w:pPr>
      <w:bookmarkStart w:id="217" w:name="_Toc103766649"/>
      <w:bookmarkStart w:id="218" w:name="_Toc244075281"/>
      <w:bookmarkStart w:id="219" w:name="_Toc244155649"/>
      <w:bookmarkStart w:id="220" w:name="_Toc244155686"/>
      <w:bookmarkStart w:id="221" w:name="_Toc247777310"/>
      <w:bookmarkStart w:id="222" w:name="_Toc244156684"/>
      <w:bookmarkStart w:id="223" w:name="_Toc244399777"/>
      <w:bookmarkStart w:id="224" w:name="_Toc244156631"/>
      <w:r>
        <w:rPr>
          <w:rFonts w:ascii="Times New Roman" w:hAnsi="宋体" w:eastAsia="宋体"/>
          <w:b/>
          <w:color w:val="auto"/>
          <w:sz w:val="24"/>
          <w:szCs w:val="24"/>
        </w:rPr>
        <w:t>9</w:t>
      </w:r>
      <w:r>
        <w:rPr>
          <w:rFonts w:hint="eastAsia" w:ascii="Times New Roman" w:hAnsi="宋体" w:eastAsia="宋体"/>
          <w:b/>
          <w:color w:val="auto"/>
          <w:sz w:val="24"/>
          <w:szCs w:val="24"/>
        </w:rPr>
        <w:t>　设计联络会及培训</w:t>
      </w:r>
      <w:bookmarkEnd w:id="217"/>
      <w:bookmarkEnd w:id="218"/>
      <w:bookmarkEnd w:id="219"/>
      <w:bookmarkEnd w:id="220"/>
      <w:bookmarkEnd w:id="221"/>
      <w:bookmarkEnd w:id="222"/>
      <w:bookmarkEnd w:id="223"/>
      <w:bookmarkEnd w:id="224"/>
    </w:p>
    <w:p>
      <w:pPr>
        <w:topLinePunct/>
        <w:adjustRightInd w:val="0"/>
        <w:snapToGrid w:val="0"/>
        <w:spacing w:line="360" w:lineRule="auto"/>
        <w:rPr>
          <w:sz w:val="24"/>
          <w:szCs w:val="24"/>
        </w:rPr>
      </w:pPr>
      <w:r>
        <w:rPr>
          <w:sz w:val="24"/>
          <w:szCs w:val="24"/>
        </w:rPr>
        <w:t>9.1</w:t>
      </w:r>
      <w:r>
        <w:rPr>
          <w:rFonts w:hint="eastAsia" w:hAnsi="宋体"/>
          <w:sz w:val="24"/>
          <w:szCs w:val="24"/>
        </w:rPr>
        <w:t>　设计联络会</w:t>
      </w:r>
    </w:p>
    <w:p>
      <w:pPr>
        <w:topLinePunct/>
        <w:adjustRightInd w:val="0"/>
        <w:snapToGrid w:val="0"/>
        <w:spacing w:line="360" w:lineRule="auto"/>
        <w:ind w:firstLine="480" w:firstLineChars="200"/>
        <w:rPr>
          <w:kern w:val="0"/>
          <w:sz w:val="24"/>
          <w:szCs w:val="24"/>
        </w:rPr>
      </w:pPr>
      <w:r>
        <w:rPr>
          <w:kern w:val="0"/>
          <w:sz w:val="24"/>
          <w:szCs w:val="24"/>
        </w:rPr>
        <w:t>a</w:t>
      </w:r>
      <w:r>
        <w:rPr>
          <w:rFonts w:hint="eastAsia" w:hAnsi="宋体"/>
          <w:kern w:val="0"/>
          <w:sz w:val="24"/>
          <w:szCs w:val="24"/>
        </w:rPr>
        <w:t>）</w:t>
      </w:r>
      <w:r>
        <w:rPr>
          <w:kern w:val="0"/>
          <w:sz w:val="24"/>
          <w:szCs w:val="24"/>
        </w:rPr>
        <w:tab/>
      </w:r>
      <w:r>
        <w:rPr>
          <w:rFonts w:hint="eastAsia" w:hAnsi="宋体"/>
          <w:kern w:val="0"/>
          <w:sz w:val="24"/>
          <w:szCs w:val="24"/>
        </w:rPr>
        <w:t>为了审查和确认卖方的系统设计方案和设备配置方案，协调有关的设计接口工作，卖方与买方应召开设计联络会。合同生效后</w:t>
      </w:r>
      <w:r>
        <w:rPr>
          <w:kern w:val="0"/>
          <w:sz w:val="24"/>
          <w:szCs w:val="24"/>
        </w:rPr>
        <w:t>1</w:t>
      </w:r>
      <w:r>
        <w:rPr>
          <w:rFonts w:hint="eastAsia" w:hAnsi="宋体"/>
          <w:kern w:val="0"/>
          <w:sz w:val="24"/>
          <w:szCs w:val="24"/>
        </w:rPr>
        <w:t>周内卖方应向买方人提交建议的设计联络会日程安排。</w:t>
      </w:r>
    </w:p>
    <w:p>
      <w:pPr>
        <w:topLinePunct/>
        <w:adjustRightInd w:val="0"/>
        <w:snapToGrid w:val="0"/>
        <w:spacing w:line="360" w:lineRule="auto"/>
        <w:ind w:firstLine="480" w:firstLineChars="200"/>
        <w:rPr>
          <w:kern w:val="0"/>
          <w:sz w:val="24"/>
          <w:szCs w:val="24"/>
        </w:rPr>
      </w:pPr>
      <w:r>
        <w:rPr>
          <w:kern w:val="0"/>
          <w:sz w:val="24"/>
          <w:szCs w:val="24"/>
        </w:rPr>
        <w:t>b</w:t>
      </w:r>
      <w:r>
        <w:rPr>
          <w:rFonts w:hint="eastAsia" w:hAnsi="宋体"/>
          <w:kern w:val="0"/>
          <w:sz w:val="24"/>
          <w:szCs w:val="24"/>
        </w:rPr>
        <w:t>）</w:t>
      </w:r>
      <w:r>
        <w:rPr>
          <w:kern w:val="0"/>
          <w:sz w:val="24"/>
          <w:szCs w:val="24"/>
        </w:rPr>
        <w:tab/>
      </w:r>
      <w:r>
        <w:rPr>
          <w:rFonts w:hint="eastAsia" w:hAnsi="宋体"/>
          <w:kern w:val="0"/>
          <w:sz w:val="24"/>
          <w:szCs w:val="24"/>
        </w:rPr>
        <w:t>设计联络会的具体时间、地点、会议内容将在合同谈判中由双方商定。</w:t>
      </w:r>
    </w:p>
    <w:p>
      <w:pPr>
        <w:topLinePunct/>
        <w:adjustRightInd w:val="0"/>
        <w:snapToGrid w:val="0"/>
        <w:spacing w:line="360" w:lineRule="auto"/>
        <w:ind w:firstLine="480" w:firstLineChars="200"/>
        <w:rPr>
          <w:kern w:val="0"/>
          <w:sz w:val="24"/>
          <w:szCs w:val="24"/>
        </w:rPr>
      </w:pPr>
      <w:r>
        <w:rPr>
          <w:kern w:val="0"/>
          <w:sz w:val="24"/>
          <w:szCs w:val="24"/>
        </w:rPr>
        <w:t>c</w:t>
      </w:r>
      <w:r>
        <w:rPr>
          <w:rFonts w:hint="eastAsia" w:hAnsi="宋体"/>
          <w:kern w:val="0"/>
          <w:sz w:val="24"/>
          <w:szCs w:val="24"/>
        </w:rPr>
        <w:t>）</w:t>
      </w:r>
      <w:r>
        <w:rPr>
          <w:kern w:val="0"/>
          <w:sz w:val="24"/>
          <w:szCs w:val="24"/>
        </w:rPr>
        <w:tab/>
      </w:r>
      <w:r>
        <w:rPr>
          <w:rFonts w:hint="eastAsia" w:hAnsi="宋体"/>
          <w:kern w:val="0"/>
          <w:sz w:val="24"/>
          <w:szCs w:val="24"/>
        </w:rPr>
        <w:t>除了合同规定的设计联络会外，在合同执行期间如遇重要事宜需双方研究和讨论，经双方同意可另召开联络会议解决。</w:t>
      </w:r>
    </w:p>
    <w:p>
      <w:pPr>
        <w:topLinePunct/>
        <w:adjustRightInd w:val="0"/>
        <w:snapToGrid w:val="0"/>
        <w:spacing w:line="360" w:lineRule="auto"/>
        <w:ind w:firstLine="480" w:firstLineChars="200"/>
        <w:rPr>
          <w:kern w:val="0"/>
          <w:sz w:val="24"/>
          <w:szCs w:val="24"/>
        </w:rPr>
      </w:pPr>
      <w:r>
        <w:rPr>
          <w:kern w:val="0"/>
          <w:sz w:val="24"/>
          <w:szCs w:val="24"/>
        </w:rPr>
        <w:t>d</w:t>
      </w:r>
      <w:r>
        <w:rPr>
          <w:rFonts w:hint="eastAsia" w:hAnsi="宋体"/>
          <w:kern w:val="0"/>
          <w:sz w:val="24"/>
          <w:szCs w:val="24"/>
        </w:rPr>
        <w:t>）</w:t>
      </w:r>
      <w:r>
        <w:rPr>
          <w:kern w:val="0"/>
          <w:sz w:val="24"/>
          <w:szCs w:val="24"/>
        </w:rPr>
        <w:tab/>
      </w:r>
      <w:r>
        <w:rPr>
          <w:rFonts w:hint="eastAsia" w:hAnsi="宋体"/>
          <w:kern w:val="0"/>
          <w:sz w:val="24"/>
          <w:szCs w:val="24"/>
        </w:rPr>
        <w:t>设计联络会双方均应签署会议纪要，该纪要应作为合同的组成部分。</w:t>
      </w:r>
    </w:p>
    <w:p>
      <w:pPr>
        <w:topLinePunct/>
        <w:adjustRightInd w:val="0"/>
        <w:snapToGrid w:val="0"/>
        <w:spacing w:line="360" w:lineRule="auto"/>
        <w:ind w:firstLine="480" w:firstLineChars="200"/>
        <w:rPr>
          <w:kern w:val="0"/>
          <w:sz w:val="24"/>
          <w:szCs w:val="24"/>
        </w:rPr>
      </w:pPr>
      <w:r>
        <w:rPr>
          <w:kern w:val="0"/>
          <w:sz w:val="24"/>
          <w:szCs w:val="24"/>
        </w:rPr>
        <w:t>e</w:t>
      </w:r>
      <w:r>
        <w:rPr>
          <w:rFonts w:hint="eastAsia" w:hAnsi="宋体"/>
          <w:kern w:val="0"/>
          <w:sz w:val="24"/>
          <w:szCs w:val="24"/>
        </w:rPr>
        <w:t>）</w:t>
      </w:r>
      <w:r>
        <w:rPr>
          <w:kern w:val="0"/>
          <w:sz w:val="24"/>
          <w:szCs w:val="24"/>
        </w:rPr>
        <w:tab/>
      </w:r>
      <w:r>
        <w:rPr>
          <w:rFonts w:hint="eastAsia" w:hAnsi="宋体"/>
          <w:kern w:val="0"/>
          <w:sz w:val="24"/>
          <w:szCs w:val="24"/>
        </w:rPr>
        <w:t>设计联络会的费用由卖方承担，并包含在投标报价中。</w:t>
      </w:r>
    </w:p>
    <w:p>
      <w:pPr>
        <w:pStyle w:val="16"/>
        <w:adjustRightInd w:val="0"/>
        <w:snapToGrid w:val="0"/>
        <w:spacing w:line="360" w:lineRule="auto"/>
        <w:rPr>
          <w:rFonts w:ascii="Times New Roman" w:eastAsia="宋体"/>
          <w:color w:val="auto"/>
          <w:sz w:val="24"/>
          <w:szCs w:val="24"/>
        </w:rPr>
      </w:pPr>
      <w:r>
        <w:rPr>
          <w:rFonts w:ascii="Times New Roman" w:eastAsia="宋体"/>
          <w:color w:val="auto"/>
          <w:sz w:val="24"/>
          <w:szCs w:val="24"/>
        </w:rPr>
        <w:t>9.2</w:t>
      </w:r>
      <w:r>
        <w:rPr>
          <w:rFonts w:hint="eastAsia" w:ascii="Times New Roman" w:hAnsi="宋体" w:eastAsia="宋体"/>
          <w:color w:val="auto"/>
          <w:sz w:val="24"/>
          <w:szCs w:val="24"/>
        </w:rPr>
        <w:t>　培训</w:t>
      </w:r>
    </w:p>
    <w:p>
      <w:pPr>
        <w:topLinePunct/>
        <w:adjustRightInd w:val="0"/>
        <w:snapToGrid w:val="0"/>
        <w:spacing w:line="360" w:lineRule="auto"/>
        <w:rPr>
          <w:sz w:val="24"/>
          <w:szCs w:val="24"/>
        </w:rPr>
      </w:pPr>
      <w:r>
        <w:rPr>
          <w:sz w:val="24"/>
          <w:szCs w:val="24"/>
        </w:rPr>
        <w:t>9.2.1</w:t>
      </w:r>
      <w:r>
        <w:rPr>
          <w:rFonts w:hint="eastAsia" w:hAnsi="宋体"/>
          <w:sz w:val="24"/>
          <w:szCs w:val="24"/>
        </w:rPr>
        <w:t>　卖方负责对买方工程师进行培训，通过培训，买方工程师应具备保证系统正常运行、进行一般的系统维护及进一步开发的能力。</w:t>
      </w:r>
    </w:p>
    <w:p>
      <w:pPr>
        <w:topLinePunct/>
        <w:adjustRightInd w:val="0"/>
        <w:snapToGrid w:val="0"/>
        <w:spacing w:line="360" w:lineRule="auto"/>
        <w:rPr>
          <w:sz w:val="24"/>
          <w:szCs w:val="24"/>
        </w:rPr>
      </w:pPr>
      <w:r>
        <w:rPr>
          <w:sz w:val="24"/>
          <w:szCs w:val="24"/>
        </w:rPr>
        <w:t>9.2.2</w:t>
      </w:r>
      <w:r>
        <w:rPr>
          <w:rFonts w:hint="eastAsia" w:hAnsi="宋体"/>
          <w:sz w:val="24"/>
          <w:szCs w:val="24"/>
        </w:rPr>
        <w:t>　卖方应向买方培训人员提供技术文件、图纸、参考资料等培训资料。并提供试验仪器、工具、安全保护用品及其他必需品和工作场地。</w:t>
      </w:r>
    </w:p>
    <w:p>
      <w:pPr>
        <w:topLinePunct/>
        <w:adjustRightInd w:val="0"/>
        <w:snapToGrid w:val="0"/>
        <w:spacing w:line="360" w:lineRule="auto"/>
        <w:rPr>
          <w:sz w:val="24"/>
          <w:szCs w:val="24"/>
        </w:rPr>
      </w:pPr>
      <w:r>
        <w:rPr>
          <w:sz w:val="24"/>
          <w:szCs w:val="24"/>
        </w:rPr>
        <w:t>9.2.3</w:t>
      </w:r>
      <w:r>
        <w:rPr>
          <w:rFonts w:hint="eastAsia" w:hAnsi="宋体"/>
          <w:sz w:val="24"/>
          <w:szCs w:val="24"/>
        </w:rPr>
        <w:t>　为了使培训者学到更多的内容，卖方应提出培训计划（包括培训地点、培训内容、培训方式、课程时间、培训人数等），并与买方在第一次设联会上商定。</w:t>
      </w:r>
    </w:p>
    <w:p>
      <w:pPr>
        <w:topLinePunct/>
        <w:adjustRightInd w:val="0"/>
        <w:snapToGrid w:val="0"/>
        <w:spacing w:line="360" w:lineRule="auto"/>
        <w:rPr>
          <w:rFonts w:hAnsi="宋体"/>
          <w:sz w:val="24"/>
          <w:szCs w:val="24"/>
        </w:rPr>
      </w:pPr>
      <w:r>
        <w:rPr>
          <w:sz w:val="24"/>
          <w:szCs w:val="24"/>
        </w:rPr>
        <w:t>9.2.4</w:t>
      </w:r>
      <w:r>
        <w:rPr>
          <w:rFonts w:hint="eastAsia" w:hAnsi="宋体"/>
          <w:sz w:val="24"/>
          <w:szCs w:val="24"/>
        </w:rPr>
        <w:t>　培训费用由卖方承担，并包含在投标报价中。</w:t>
      </w:r>
    </w:p>
    <w:p>
      <w:pPr>
        <w:topLinePunct/>
        <w:adjustRightInd w:val="0"/>
        <w:snapToGrid w:val="0"/>
        <w:spacing w:line="360" w:lineRule="auto"/>
        <w:rPr>
          <w:b/>
          <w:sz w:val="52"/>
        </w:rPr>
      </w:pPr>
      <w:r>
        <w:rPr>
          <w:rFonts w:hAnsi="宋体"/>
          <w:sz w:val="24"/>
          <w:szCs w:val="24"/>
        </w:rPr>
        <w:br w:type="page"/>
      </w:r>
      <w:r>
        <w:drawing>
          <wp:inline distT="0" distB="0" distL="114300" distR="114300">
            <wp:extent cx="3420745" cy="751840"/>
            <wp:effectExtent l="0" t="0" r="8255" b="10160"/>
            <wp:docPr id="2" name="图片 4" descr="标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descr="标志"/>
                    <pic:cNvPicPr>
                      <a:picLocks noChangeAspect="1"/>
                    </pic:cNvPicPr>
                  </pic:nvPicPr>
                  <pic:blipFill>
                    <a:blip r:embed="rId9"/>
                    <a:srcRect l="3616" t="6909" r="4263" b="7132"/>
                    <a:stretch>
                      <a:fillRect/>
                    </a:stretch>
                  </pic:blipFill>
                  <pic:spPr>
                    <a:xfrm>
                      <a:off x="0" y="0"/>
                      <a:ext cx="3420745" cy="751840"/>
                    </a:xfrm>
                    <a:prstGeom prst="rect">
                      <a:avLst/>
                    </a:prstGeom>
                    <a:noFill/>
                    <a:ln>
                      <a:noFill/>
                    </a:ln>
                  </pic:spPr>
                </pic:pic>
              </a:graphicData>
            </a:graphic>
          </wp:inline>
        </w:drawing>
      </w:r>
    </w:p>
    <w:p>
      <w:pPr>
        <w:spacing w:line="360" w:lineRule="auto"/>
        <w:rPr>
          <w:rFonts w:ascii="宋体" w:hAnsi="宋体"/>
          <w:b/>
          <w:sz w:val="52"/>
        </w:rPr>
      </w:pPr>
    </w:p>
    <w:p>
      <w:pPr>
        <w:spacing w:line="360" w:lineRule="auto"/>
        <w:rPr>
          <w:rFonts w:ascii="宋体" w:hAnsi="宋体"/>
          <w:b/>
          <w:sz w:val="52"/>
        </w:rPr>
      </w:pPr>
    </w:p>
    <w:p>
      <w:pPr>
        <w:spacing w:line="360" w:lineRule="auto"/>
        <w:rPr>
          <w:rFonts w:ascii="宋体" w:hAnsi="宋体"/>
          <w:b/>
          <w:sz w:val="52"/>
        </w:rPr>
      </w:pPr>
    </w:p>
    <w:p>
      <w:pPr>
        <w:spacing w:line="480" w:lineRule="auto"/>
        <w:jc w:val="center"/>
        <w:rPr>
          <w:rFonts w:ascii="宋体" w:hAnsi="宋体"/>
          <w:b/>
          <w:color w:val="000000"/>
          <w:sz w:val="48"/>
          <w:szCs w:val="48"/>
        </w:rPr>
      </w:pPr>
      <w:r>
        <w:rPr>
          <w:rFonts w:hint="eastAsia" w:ascii="宋体" w:hAnsi="宋体"/>
          <w:b/>
          <w:color w:val="000000"/>
          <w:sz w:val="48"/>
          <w:szCs w:val="48"/>
        </w:rPr>
        <w:t>内蒙古电力(集团)有限责任公司</w:t>
      </w:r>
    </w:p>
    <w:p>
      <w:pPr>
        <w:spacing w:line="480" w:lineRule="auto"/>
        <w:jc w:val="center"/>
        <w:rPr>
          <w:rFonts w:ascii="宋体" w:hAnsi="宋体"/>
          <w:b/>
          <w:color w:val="000000"/>
          <w:sz w:val="48"/>
          <w:szCs w:val="48"/>
        </w:rPr>
      </w:pPr>
      <w:r>
        <w:rPr>
          <w:rFonts w:hint="eastAsia" w:ascii="宋体" w:hAnsi="宋体"/>
          <w:b/>
          <w:color w:val="000000"/>
          <w:sz w:val="48"/>
          <w:szCs w:val="48"/>
        </w:rPr>
        <w:t>阿拉善供电公司</w:t>
      </w:r>
    </w:p>
    <w:p>
      <w:pPr>
        <w:spacing w:line="480" w:lineRule="auto"/>
        <w:jc w:val="center"/>
        <w:rPr>
          <w:rFonts w:ascii="宋体" w:hAnsi="宋体"/>
          <w:b/>
          <w:color w:val="000000"/>
          <w:sz w:val="48"/>
          <w:szCs w:val="48"/>
        </w:rPr>
      </w:pPr>
      <w:r>
        <w:rPr>
          <w:rFonts w:hint="eastAsia" w:ascii="宋体" w:hAnsi="宋体"/>
          <w:b/>
          <w:color w:val="000000"/>
          <w:sz w:val="48"/>
          <w:szCs w:val="48"/>
        </w:rPr>
        <w:t>2022年信息技改项目</w:t>
      </w:r>
    </w:p>
    <w:p>
      <w:pPr>
        <w:spacing w:line="480" w:lineRule="auto"/>
        <w:jc w:val="center"/>
        <w:rPr>
          <w:rFonts w:ascii="宋体" w:hAnsi="宋体"/>
          <w:b/>
          <w:color w:val="000000"/>
          <w:sz w:val="48"/>
          <w:szCs w:val="48"/>
        </w:rPr>
      </w:pPr>
      <w:r>
        <w:rPr>
          <w:rFonts w:hint="eastAsia" w:ascii="宋体" w:hAnsi="宋体"/>
          <w:b/>
          <w:color w:val="000000"/>
          <w:sz w:val="48"/>
          <w:szCs w:val="48"/>
        </w:rPr>
        <w:t>阿拉善供电公司阿右旗供电分公司信息机房双设备改造</w:t>
      </w:r>
    </w:p>
    <w:p>
      <w:pPr>
        <w:spacing w:line="480" w:lineRule="auto"/>
        <w:jc w:val="center"/>
        <w:rPr>
          <w:rFonts w:ascii="宋体" w:hAnsi="宋体"/>
          <w:b/>
          <w:color w:val="000000"/>
          <w:sz w:val="48"/>
          <w:szCs w:val="48"/>
        </w:rPr>
      </w:pPr>
      <w:r>
        <w:rPr>
          <w:rFonts w:hint="eastAsia" w:ascii="宋体" w:hAnsi="宋体"/>
          <w:b/>
          <w:color w:val="000000"/>
          <w:sz w:val="48"/>
          <w:szCs w:val="48"/>
        </w:rPr>
        <w:t>路由器专用技术规范</w:t>
      </w:r>
    </w:p>
    <w:p>
      <w:pPr>
        <w:adjustRightInd w:val="0"/>
        <w:snapToGrid w:val="0"/>
        <w:spacing w:line="360" w:lineRule="auto"/>
        <w:jc w:val="center"/>
        <w:rPr>
          <w:rFonts w:hAnsi="宋体"/>
          <w:b/>
          <w:sz w:val="42"/>
          <w:lang w:val="zh-CN"/>
        </w:rPr>
      </w:pPr>
    </w:p>
    <w:p>
      <w:pPr>
        <w:adjustRightInd w:val="0"/>
        <w:snapToGrid w:val="0"/>
        <w:spacing w:line="360" w:lineRule="auto"/>
        <w:jc w:val="center"/>
        <w:rPr>
          <w:rFonts w:hAnsi="宋体"/>
          <w:b/>
          <w:sz w:val="44"/>
          <w:lang w:val="zh-CN"/>
        </w:rPr>
      </w:pPr>
    </w:p>
    <w:p>
      <w:pPr>
        <w:spacing w:line="360" w:lineRule="auto"/>
        <w:ind w:firstLine="22" w:firstLineChars="5"/>
        <w:rPr>
          <w:b/>
          <w:sz w:val="44"/>
        </w:rPr>
      </w:pPr>
    </w:p>
    <w:p>
      <w:pPr>
        <w:ind w:firstLine="24" w:firstLineChars="5"/>
        <w:jc w:val="center"/>
        <w:rPr>
          <w:b/>
          <w:sz w:val="48"/>
        </w:rPr>
      </w:pPr>
    </w:p>
    <w:p>
      <w:pPr>
        <w:ind w:firstLine="22" w:firstLineChars="4"/>
        <w:jc w:val="center"/>
        <w:rPr>
          <w:rFonts w:eastAsia="方正小标宋简体"/>
          <w:spacing w:val="40"/>
          <w:sz w:val="48"/>
          <w:szCs w:val="48"/>
        </w:rPr>
      </w:pPr>
    </w:p>
    <w:p>
      <w:pPr>
        <w:spacing w:line="360" w:lineRule="auto"/>
        <w:ind w:firstLine="26" w:firstLineChars="5"/>
        <w:jc w:val="center"/>
        <w:rPr>
          <w:b/>
          <w:sz w:val="52"/>
        </w:rPr>
      </w:pPr>
    </w:p>
    <w:p>
      <w:pPr>
        <w:spacing w:line="360" w:lineRule="auto"/>
        <w:ind w:firstLine="18" w:firstLineChars="5"/>
        <w:jc w:val="center"/>
        <w:rPr>
          <w:rFonts w:hAnsi="宋体"/>
          <w:b/>
          <w:sz w:val="36"/>
          <w:szCs w:val="36"/>
        </w:rPr>
      </w:pPr>
      <w:r>
        <w:rPr>
          <w:rFonts w:hint="eastAsia" w:hAnsi="宋体"/>
          <w:b/>
          <w:sz w:val="36"/>
          <w:szCs w:val="36"/>
        </w:rPr>
        <w:t>内蒙古威信通电力通信工程设计有限公司</w:t>
      </w:r>
    </w:p>
    <w:p>
      <w:pPr>
        <w:spacing w:line="360" w:lineRule="auto"/>
        <w:ind w:firstLine="18" w:firstLineChars="5"/>
        <w:jc w:val="center"/>
        <w:rPr>
          <w:rFonts w:hAnsi="宋体"/>
          <w:b/>
          <w:sz w:val="36"/>
          <w:szCs w:val="36"/>
        </w:rPr>
      </w:pPr>
      <w:r>
        <w:rPr>
          <w:b/>
          <w:sz w:val="36"/>
          <w:szCs w:val="36"/>
        </w:rPr>
        <w:t>20</w:t>
      </w:r>
      <w:r>
        <w:rPr>
          <w:rFonts w:hint="eastAsia"/>
          <w:b/>
          <w:sz w:val="36"/>
          <w:szCs w:val="36"/>
        </w:rPr>
        <w:t>22</w:t>
      </w:r>
      <w:r>
        <w:rPr>
          <w:rFonts w:hint="eastAsia" w:hAnsi="宋体"/>
          <w:b/>
          <w:sz w:val="36"/>
          <w:szCs w:val="36"/>
        </w:rPr>
        <w:t>年</w:t>
      </w:r>
      <w:r>
        <w:rPr>
          <w:rFonts w:hint="eastAsia"/>
          <w:b/>
          <w:sz w:val="36"/>
          <w:szCs w:val="36"/>
        </w:rPr>
        <w:t>4</w:t>
      </w:r>
      <w:r>
        <w:rPr>
          <w:rFonts w:hint="eastAsia" w:hAnsi="宋体"/>
          <w:b/>
          <w:sz w:val="36"/>
          <w:szCs w:val="36"/>
        </w:rPr>
        <w:t>月</w:t>
      </w:r>
    </w:p>
    <w:p>
      <w:pPr>
        <w:spacing w:line="360" w:lineRule="auto"/>
        <w:ind w:firstLine="18" w:firstLineChars="5"/>
        <w:jc w:val="center"/>
        <w:rPr>
          <w:rFonts w:hAnsi="宋体"/>
          <w:b/>
          <w:sz w:val="36"/>
          <w:szCs w:val="36"/>
        </w:rPr>
        <w:sectPr>
          <w:footerReference r:id="rId4" w:type="default"/>
          <w:footerReference r:id="rId5" w:type="even"/>
          <w:pgSz w:w="11907" w:h="16840"/>
          <w:pgMar w:top="1474" w:right="1418" w:bottom="1418" w:left="1418" w:header="1021" w:footer="1021" w:gutter="0"/>
          <w:pgNumType w:start="1"/>
          <w:cols w:space="720" w:num="1"/>
          <w:docGrid w:type="linesAndChars" w:linePitch="312" w:charSpace="0"/>
        </w:sectPr>
      </w:pPr>
    </w:p>
    <w:p/>
    <w:p>
      <w:pPr>
        <w:jc w:val="center"/>
        <w:rPr>
          <w:rFonts w:ascii="宋体"/>
          <w:b/>
          <w:sz w:val="28"/>
          <w:szCs w:val="28"/>
        </w:rPr>
      </w:pPr>
      <w:r>
        <w:rPr>
          <w:rFonts w:hint="eastAsia" w:ascii="宋体"/>
          <w:b/>
          <w:sz w:val="28"/>
          <w:szCs w:val="28"/>
        </w:rPr>
        <w:t>目    录</w:t>
      </w:r>
    </w:p>
    <w:p>
      <w:pPr>
        <w:adjustRightInd w:val="0"/>
        <w:snapToGrid w:val="0"/>
        <w:spacing w:line="360" w:lineRule="auto"/>
        <w:jc w:val="center"/>
        <w:rPr>
          <w:rFonts w:ascii="宋体"/>
          <w:sz w:val="24"/>
          <w:szCs w:val="24"/>
        </w:rPr>
      </w:pPr>
    </w:p>
    <w:p>
      <w:pPr>
        <w:pStyle w:val="8"/>
        <w:tabs>
          <w:tab w:val="right" w:leader="dot" w:pos="9061"/>
        </w:tabs>
        <w:adjustRightInd w:val="0"/>
        <w:snapToGrid w:val="0"/>
        <w:spacing w:before="0" w:after="0" w:line="360" w:lineRule="auto"/>
        <w:rPr>
          <w:b w:val="0"/>
          <w:bCs w:val="0"/>
          <w:caps w:val="0"/>
          <w:sz w:val="24"/>
          <w:szCs w:val="24"/>
        </w:rPr>
      </w:pPr>
      <w:r>
        <w:rPr>
          <w:rFonts w:ascii="宋体" w:hAnsi="宋体"/>
          <w:b w:val="0"/>
          <w:sz w:val="24"/>
          <w:szCs w:val="24"/>
        </w:rPr>
        <w:fldChar w:fldCharType="begin"/>
      </w:r>
      <w:r>
        <w:rPr>
          <w:rFonts w:ascii="宋体" w:hAnsi="宋体"/>
          <w:b w:val="0"/>
          <w:sz w:val="24"/>
          <w:szCs w:val="24"/>
        </w:rPr>
        <w:instrText xml:space="preserve"> </w:instrText>
      </w:r>
      <w:r>
        <w:rPr>
          <w:rFonts w:hint="eastAsia" w:ascii="宋体" w:hAnsi="宋体"/>
          <w:b w:val="0"/>
          <w:sz w:val="24"/>
          <w:szCs w:val="24"/>
        </w:rPr>
        <w:instrText xml:space="preserve">TOC \o "1-1" \h \z \u</w:instrText>
      </w:r>
      <w:r>
        <w:rPr>
          <w:rFonts w:ascii="宋体" w:hAnsi="宋体"/>
          <w:b w:val="0"/>
          <w:sz w:val="24"/>
          <w:szCs w:val="24"/>
        </w:rPr>
        <w:instrText xml:space="preserve"> </w:instrText>
      </w:r>
      <w:r>
        <w:rPr>
          <w:rFonts w:ascii="宋体" w:hAnsi="宋体"/>
          <w:b w:val="0"/>
          <w:sz w:val="24"/>
          <w:szCs w:val="24"/>
        </w:rPr>
        <w:fldChar w:fldCharType="separate"/>
      </w:r>
      <w:r>
        <w:fldChar w:fldCharType="begin"/>
      </w:r>
      <w:r>
        <w:instrText xml:space="preserve"> HYPERLINK \l "_Toc345514942" </w:instrText>
      </w:r>
      <w:r>
        <w:fldChar w:fldCharType="separate"/>
      </w:r>
      <w:r>
        <w:rPr>
          <w:rStyle w:val="12"/>
          <w:b w:val="0"/>
          <w:snapToGrid w:val="0"/>
          <w:kern w:val="0"/>
          <w:sz w:val="24"/>
          <w:szCs w:val="24"/>
        </w:rPr>
        <w:t xml:space="preserve">1  </w:t>
      </w:r>
      <w:r>
        <w:rPr>
          <w:rStyle w:val="12"/>
          <w:rFonts w:hint="eastAsia" w:hAnsi="宋体"/>
          <w:b w:val="0"/>
          <w:snapToGrid w:val="0"/>
          <w:kern w:val="0"/>
          <w:sz w:val="24"/>
          <w:szCs w:val="24"/>
        </w:rPr>
        <w:t>标准技术参数</w:t>
      </w:r>
      <w:r>
        <w:rPr>
          <w:b w:val="0"/>
          <w:sz w:val="24"/>
          <w:szCs w:val="24"/>
        </w:rPr>
        <w:tab/>
      </w:r>
      <w:r>
        <w:rPr>
          <w:b w:val="0"/>
          <w:sz w:val="24"/>
          <w:szCs w:val="24"/>
        </w:rPr>
        <w:fldChar w:fldCharType="begin"/>
      </w:r>
      <w:r>
        <w:rPr>
          <w:b w:val="0"/>
          <w:sz w:val="24"/>
          <w:szCs w:val="24"/>
        </w:rPr>
        <w:instrText xml:space="preserve"> PAGEREF _Toc345514942 \h </w:instrText>
      </w:r>
      <w:r>
        <w:rPr>
          <w:b w:val="0"/>
          <w:sz w:val="24"/>
          <w:szCs w:val="24"/>
        </w:rPr>
        <w:fldChar w:fldCharType="separate"/>
      </w:r>
      <w:r>
        <w:rPr>
          <w:b w:val="0"/>
          <w:sz w:val="24"/>
          <w:szCs w:val="24"/>
        </w:rPr>
        <w:t>1</w:t>
      </w:r>
      <w:r>
        <w:rPr>
          <w:b w:val="0"/>
          <w:sz w:val="24"/>
          <w:szCs w:val="24"/>
        </w:rPr>
        <w:fldChar w:fldCharType="end"/>
      </w:r>
      <w:r>
        <w:rPr>
          <w:b w:val="0"/>
          <w:sz w:val="24"/>
          <w:szCs w:val="24"/>
        </w:rPr>
        <w:fldChar w:fldCharType="end"/>
      </w:r>
    </w:p>
    <w:p>
      <w:pPr>
        <w:pStyle w:val="8"/>
        <w:tabs>
          <w:tab w:val="right" w:leader="dot" w:pos="9061"/>
        </w:tabs>
        <w:adjustRightInd w:val="0"/>
        <w:snapToGrid w:val="0"/>
        <w:spacing w:before="0" w:after="0" w:line="360" w:lineRule="auto"/>
        <w:rPr>
          <w:b w:val="0"/>
          <w:bCs w:val="0"/>
          <w:caps w:val="0"/>
          <w:sz w:val="24"/>
          <w:szCs w:val="24"/>
        </w:rPr>
      </w:pPr>
      <w:r>
        <w:fldChar w:fldCharType="begin"/>
      </w:r>
      <w:r>
        <w:instrText xml:space="preserve"> HYPERLINK \l "_Toc345514943" </w:instrText>
      </w:r>
      <w:r>
        <w:fldChar w:fldCharType="separate"/>
      </w:r>
      <w:r>
        <w:rPr>
          <w:rStyle w:val="12"/>
          <w:b w:val="0"/>
          <w:snapToGrid w:val="0"/>
          <w:kern w:val="0"/>
          <w:sz w:val="24"/>
          <w:szCs w:val="24"/>
        </w:rPr>
        <w:t xml:space="preserve">2  </w:t>
      </w:r>
      <w:r>
        <w:rPr>
          <w:rStyle w:val="12"/>
          <w:rFonts w:hint="eastAsia" w:hAnsi="宋体"/>
          <w:b w:val="0"/>
          <w:snapToGrid w:val="0"/>
          <w:kern w:val="0"/>
          <w:sz w:val="24"/>
          <w:szCs w:val="24"/>
        </w:rPr>
        <w:t>项目需求部分</w:t>
      </w:r>
      <w:r>
        <w:rPr>
          <w:b w:val="0"/>
          <w:sz w:val="24"/>
          <w:szCs w:val="24"/>
        </w:rPr>
        <w:tab/>
      </w:r>
      <w:r>
        <w:rPr>
          <w:b w:val="0"/>
          <w:sz w:val="24"/>
          <w:szCs w:val="24"/>
        </w:rPr>
        <w:fldChar w:fldCharType="begin"/>
      </w:r>
      <w:r>
        <w:rPr>
          <w:b w:val="0"/>
          <w:sz w:val="24"/>
          <w:szCs w:val="24"/>
        </w:rPr>
        <w:instrText xml:space="preserve"> PAGEREF _Toc345514943 \h </w:instrText>
      </w:r>
      <w:r>
        <w:rPr>
          <w:b w:val="0"/>
          <w:sz w:val="24"/>
          <w:szCs w:val="24"/>
        </w:rPr>
        <w:fldChar w:fldCharType="separate"/>
      </w:r>
      <w:r>
        <w:rPr>
          <w:b w:val="0"/>
          <w:sz w:val="24"/>
          <w:szCs w:val="24"/>
        </w:rPr>
        <w:t>3</w:t>
      </w:r>
      <w:r>
        <w:rPr>
          <w:b w:val="0"/>
          <w:sz w:val="24"/>
          <w:szCs w:val="24"/>
        </w:rPr>
        <w:fldChar w:fldCharType="end"/>
      </w:r>
      <w:r>
        <w:rPr>
          <w:b w:val="0"/>
          <w:sz w:val="24"/>
          <w:szCs w:val="24"/>
        </w:rPr>
        <w:fldChar w:fldCharType="end"/>
      </w:r>
    </w:p>
    <w:p>
      <w:pPr>
        <w:pStyle w:val="8"/>
        <w:tabs>
          <w:tab w:val="right" w:leader="dot" w:pos="9061"/>
        </w:tabs>
        <w:adjustRightInd w:val="0"/>
        <w:snapToGrid w:val="0"/>
        <w:spacing w:before="0" w:after="0" w:line="360" w:lineRule="auto"/>
        <w:rPr>
          <w:b w:val="0"/>
          <w:bCs w:val="0"/>
          <w:caps w:val="0"/>
          <w:sz w:val="24"/>
          <w:szCs w:val="24"/>
        </w:rPr>
      </w:pPr>
      <w:r>
        <w:fldChar w:fldCharType="begin"/>
      </w:r>
      <w:r>
        <w:instrText xml:space="preserve"> HYPERLINK \l "_Toc345514950" </w:instrText>
      </w:r>
      <w:r>
        <w:fldChar w:fldCharType="separate"/>
      </w:r>
      <w:r>
        <w:rPr>
          <w:rStyle w:val="12"/>
          <w:b w:val="0"/>
          <w:snapToGrid w:val="0"/>
          <w:kern w:val="0"/>
          <w:sz w:val="24"/>
          <w:szCs w:val="24"/>
        </w:rPr>
        <w:t xml:space="preserve">3  </w:t>
      </w:r>
      <w:r>
        <w:rPr>
          <w:rStyle w:val="12"/>
          <w:rFonts w:hint="eastAsia" w:hAnsi="宋体"/>
          <w:b w:val="0"/>
          <w:snapToGrid w:val="0"/>
          <w:kern w:val="0"/>
          <w:sz w:val="24"/>
          <w:szCs w:val="24"/>
        </w:rPr>
        <w:t>投标人响应部分</w:t>
      </w:r>
      <w:r>
        <w:rPr>
          <w:b w:val="0"/>
          <w:sz w:val="24"/>
          <w:szCs w:val="24"/>
        </w:rPr>
        <w:tab/>
      </w:r>
      <w:r>
        <w:rPr>
          <w:b w:val="0"/>
          <w:sz w:val="24"/>
          <w:szCs w:val="24"/>
        </w:rPr>
        <w:fldChar w:fldCharType="begin"/>
      </w:r>
      <w:r>
        <w:rPr>
          <w:b w:val="0"/>
          <w:sz w:val="24"/>
          <w:szCs w:val="24"/>
        </w:rPr>
        <w:instrText xml:space="preserve"> PAGEREF _Toc345514950 \h </w:instrText>
      </w:r>
      <w:r>
        <w:rPr>
          <w:b w:val="0"/>
          <w:sz w:val="24"/>
          <w:szCs w:val="24"/>
        </w:rPr>
        <w:fldChar w:fldCharType="separate"/>
      </w:r>
      <w:r>
        <w:rPr>
          <w:b w:val="0"/>
          <w:sz w:val="24"/>
          <w:szCs w:val="24"/>
        </w:rPr>
        <w:t>5</w:t>
      </w:r>
      <w:r>
        <w:rPr>
          <w:b w:val="0"/>
          <w:sz w:val="24"/>
          <w:szCs w:val="24"/>
        </w:rPr>
        <w:fldChar w:fldCharType="end"/>
      </w:r>
      <w:r>
        <w:rPr>
          <w:b w:val="0"/>
          <w:sz w:val="24"/>
          <w:szCs w:val="24"/>
        </w:rPr>
        <w:fldChar w:fldCharType="end"/>
      </w:r>
    </w:p>
    <w:p>
      <w:pPr>
        <w:adjustRightInd w:val="0"/>
        <w:snapToGrid w:val="0"/>
        <w:spacing w:line="360" w:lineRule="auto"/>
        <w:jc w:val="center"/>
        <w:rPr>
          <w:rFonts w:ascii="宋体" w:hAnsi="宋体"/>
          <w:szCs w:val="21"/>
        </w:rPr>
      </w:pPr>
      <w:r>
        <w:rPr>
          <w:rFonts w:ascii="宋体" w:hAnsi="宋体"/>
          <w:sz w:val="24"/>
          <w:szCs w:val="24"/>
        </w:rPr>
        <w:fldChar w:fldCharType="end"/>
      </w:r>
    </w:p>
    <w:p>
      <w:pPr>
        <w:pStyle w:val="8"/>
        <w:tabs>
          <w:tab w:val="right" w:leader="dot" w:pos="9175"/>
        </w:tabs>
        <w:spacing w:before="0" w:after="0"/>
        <w:rPr>
          <w:rStyle w:val="12"/>
          <w:color w:val="auto"/>
          <w:kern w:val="44"/>
          <w:u w:val="none"/>
        </w:rPr>
      </w:pPr>
      <w:r>
        <w:rPr>
          <w:rStyle w:val="12"/>
          <w:rFonts w:hint="eastAsia"/>
          <w:color w:val="auto"/>
          <w:kern w:val="44"/>
          <w:u w:val="none"/>
        </w:rPr>
        <w:t xml:space="preserve"> </w:t>
      </w:r>
    </w:p>
    <w:p>
      <w:pPr>
        <w:rPr>
          <w:rStyle w:val="12"/>
          <w:color w:val="auto"/>
          <w:kern w:val="44"/>
          <w:u w:val="none"/>
        </w:rPr>
        <w:sectPr>
          <w:pgSz w:w="11907" w:h="16840"/>
          <w:pgMar w:top="1474" w:right="1418" w:bottom="1418" w:left="1418" w:header="1021" w:footer="1021" w:gutter="0"/>
          <w:pgNumType w:start="1"/>
          <w:cols w:space="720" w:num="1"/>
          <w:docGrid w:type="linesAndChars" w:linePitch="312" w:charSpace="0"/>
        </w:sectPr>
      </w:pPr>
    </w:p>
    <w:p>
      <w:pPr>
        <w:pStyle w:val="2"/>
        <w:adjustRightInd w:val="0"/>
        <w:snapToGrid w:val="0"/>
        <w:spacing w:before="0" w:after="0" w:line="360" w:lineRule="auto"/>
        <w:rPr>
          <w:bCs/>
          <w:snapToGrid w:val="0"/>
          <w:kern w:val="0"/>
          <w:sz w:val="24"/>
          <w:szCs w:val="24"/>
        </w:rPr>
      </w:pPr>
      <w:bookmarkStart w:id="225" w:name="_Toc247536311"/>
      <w:bookmarkStart w:id="226" w:name="_Toc241652035"/>
      <w:bookmarkStart w:id="227" w:name="_Toc252539436"/>
      <w:bookmarkStart w:id="228" w:name="_Toc345514942"/>
      <w:bookmarkStart w:id="229" w:name="_Toc103766650"/>
      <w:r>
        <w:rPr>
          <w:bCs/>
          <w:snapToGrid w:val="0"/>
          <w:kern w:val="0"/>
          <w:sz w:val="24"/>
          <w:szCs w:val="24"/>
        </w:rPr>
        <w:t xml:space="preserve">1  </w:t>
      </w:r>
      <w:r>
        <w:rPr>
          <w:rFonts w:hAnsi="宋体"/>
          <w:bCs/>
          <w:snapToGrid w:val="0"/>
          <w:kern w:val="0"/>
          <w:sz w:val="24"/>
          <w:szCs w:val="24"/>
        </w:rPr>
        <w:t>标准技术参数</w:t>
      </w:r>
      <w:bookmarkEnd w:id="225"/>
      <w:bookmarkEnd w:id="226"/>
      <w:bookmarkEnd w:id="227"/>
      <w:bookmarkEnd w:id="228"/>
      <w:bookmarkEnd w:id="229"/>
    </w:p>
    <w:p>
      <w:pPr>
        <w:pStyle w:val="4"/>
        <w:adjustRightInd w:val="0"/>
        <w:snapToGrid w:val="0"/>
        <w:spacing w:line="360" w:lineRule="auto"/>
        <w:ind w:firstLine="480" w:firstLineChars="200"/>
        <w:rPr>
          <w:sz w:val="24"/>
          <w:szCs w:val="24"/>
        </w:rPr>
      </w:pPr>
      <w:r>
        <w:rPr>
          <w:rFonts w:hAnsi="宋体"/>
          <w:sz w:val="24"/>
          <w:szCs w:val="24"/>
        </w:rPr>
        <w:t>投标人应认真逐项填写标准技术参数表（见表</w:t>
      </w:r>
      <w:r>
        <w:rPr>
          <w:sz w:val="24"/>
          <w:szCs w:val="24"/>
        </w:rPr>
        <w:t>1</w:t>
      </w:r>
      <w:r>
        <w:rPr>
          <w:rFonts w:hAnsi="宋体"/>
          <w:sz w:val="24"/>
          <w:szCs w:val="24"/>
        </w:rPr>
        <w:t>、表</w:t>
      </w:r>
      <w:r>
        <w:rPr>
          <w:sz w:val="24"/>
          <w:szCs w:val="24"/>
        </w:rPr>
        <w:t>2</w:t>
      </w:r>
      <w:r>
        <w:rPr>
          <w:rFonts w:hAnsi="宋体"/>
          <w:sz w:val="24"/>
          <w:szCs w:val="24"/>
        </w:rPr>
        <w:t>、表</w:t>
      </w:r>
      <w:r>
        <w:rPr>
          <w:sz w:val="24"/>
          <w:szCs w:val="24"/>
        </w:rPr>
        <w:t>3</w:t>
      </w:r>
      <w:r>
        <w:rPr>
          <w:rFonts w:hAnsi="宋体"/>
          <w:sz w:val="24"/>
          <w:szCs w:val="24"/>
        </w:rPr>
        <w:t>）中投标人保证值，不能空格，也不能以</w:t>
      </w:r>
      <w:r>
        <w:rPr>
          <w:sz w:val="24"/>
          <w:szCs w:val="24"/>
        </w:rPr>
        <w:t>“</w:t>
      </w:r>
      <w:r>
        <w:rPr>
          <w:rFonts w:hAnsi="宋体"/>
          <w:sz w:val="24"/>
          <w:szCs w:val="24"/>
        </w:rPr>
        <w:t>响应</w:t>
      </w:r>
      <w:r>
        <w:rPr>
          <w:sz w:val="24"/>
          <w:szCs w:val="24"/>
        </w:rPr>
        <w:t>”</w:t>
      </w:r>
      <w:r>
        <w:rPr>
          <w:rFonts w:hAnsi="宋体"/>
          <w:sz w:val="24"/>
          <w:szCs w:val="24"/>
        </w:rPr>
        <w:t>两字代替，不允许改动招标人要求值。如有差异，</w:t>
      </w:r>
      <w:r>
        <w:rPr>
          <w:rFonts w:hAnsi="宋体"/>
          <w:color w:val="000000"/>
          <w:sz w:val="24"/>
          <w:szCs w:val="24"/>
        </w:rPr>
        <w:t>请填写表</w:t>
      </w:r>
      <w:r>
        <w:rPr>
          <w:color w:val="000000"/>
          <w:sz w:val="24"/>
          <w:szCs w:val="24"/>
        </w:rPr>
        <w:t>9</w:t>
      </w:r>
      <w:r>
        <w:rPr>
          <w:rFonts w:hAnsi="宋体"/>
          <w:color w:val="000000"/>
          <w:sz w:val="24"/>
          <w:szCs w:val="24"/>
        </w:rPr>
        <w:t>投标人技术偏差表。</w:t>
      </w:r>
    </w:p>
    <w:p>
      <w:pPr>
        <w:pStyle w:val="15"/>
        <w:adjustRightInd w:val="0"/>
        <w:snapToGrid w:val="0"/>
        <w:spacing w:before="0" w:after="0" w:line="360" w:lineRule="auto"/>
        <w:ind w:firstLine="480" w:firstLineChars="200"/>
        <w:rPr>
          <w:rFonts w:ascii="Times New Roman" w:eastAsia="宋体"/>
          <w:sz w:val="24"/>
          <w:szCs w:val="24"/>
        </w:rPr>
      </w:pPr>
      <w:r>
        <w:rPr>
          <w:rFonts w:ascii="Times New Roman" w:hAnsi="宋体" w:eastAsia="宋体"/>
          <w:sz w:val="24"/>
          <w:szCs w:val="24"/>
        </w:rPr>
        <w:t>表</w:t>
      </w:r>
      <w:r>
        <w:rPr>
          <w:rFonts w:ascii="Times New Roman" w:eastAsia="宋体"/>
          <w:sz w:val="24"/>
          <w:szCs w:val="24"/>
        </w:rPr>
        <w:t>1</w:t>
      </w:r>
      <w:r>
        <w:rPr>
          <w:rFonts w:ascii="Times New Roman" w:hAnsi="宋体" w:eastAsia="宋体"/>
          <w:sz w:val="24"/>
          <w:szCs w:val="24"/>
        </w:rPr>
        <w:t>　</w:t>
      </w:r>
      <w:r>
        <w:rPr>
          <w:rFonts w:hint="eastAsia" w:ascii="Times New Roman" w:hAnsi="宋体" w:eastAsia="宋体"/>
          <w:sz w:val="24"/>
          <w:szCs w:val="24"/>
        </w:rPr>
        <w:t xml:space="preserve">      </w:t>
      </w:r>
      <w:r>
        <w:rPr>
          <w:rFonts w:hint="eastAsia" w:ascii="Times New Roman" w:eastAsia="宋体"/>
          <w:sz w:val="24"/>
          <w:szCs w:val="24"/>
        </w:rPr>
        <w:t xml:space="preserve">   技术参数表</w:t>
      </w:r>
    </w:p>
    <w:tbl>
      <w:tblPr>
        <w:tblStyle w:val="9"/>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7"/>
        <w:gridCol w:w="1572"/>
        <w:gridCol w:w="5652"/>
        <w:gridCol w:w="1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trPr>
        <w:tc>
          <w:tcPr>
            <w:tcW w:w="408" w:type="pct"/>
            <w:shd w:val="clear" w:color="auto" w:fill="auto"/>
            <w:vAlign w:val="center"/>
          </w:tcPr>
          <w:p>
            <w:pPr>
              <w:widowControl/>
              <w:jc w:val="center"/>
              <w:rPr>
                <w:rFonts w:cs="宋体"/>
                <w:b/>
                <w:bCs/>
                <w:color w:val="000000"/>
                <w:kern w:val="0"/>
                <w:sz w:val="20"/>
              </w:rPr>
            </w:pPr>
            <w:r>
              <w:rPr>
                <w:rFonts w:hint="eastAsia" w:cs="宋体"/>
                <w:b/>
                <w:bCs/>
                <w:color w:val="000000"/>
                <w:kern w:val="0"/>
                <w:sz w:val="20"/>
              </w:rPr>
              <w:t>序号</w:t>
            </w:r>
          </w:p>
        </w:tc>
        <w:tc>
          <w:tcPr>
            <w:tcW w:w="847" w:type="pct"/>
            <w:shd w:val="clear" w:color="auto" w:fill="auto"/>
            <w:vAlign w:val="center"/>
          </w:tcPr>
          <w:p>
            <w:pPr>
              <w:widowControl/>
              <w:jc w:val="center"/>
              <w:rPr>
                <w:rFonts w:cs="宋体"/>
                <w:b/>
                <w:bCs/>
                <w:color w:val="000000"/>
                <w:kern w:val="0"/>
                <w:sz w:val="20"/>
              </w:rPr>
            </w:pPr>
            <w:r>
              <w:rPr>
                <w:rFonts w:hint="eastAsia" w:cs="宋体"/>
                <w:b/>
                <w:bCs/>
                <w:color w:val="000000"/>
                <w:kern w:val="0"/>
                <w:sz w:val="20"/>
              </w:rPr>
              <w:t>设备名称</w:t>
            </w:r>
          </w:p>
        </w:tc>
        <w:tc>
          <w:tcPr>
            <w:tcW w:w="3045" w:type="pct"/>
            <w:shd w:val="clear" w:color="auto" w:fill="auto"/>
            <w:vAlign w:val="center"/>
          </w:tcPr>
          <w:p>
            <w:pPr>
              <w:widowControl/>
              <w:jc w:val="center"/>
              <w:rPr>
                <w:rFonts w:cs="宋体"/>
                <w:b/>
                <w:bCs/>
                <w:color w:val="000000"/>
                <w:kern w:val="0"/>
                <w:sz w:val="20"/>
              </w:rPr>
            </w:pPr>
            <w:r>
              <w:rPr>
                <w:rFonts w:hint="eastAsia" w:ascii="仿宋" w:hAnsi="仿宋" w:eastAsia="仿宋"/>
                <w:szCs w:val="21"/>
              </w:rPr>
              <w:t>技术指标</w:t>
            </w:r>
          </w:p>
        </w:tc>
        <w:tc>
          <w:tcPr>
            <w:tcW w:w="700" w:type="pct"/>
            <w:shd w:val="clear" w:color="auto" w:fill="auto"/>
            <w:vAlign w:val="center"/>
          </w:tcPr>
          <w:p>
            <w:pPr>
              <w:widowControl/>
              <w:jc w:val="center"/>
              <w:rPr>
                <w:rFonts w:cs="宋体"/>
                <w:b/>
                <w:bCs/>
                <w:color w:val="000000"/>
                <w:kern w:val="0"/>
                <w:sz w:val="20"/>
              </w:rPr>
            </w:pPr>
            <w:r>
              <w:rPr>
                <w:rFonts w:ascii="仿宋" w:hAnsi="仿宋" w:eastAsia="仿宋"/>
                <w:szCs w:val="21"/>
              </w:rPr>
              <w:t>投标人保证值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0" w:hRule="atLeast"/>
        </w:trPr>
        <w:tc>
          <w:tcPr>
            <w:tcW w:w="408" w:type="pct"/>
            <w:shd w:val="clear" w:color="auto" w:fill="auto"/>
            <w:vAlign w:val="center"/>
          </w:tcPr>
          <w:p>
            <w:pPr>
              <w:widowControl/>
              <w:jc w:val="center"/>
              <w:rPr>
                <w:rFonts w:cs="宋体"/>
                <w:color w:val="000000"/>
                <w:kern w:val="0"/>
                <w:sz w:val="20"/>
              </w:rPr>
            </w:pPr>
            <w:r>
              <w:rPr>
                <w:rFonts w:hint="eastAsia" w:cs="宋体"/>
                <w:color w:val="000000"/>
                <w:kern w:val="0"/>
                <w:sz w:val="20"/>
              </w:rPr>
              <w:t>1</w:t>
            </w:r>
          </w:p>
        </w:tc>
        <w:tc>
          <w:tcPr>
            <w:tcW w:w="847" w:type="pct"/>
            <w:shd w:val="clear" w:color="auto" w:fill="auto"/>
            <w:vAlign w:val="center"/>
          </w:tcPr>
          <w:p>
            <w:pPr>
              <w:widowControl/>
              <w:jc w:val="center"/>
              <w:rPr>
                <w:rFonts w:cs="宋体"/>
                <w:color w:val="000000"/>
                <w:kern w:val="0"/>
                <w:sz w:val="20"/>
              </w:rPr>
            </w:pPr>
            <w:r>
              <w:rPr>
                <w:rFonts w:hint="eastAsia" w:cs="宋体"/>
                <w:color w:val="000000"/>
                <w:kern w:val="0"/>
                <w:sz w:val="20"/>
              </w:rPr>
              <w:t>路由器</w:t>
            </w:r>
          </w:p>
        </w:tc>
        <w:tc>
          <w:tcPr>
            <w:tcW w:w="3045" w:type="pct"/>
            <w:shd w:val="clear" w:color="auto" w:fill="auto"/>
            <w:vAlign w:val="center"/>
          </w:tcPr>
          <w:p>
            <w:pPr>
              <w:widowControl/>
              <w:jc w:val="left"/>
              <w:rPr>
                <w:rFonts w:cs="宋体"/>
                <w:color w:val="000000"/>
                <w:kern w:val="0"/>
                <w:sz w:val="20"/>
              </w:rPr>
            </w:pPr>
            <w:r>
              <w:rPr>
                <w:rFonts w:hint="eastAsia" w:cs="宋体"/>
                <w:color w:val="000000"/>
                <w:kern w:val="0"/>
                <w:sz w:val="20"/>
              </w:rPr>
              <w:t>主控模块2块；业务处理模块(10GE Combo)1块；8端口千兆以太网电接口</w:t>
            </w:r>
            <w:r>
              <w:rPr>
                <w:rFonts w:hint="eastAsia" w:cs="宋体"/>
                <w:color w:val="000000"/>
                <w:kern w:val="0"/>
                <w:sz w:val="20"/>
                <w:lang w:val="en-US" w:eastAsia="zh-CN"/>
              </w:rPr>
              <w:t>卡</w:t>
            </w:r>
            <w:r>
              <w:rPr>
                <w:rFonts w:hint="eastAsia" w:cs="宋体"/>
                <w:color w:val="000000"/>
                <w:kern w:val="0"/>
                <w:sz w:val="20"/>
              </w:rPr>
              <w:t>；300W AC 电源模块</w:t>
            </w:r>
            <w:r>
              <w:rPr>
                <w:rFonts w:cs="宋体"/>
                <w:color w:val="000000"/>
                <w:kern w:val="0"/>
                <w:sz w:val="20"/>
              </w:rPr>
              <w:t>4</w:t>
            </w:r>
            <w:r>
              <w:rPr>
                <w:rFonts w:hint="eastAsia" w:cs="宋体"/>
                <w:color w:val="000000"/>
                <w:kern w:val="0"/>
                <w:sz w:val="20"/>
              </w:rPr>
              <w:t>块。</w:t>
            </w:r>
          </w:p>
          <w:p>
            <w:pPr>
              <w:widowControl/>
              <w:jc w:val="left"/>
              <w:rPr>
                <w:rFonts w:cs="宋体"/>
                <w:color w:val="auto"/>
                <w:kern w:val="0"/>
                <w:sz w:val="20"/>
              </w:rPr>
            </w:pPr>
            <w:r>
              <w:rPr>
                <w:rFonts w:hint="eastAsia" w:cs="宋体"/>
                <w:color w:val="auto"/>
                <w:kern w:val="0"/>
                <w:sz w:val="20"/>
              </w:rPr>
              <w:t>包转发率 包转发率≥</w:t>
            </w:r>
            <w:r>
              <w:rPr>
                <w:rFonts w:cs="宋体"/>
                <w:color w:val="auto"/>
                <w:kern w:val="0"/>
                <w:sz w:val="20"/>
              </w:rPr>
              <w:t>360</w:t>
            </w:r>
            <w:r>
              <w:rPr>
                <w:rFonts w:hint="eastAsia" w:cs="宋体"/>
                <w:color w:val="auto"/>
                <w:kern w:val="0"/>
                <w:sz w:val="20"/>
              </w:rPr>
              <w:t>Mpps</w:t>
            </w:r>
          </w:p>
          <w:p>
            <w:pPr>
              <w:widowControl/>
              <w:jc w:val="left"/>
              <w:rPr>
                <w:rFonts w:cs="宋体"/>
                <w:color w:val="auto"/>
                <w:kern w:val="0"/>
                <w:sz w:val="20"/>
              </w:rPr>
            </w:pPr>
            <w:r>
              <w:rPr>
                <w:rFonts w:hint="eastAsia" w:cs="宋体"/>
                <w:color w:val="auto"/>
                <w:kern w:val="0"/>
                <w:sz w:val="20"/>
              </w:rPr>
              <w:t>架构 *控制转发物理分离，独立双交换网板提供产品主控及交换网板截图</w:t>
            </w:r>
          </w:p>
          <w:p>
            <w:pPr>
              <w:widowControl/>
              <w:jc w:val="left"/>
              <w:rPr>
                <w:rFonts w:cs="宋体"/>
                <w:color w:val="000000"/>
                <w:kern w:val="0"/>
                <w:sz w:val="20"/>
              </w:rPr>
            </w:pPr>
            <w:r>
              <w:rPr>
                <w:rFonts w:hint="eastAsia" w:cs="宋体"/>
                <w:color w:val="000000"/>
                <w:kern w:val="0"/>
                <w:sz w:val="20"/>
              </w:rPr>
              <w:t>接口 *实配8*GE+10*GE Combo口</w:t>
            </w:r>
          </w:p>
          <w:p>
            <w:pPr>
              <w:widowControl/>
              <w:jc w:val="left"/>
              <w:rPr>
                <w:rFonts w:cs="宋体"/>
                <w:color w:val="000000"/>
                <w:kern w:val="0"/>
                <w:sz w:val="20"/>
              </w:rPr>
            </w:pPr>
            <w:r>
              <w:rPr>
                <w:rFonts w:hint="eastAsia" w:cs="宋体"/>
                <w:color w:val="000000"/>
                <w:kern w:val="0"/>
                <w:sz w:val="20"/>
              </w:rPr>
              <w:t>槽位数 *槽位数≥6</w:t>
            </w:r>
          </w:p>
          <w:p>
            <w:pPr>
              <w:widowControl/>
              <w:jc w:val="left"/>
              <w:rPr>
                <w:rFonts w:cs="宋体"/>
                <w:color w:val="000000"/>
                <w:kern w:val="0"/>
                <w:sz w:val="20"/>
              </w:rPr>
            </w:pPr>
            <w:r>
              <w:rPr>
                <w:rFonts w:hint="eastAsia" w:cs="宋体"/>
                <w:color w:val="000000"/>
                <w:kern w:val="0"/>
                <w:sz w:val="20"/>
              </w:rPr>
              <w:t>板卡种类 支持通道化E1、非通道化E1、异步串口、同异步串口、等广域网接口扩展，并提供板卡实物图</w:t>
            </w:r>
          </w:p>
          <w:p>
            <w:pPr>
              <w:widowControl/>
              <w:jc w:val="left"/>
              <w:rPr>
                <w:rFonts w:cs="宋体"/>
                <w:color w:val="000000"/>
                <w:kern w:val="0"/>
                <w:sz w:val="20"/>
              </w:rPr>
            </w:pPr>
            <w:r>
              <w:rPr>
                <w:rFonts w:hint="eastAsia" w:cs="宋体"/>
                <w:color w:val="000000"/>
                <w:kern w:val="0"/>
                <w:sz w:val="20"/>
              </w:rPr>
              <w:t>整机功耗 整机功耗≤300W</w:t>
            </w:r>
          </w:p>
          <w:p>
            <w:pPr>
              <w:widowControl/>
              <w:jc w:val="left"/>
              <w:rPr>
                <w:rFonts w:cs="宋体"/>
                <w:color w:val="000000"/>
                <w:kern w:val="0"/>
                <w:sz w:val="20"/>
              </w:rPr>
            </w:pPr>
            <w:r>
              <w:rPr>
                <w:rFonts w:hint="eastAsia" w:cs="宋体"/>
                <w:color w:val="000000"/>
                <w:kern w:val="0"/>
                <w:sz w:val="20"/>
              </w:rPr>
              <w:t>电源 *电源数量≥4</w:t>
            </w:r>
          </w:p>
          <w:p>
            <w:pPr>
              <w:widowControl/>
              <w:jc w:val="left"/>
              <w:rPr>
                <w:rFonts w:cs="宋体"/>
                <w:color w:val="000000"/>
                <w:kern w:val="0"/>
                <w:sz w:val="20"/>
              </w:rPr>
            </w:pPr>
            <w:r>
              <w:rPr>
                <w:rFonts w:hint="eastAsia" w:cs="宋体"/>
                <w:color w:val="000000"/>
                <w:kern w:val="0"/>
                <w:sz w:val="20"/>
              </w:rPr>
              <w:t>虚拟化  Δ支持虚拟化特性，将物理上两台设备虚拟化成一台逻辑设备</w:t>
            </w:r>
          </w:p>
          <w:p>
            <w:pPr>
              <w:widowControl/>
              <w:jc w:val="left"/>
              <w:rPr>
                <w:rFonts w:cs="宋体"/>
                <w:color w:val="000000"/>
                <w:kern w:val="0"/>
                <w:sz w:val="20"/>
              </w:rPr>
            </w:pPr>
            <w:r>
              <w:rPr>
                <w:rFonts w:hint="eastAsia" w:cs="宋体"/>
                <w:color w:val="000000"/>
                <w:kern w:val="0"/>
                <w:sz w:val="20"/>
              </w:rPr>
              <w:t>广域网优化 Δ支持对HTTP/FTP等TCP业务流量进行优化传输技术，提高广域网带宽利用率</w:t>
            </w:r>
          </w:p>
          <w:p>
            <w:pPr>
              <w:widowControl/>
              <w:jc w:val="left"/>
              <w:rPr>
                <w:rFonts w:cs="宋体"/>
                <w:color w:val="000000"/>
                <w:kern w:val="0"/>
                <w:sz w:val="20"/>
              </w:rPr>
            </w:pPr>
            <w:r>
              <w:rPr>
                <w:rFonts w:hint="eastAsia" w:cs="宋体"/>
                <w:color w:val="000000"/>
                <w:kern w:val="0"/>
                <w:sz w:val="20"/>
              </w:rPr>
              <w:t>URL过滤黑名单功能 Δ支持对终端用户域名访问控制功能</w:t>
            </w:r>
          </w:p>
          <w:p>
            <w:pPr>
              <w:widowControl/>
              <w:jc w:val="left"/>
              <w:rPr>
                <w:rFonts w:hint="eastAsia" w:cs="宋体"/>
                <w:color w:val="000000"/>
                <w:kern w:val="0"/>
                <w:sz w:val="20"/>
              </w:rPr>
            </w:pPr>
            <w:r>
              <w:rPr>
                <w:rFonts w:hint="eastAsia" w:cs="宋体"/>
                <w:color w:val="000000"/>
                <w:kern w:val="0"/>
                <w:sz w:val="20"/>
              </w:rPr>
              <w:t>支持openflow功能 Δ支持openflow功能</w:t>
            </w:r>
          </w:p>
          <w:p>
            <w:pPr>
              <w:widowControl/>
              <w:jc w:val="left"/>
              <w:rPr>
                <w:rFonts w:cs="宋体"/>
                <w:color w:val="000000"/>
                <w:kern w:val="0"/>
                <w:sz w:val="20"/>
              </w:rPr>
            </w:pPr>
            <w:r>
              <w:rPr>
                <w:rFonts w:hint="eastAsia" w:cs="宋体"/>
                <w:color w:val="000000"/>
                <w:kern w:val="0"/>
                <w:sz w:val="20"/>
              </w:rPr>
              <w:t>基于域的防火墙 Δ支持划分安全域，用于管理防火墙设备上安全需求相同的多个接口</w:t>
            </w:r>
          </w:p>
          <w:p>
            <w:pPr>
              <w:widowControl/>
              <w:jc w:val="left"/>
              <w:rPr>
                <w:rFonts w:cs="宋体"/>
                <w:color w:val="000000"/>
                <w:kern w:val="0"/>
                <w:sz w:val="20"/>
              </w:rPr>
            </w:pPr>
            <w:r>
              <w:rPr>
                <w:rFonts w:hint="eastAsia" w:cs="宋体"/>
                <w:color w:val="000000"/>
                <w:kern w:val="0"/>
                <w:sz w:val="20"/>
              </w:rPr>
              <w:t>IPS入侵防御功能 Δ支持对已知网络攻击进行安全防御，提高网络安全性</w:t>
            </w:r>
          </w:p>
          <w:p>
            <w:pPr>
              <w:widowControl/>
              <w:jc w:val="left"/>
              <w:rPr>
                <w:rFonts w:cs="宋体"/>
                <w:color w:val="000000"/>
                <w:kern w:val="0"/>
                <w:sz w:val="20"/>
              </w:rPr>
            </w:pPr>
            <w:bookmarkStart w:id="308" w:name="_GoBack"/>
            <w:bookmarkEnd w:id="308"/>
            <w:r>
              <w:rPr>
                <w:rFonts w:hint="eastAsia" w:cs="宋体"/>
                <w:color w:val="000000"/>
                <w:kern w:val="0"/>
                <w:sz w:val="20"/>
              </w:rPr>
              <w:t>VXLAN功能 Δ支持VXLAN数据中心特性，</w:t>
            </w:r>
          </w:p>
          <w:p>
            <w:pPr>
              <w:widowControl/>
              <w:jc w:val="left"/>
              <w:rPr>
                <w:rFonts w:cs="宋体"/>
                <w:color w:val="000000"/>
                <w:kern w:val="0"/>
                <w:sz w:val="20"/>
              </w:rPr>
            </w:pPr>
            <w:r>
              <w:rPr>
                <w:rFonts w:hint="eastAsia" w:cs="宋体"/>
                <w:color w:val="000000"/>
                <w:kern w:val="0"/>
                <w:sz w:val="20"/>
              </w:rPr>
              <w:t>短信开局 Δ支持利用短信下发的方式实现设备开局部署</w:t>
            </w:r>
          </w:p>
          <w:p>
            <w:pPr>
              <w:widowControl/>
              <w:jc w:val="left"/>
              <w:rPr>
                <w:rFonts w:cs="宋体"/>
                <w:color w:val="000000"/>
                <w:kern w:val="0"/>
                <w:sz w:val="20"/>
              </w:rPr>
            </w:pPr>
            <w:r>
              <w:rPr>
                <w:rFonts w:hint="eastAsia" w:cs="宋体"/>
                <w:color w:val="000000"/>
                <w:kern w:val="0"/>
                <w:sz w:val="20"/>
              </w:rPr>
              <w:t>U盘0配置部署 Δ支持利用U盘0配置方式实现设备开局部署</w:t>
            </w:r>
          </w:p>
          <w:p>
            <w:pPr>
              <w:widowControl/>
              <w:jc w:val="left"/>
              <w:rPr>
                <w:rFonts w:cs="宋体"/>
                <w:color w:val="000000"/>
                <w:kern w:val="0"/>
                <w:sz w:val="20"/>
              </w:rPr>
            </w:pPr>
            <w:r>
              <w:rPr>
                <w:rFonts w:hint="eastAsia" w:cs="宋体"/>
                <w:color w:val="000000"/>
                <w:kern w:val="0"/>
                <w:sz w:val="20"/>
              </w:rPr>
              <w:t>嵌入式自动化（EAA） Δ支持对系统软硬部件的内部事件、状态进行监控，出现特定事件后能够自动调整网络设备业务和控制策略，实现智能自动化控制</w:t>
            </w:r>
          </w:p>
          <w:p>
            <w:pPr>
              <w:widowControl/>
              <w:jc w:val="left"/>
              <w:rPr>
                <w:rFonts w:cs="宋体"/>
                <w:color w:val="000000"/>
                <w:kern w:val="0"/>
                <w:sz w:val="20"/>
              </w:rPr>
            </w:pPr>
            <w:r>
              <w:rPr>
                <w:rFonts w:hint="eastAsia" w:cs="宋体"/>
                <w:color w:val="000000"/>
                <w:kern w:val="0"/>
                <w:sz w:val="20"/>
              </w:rPr>
              <w:t>支持对系统软硬件的内部事件、状态进行监控，出现问题时收集实时信息并自动修复将实时信息发送到指定服务器</w:t>
            </w:r>
          </w:p>
          <w:p>
            <w:pPr>
              <w:widowControl/>
              <w:jc w:val="left"/>
              <w:rPr>
                <w:rFonts w:cs="宋体"/>
                <w:color w:val="000000"/>
                <w:kern w:val="0"/>
                <w:sz w:val="20"/>
              </w:rPr>
            </w:pPr>
            <w:r>
              <w:rPr>
                <w:rFonts w:hint="eastAsia" w:cs="宋体"/>
                <w:color w:val="000000"/>
                <w:kern w:val="0"/>
                <w:sz w:val="20"/>
              </w:rPr>
              <w:t>要求支持此功能</w:t>
            </w:r>
          </w:p>
          <w:p>
            <w:pPr>
              <w:widowControl/>
              <w:jc w:val="left"/>
              <w:rPr>
                <w:rFonts w:cs="宋体"/>
                <w:color w:val="000000"/>
                <w:kern w:val="0"/>
                <w:sz w:val="20"/>
              </w:rPr>
            </w:pPr>
            <w:r>
              <w:rPr>
                <w:rFonts w:hint="eastAsia" w:cs="宋体"/>
                <w:color w:val="000000"/>
                <w:kern w:val="0"/>
                <w:sz w:val="20"/>
              </w:rPr>
              <w:t>支持ipv6永久使用授权</w:t>
            </w:r>
          </w:p>
          <w:p>
            <w:pPr>
              <w:widowControl/>
              <w:jc w:val="left"/>
              <w:rPr>
                <w:rFonts w:cs="宋体"/>
                <w:color w:val="000000"/>
                <w:kern w:val="0"/>
                <w:sz w:val="20"/>
              </w:rPr>
            </w:pPr>
            <w:r>
              <w:rPr>
                <w:rFonts w:hint="eastAsia" w:cs="宋体"/>
                <w:color w:val="000000"/>
                <w:kern w:val="0"/>
                <w:sz w:val="20"/>
              </w:rPr>
              <w:t>涉及到设备之间连接所需的电源线缆及其他类型线缆，由设备厂家负责提供，具体长度以现场实际长度为准</w:t>
            </w:r>
          </w:p>
        </w:tc>
        <w:tc>
          <w:tcPr>
            <w:tcW w:w="700" w:type="pct"/>
            <w:shd w:val="clear" w:color="auto" w:fill="auto"/>
            <w:vAlign w:val="center"/>
          </w:tcPr>
          <w:p>
            <w:pPr>
              <w:widowControl/>
              <w:jc w:val="center"/>
              <w:rPr>
                <w:rFonts w:cs="宋体"/>
                <w:color w:val="000000"/>
                <w:kern w:val="0"/>
                <w:sz w:val="20"/>
              </w:rPr>
            </w:pPr>
            <w:r>
              <w:rPr>
                <w:rFonts w:hAnsi="宋体"/>
                <w:szCs w:val="21"/>
              </w:rPr>
              <w:t>（投标人填写）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trPr>
        <w:tc>
          <w:tcPr>
            <w:tcW w:w="408" w:type="pct"/>
            <w:shd w:val="clear" w:color="auto" w:fill="auto"/>
            <w:vAlign w:val="center"/>
          </w:tcPr>
          <w:p>
            <w:pPr>
              <w:widowControl/>
              <w:jc w:val="center"/>
              <w:rPr>
                <w:rFonts w:cs="宋体"/>
                <w:color w:val="000000"/>
                <w:kern w:val="0"/>
                <w:sz w:val="20"/>
              </w:rPr>
            </w:pPr>
            <w:r>
              <w:rPr>
                <w:rFonts w:cs="宋体"/>
                <w:color w:val="000000"/>
                <w:kern w:val="0"/>
                <w:sz w:val="20"/>
              </w:rPr>
              <w:t>2</w:t>
            </w:r>
          </w:p>
        </w:tc>
        <w:tc>
          <w:tcPr>
            <w:tcW w:w="847" w:type="pct"/>
            <w:shd w:val="clear" w:color="auto" w:fill="auto"/>
            <w:vAlign w:val="center"/>
          </w:tcPr>
          <w:p>
            <w:pPr>
              <w:widowControl/>
              <w:jc w:val="center"/>
              <w:rPr>
                <w:rFonts w:cs="宋体"/>
                <w:color w:val="000000"/>
                <w:kern w:val="0"/>
                <w:sz w:val="20"/>
              </w:rPr>
            </w:pPr>
            <w:r>
              <w:rPr>
                <w:rFonts w:hint="eastAsia" w:cs="宋体"/>
                <w:color w:val="000000"/>
                <w:kern w:val="0"/>
                <w:sz w:val="20"/>
              </w:rPr>
              <w:t>单模光模块</w:t>
            </w:r>
          </w:p>
        </w:tc>
        <w:tc>
          <w:tcPr>
            <w:tcW w:w="3045" w:type="pct"/>
            <w:shd w:val="clear" w:color="auto" w:fill="auto"/>
            <w:vAlign w:val="center"/>
          </w:tcPr>
          <w:p>
            <w:pPr>
              <w:widowControl/>
              <w:jc w:val="left"/>
              <w:rPr>
                <w:rFonts w:cs="宋体"/>
                <w:color w:val="000000"/>
                <w:kern w:val="0"/>
                <w:sz w:val="20"/>
              </w:rPr>
            </w:pPr>
            <w:r>
              <w:rPr>
                <w:rFonts w:hint="eastAsia" w:cs="宋体"/>
                <w:color w:val="000000"/>
                <w:kern w:val="0"/>
                <w:sz w:val="20"/>
              </w:rPr>
              <w:t>最大传输速率1.25Gbps</w:t>
            </w:r>
          </w:p>
          <w:p>
            <w:pPr>
              <w:widowControl/>
              <w:jc w:val="left"/>
              <w:rPr>
                <w:rFonts w:cs="宋体"/>
                <w:color w:val="000000"/>
                <w:kern w:val="0"/>
                <w:sz w:val="20"/>
              </w:rPr>
            </w:pPr>
            <w:r>
              <w:rPr>
                <w:rFonts w:hint="eastAsia" w:cs="宋体"/>
                <w:color w:val="000000"/>
                <w:kern w:val="0"/>
                <w:sz w:val="20"/>
              </w:rPr>
              <w:t>1310纳米 FP激光器</w:t>
            </w:r>
          </w:p>
          <w:p>
            <w:pPr>
              <w:widowControl/>
              <w:jc w:val="left"/>
              <w:rPr>
                <w:rFonts w:cs="宋体"/>
                <w:color w:val="000000"/>
                <w:kern w:val="0"/>
                <w:sz w:val="20"/>
              </w:rPr>
            </w:pPr>
            <w:r>
              <w:rPr>
                <w:rFonts w:hint="eastAsia" w:cs="宋体"/>
                <w:color w:val="000000"/>
                <w:kern w:val="0"/>
                <w:sz w:val="20"/>
              </w:rPr>
              <w:t>典型传输距离20公里(单模光纤)</w:t>
            </w:r>
          </w:p>
          <w:p>
            <w:pPr>
              <w:widowControl/>
              <w:jc w:val="left"/>
              <w:rPr>
                <w:rFonts w:cs="宋体"/>
                <w:color w:val="000000"/>
                <w:kern w:val="0"/>
                <w:sz w:val="20"/>
              </w:rPr>
            </w:pPr>
            <w:r>
              <w:rPr>
                <w:rFonts w:hint="eastAsia" w:cs="宋体"/>
                <w:color w:val="000000"/>
                <w:kern w:val="0"/>
                <w:sz w:val="20"/>
              </w:rPr>
              <w:t>3.3V单电压，TTL逻辑接口</w:t>
            </w:r>
          </w:p>
          <w:p>
            <w:pPr>
              <w:widowControl/>
              <w:jc w:val="left"/>
              <w:rPr>
                <w:rFonts w:cs="宋体"/>
                <w:color w:val="000000"/>
                <w:kern w:val="0"/>
                <w:sz w:val="20"/>
              </w:rPr>
            </w:pPr>
            <w:r>
              <w:rPr>
                <w:rFonts w:hint="eastAsia" w:cs="宋体"/>
                <w:color w:val="000000"/>
                <w:kern w:val="0"/>
                <w:sz w:val="20"/>
              </w:rPr>
              <w:t>双LC接口，支持热插拔</w:t>
            </w:r>
          </w:p>
          <w:p>
            <w:pPr>
              <w:widowControl/>
              <w:jc w:val="left"/>
              <w:rPr>
                <w:rFonts w:cs="宋体"/>
                <w:color w:val="000000"/>
                <w:kern w:val="0"/>
                <w:sz w:val="20"/>
              </w:rPr>
            </w:pPr>
            <w:r>
              <w:rPr>
                <w:rFonts w:hint="eastAsia" w:cs="宋体"/>
                <w:color w:val="000000"/>
                <w:kern w:val="0"/>
                <w:sz w:val="20"/>
              </w:rPr>
              <w:t>1类激光器</w:t>
            </w:r>
          </w:p>
          <w:p>
            <w:pPr>
              <w:widowControl/>
              <w:jc w:val="left"/>
              <w:rPr>
                <w:rFonts w:cs="宋体"/>
                <w:color w:val="000000"/>
                <w:kern w:val="0"/>
                <w:sz w:val="20"/>
              </w:rPr>
            </w:pPr>
            <w:r>
              <w:rPr>
                <w:rFonts w:hint="eastAsia" w:cs="宋体"/>
                <w:color w:val="000000"/>
                <w:kern w:val="0"/>
                <w:sz w:val="20"/>
              </w:rPr>
              <w:t>支持数字诊断功能</w:t>
            </w:r>
          </w:p>
          <w:p>
            <w:pPr>
              <w:widowControl/>
              <w:jc w:val="left"/>
              <w:rPr>
                <w:rFonts w:cs="宋体"/>
                <w:color w:val="000000"/>
                <w:kern w:val="0"/>
                <w:sz w:val="20"/>
              </w:rPr>
            </w:pPr>
            <w:r>
              <w:rPr>
                <w:rFonts w:hint="eastAsia" w:cs="宋体"/>
                <w:color w:val="000000"/>
                <w:kern w:val="0"/>
                <w:sz w:val="20"/>
              </w:rPr>
              <w:t>符合MSA SFP规范</w:t>
            </w:r>
          </w:p>
          <w:p>
            <w:pPr>
              <w:widowControl/>
              <w:jc w:val="left"/>
              <w:rPr>
                <w:rFonts w:cs="宋体"/>
                <w:color w:val="000000"/>
                <w:kern w:val="0"/>
                <w:sz w:val="20"/>
              </w:rPr>
            </w:pPr>
            <w:r>
              <w:rPr>
                <w:rFonts w:hint="eastAsia" w:cs="宋体"/>
                <w:color w:val="000000"/>
                <w:kern w:val="0"/>
                <w:sz w:val="20"/>
              </w:rPr>
              <w:t>符合SFF-8472规范</w:t>
            </w:r>
          </w:p>
          <w:p>
            <w:pPr>
              <w:widowControl/>
              <w:jc w:val="left"/>
              <w:rPr>
                <w:rFonts w:cs="宋体"/>
                <w:color w:val="000000"/>
                <w:kern w:val="0"/>
                <w:sz w:val="20"/>
              </w:rPr>
            </w:pPr>
            <w:r>
              <w:rPr>
                <w:rFonts w:hint="eastAsia" w:cs="宋体"/>
                <w:color w:val="000000"/>
                <w:kern w:val="0"/>
                <w:sz w:val="20"/>
              </w:rPr>
              <w:t>符合 IEC60825-1标准</w:t>
            </w:r>
          </w:p>
        </w:tc>
        <w:tc>
          <w:tcPr>
            <w:tcW w:w="700" w:type="pct"/>
            <w:shd w:val="clear" w:color="auto" w:fill="auto"/>
            <w:vAlign w:val="center"/>
          </w:tcPr>
          <w:p>
            <w:pPr>
              <w:widowControl/>
              <w:jc w:val="center"/>
              <w:rPr>
                <w:rFonts w:cs="宋体"/>
                <w:color w:val="000000"/>
                <w:kern w:val="0"/>
                <w:sz w:val="20"/>
              </w:rPr>
            </w:pPr>
            <w:r>
              <w:rPr>
                <w:rFonts w:hAnsi="宋体"/>
                <w:szCs w:val="21"/>
              </w:rPr>
              <w:t>（投标人填写）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trPr>
        <w:tc>
          <w:tcPr>
            <w:tcW w:w="408" w:type="pct"/>
            <w:shd w:val="clear" w:color="auto" w:fill="auto"/>
            <w:vAlign w:val="center"/>
          </w:tcPr>
          <w:p>
            <w:pPr>
              <w:widowControl/>
              <w:jc w:val="center"/>
              <w:rPr>
                <w:rFonts w:cs="宋体"/>
                <w:color w:val="000000"/>
                <w:kern w:val="0"/>
                <w:sz w:val="20"/>
              </w:rPr>
            </w:pPr>
            <w:r>
              <w:rPr>
                <w:rFonts w:hint="eastAsia" w:cs="宋体"/>
                <w:color w:val="000000"/>
                <w:kern w:val="0"/>
                <w:sz w:val="20"/>
              </w:rPr>
              <w:t>3</w:t>
            </w:r>
          </w:p>
        </w:tc>
        <w:tc>
          <w:tcPr>
            <w:tcW w:w="847" w:type="pct"/>
            <w:shd w:val="clear" w:color="auto" w:fill="auto"/>
            <w:vAlign w:val="center"/>
          </w:tcPr>
          <w:p>
            <w:pPr>
              <w:widowControl/>
              <w:jc w:val="center"/>
              <w:rPr>
                <w:rFonts w:cs="宋体"/>
                <w:color w:val="000000"/>
                <w:kern w:val="0"/>
                <w:sz w:val="20"/>
              </w:rPr>
            </w:pPr>
            <w:r>
              <w:rPr>
                <w:rFonts w:hint="eastAsia" w:cs="宋体"/>
                <w:color w:val="000000"/>
                <w:kern w:val="0"/>
                <w:sz w:val="20"/>
              </w:rPr>
              <w:t>尾纤</w:t>
            </w:r>
          </w:p>
        </w:tc>
        <w:tc>
          <w:tcPr>
            <w:tcW w:w="3045" w:type="pct"/>
            <w:shd w:val="clear" w:color="auto" w:fill="auto"/>
            <w:vAlign w:val="center"/>
          </w:tcPr>
          <w:p>
            <w:pPr>
              <w:widowControl/>
              <w:jc w:val="left"/>
              <w:rPr>
                <w:rFonts w:cs="宋体"/>
                <w:color w:val="000000"/>
                <w:kern w:val="0"/>
                <w:sz w:val="20"/>
              </w:rPr>
            </w:pPr>
            <w:r>
              <w:rPr>
                <w:rFonts w:hint="eastAsia" w:cs="宋体"/>
                <w:color w:val="000000"/>
                <w:kern w:val="0"/>
                <w:sz w:val="20"/>
              </w:rPr>
              <w:t>LC-LC 20米</w:t>
            </w:r>
          </w:p>
        </w:tc>
        <w:tc>
          <w:tcPr>
            <w:tcW w:w="700" w:type="pct"/>
            <w:shd w:val="clear" w:color="auto" w:fill="auto"/>
            <w:vAlign w:val="center"/>
          </w:tcPr>
          <w:p>
            <w:pPr>
              <w:widowControl/>
              <w:jc w:val="center"/>
              <w:rPr>
                <w:rFonts w:hAnsi="宋体"/>
                <w:szCs w:val="21"/>
              </w:rPr>
            </w:pPr>
            <w:r>
              <w:rPr>
                <w:rFonts w:hAnsi="宋体"/>
                <w:szCs w:val="21"/>
              </w:rPr>
              <w:t>（投标人填写）</w:t>
            </w:r>
          </w:p>
        </w:tc>
      </w:tr>
    </w:tbl>
    <w:p>
      <w:pPr>
        <w:pStyle w:val="15"/>
        <w:adjustRightInd w:val="0"/>
        <w:snapToGrid w:val="0"/>
        <w:spacing w:before="0" w:after="0" w:line="360" w:lineRule="auto"/>
        <w:ind w:firstLine="480" w:firstLineChars="200"/>
        <w:rPr>
          <w:rFonts w:ascii="Times New Roman" w:hAnsi="宋体" w:eastAsia="宋体"/>
          <w:sz w:val="24"/>
          <w:szCs w:val="24"/>
        </w:rPr>
      </w:pPr>
    </w:p>
    <w:p>
      <w:pPr>
        <w:pStyle w:val="15"/>
        <w:adjustRightInd w:val="0"/>
        <w:snapToGrid w:val="0"/>
        <w:spacing w:before="0" w:after="0" w:line="360" w:lineRule="auto"/>
        <w:ind w:firstLine="480" w:firstLineChars="200"/>
        <w:jc w:val="both"/>
        <w:rPr>
          <w:rFonts w:ascii="Times New Roman" w:eastAsia="宋体"/>
          <w:sz w:val="24"/>
          <w:szCs w:val="24"/>
        </w:rPr>
      </w:pPr>
    </w:p>
    <w:p>
      <w:pPr>
        <w:jc w:val="center"/>
        <w:rPr>
          <w:rFonts w:ascii="黑体" w:eastAsia="黑体"/>
        </w:rPr>
      </w:pPr>
    </w:p>
    <w:p>
      <w:pPr>
        <w:pStyle w:val="2"/>
        <w:adjustRightInd w:val="0"/>
        <w:snapToGrid w:val="0"/>
        <w:spacing w:before="0" w:after="0" w:line="360" w:lineRule="auto"/>
        <w:rPr>
          <w:bCs/>
          <w:snapToGrid w:val="0"/>
          <w:kern w:val="0"/>
          <w:sz w:val="24"/>
          <w:szCs w:val="24"/>
        </w:rPr>
      </w:pPr>
      <w:bookmarkStart w:id="230" w:name="_Toc247536312"/>
      <w:bookmarkStart w:id="231" w:name="_Toc247518078"/>
      <w:bookmarkStart w:id="232" w:name="_Toc345514943"/>
      <w:bookmarkStart w:id="233" w:name="_Toc252539437"/>
      <w:bookmarkStart w:id="234" w:name="_Toc103766651"/>
      <w:r>
        <w:rPr>
          <w:bCs/>
          <w:snapToGrid w:val="0"/>
          <w:kern w:val="0"/>
          <w:sz w:val="24"/>
          <w:szCs w:val="24"/>
        </w:rPr>
        <w:t xml:space="preserve">2  </w:t>
      </w:r>
      <w:r>
        <w:rPr>
          <w:rFonts w:hAnsi="宋体"/>
          <w:bCs/>
          <w:snapToGrid w:val="0"/>
          <w:kern w:val="0"/>
          <w:sz w:val="24"/>
          <w:szCs w:val="24"/>
        </w:rPr>
        <w:t>项目需求部分</w:t>
      </w:r>
      <w:bookmarkEnd w:id="230"/>
      <w:bookmarkEnd w:id="231"/>
      <w:bookmarkEnd w:id="232"/>
      <w:bookmarkEnd w:id="233"/>
      <w:bookmarkEnd w:id="234"/>
    </w:p>
    <w:p>
      <w:pPr>
        <w:pStyle w:val="2"/>
        <w:widowControl/>
        <w:overflowPunct w:val="0"/>
        <w:autoSpaceDE w:val="0"/>
        <w:autoSpaceDN w:val="0"/>
        <w:adjustRightInd w:val="0"/>
        <w:snapToGrid w:val="0"/>
        <w:spacing w:before="0" w:after="0" w:line="360" w:lineRule="auto"/>
        <w:textAlignment w:val="baseline"/>
        <w:rPr>
          <w:b w:val="0"/>
          <w:bCs/>
          <w:snapToGrid w:val="0"/>
          <w:kern w:val="0"/>
          <w:sz w:val="24"/>
          <w:szCs w:val="24"/>
        </w:rPr>
      </w:pPr>
      <w:bookmarkStart w:id="235" w:name="_Toc241652037"/>
      <w:bookmarkStart w:id="236" w:name="_Toc252539438"/>
      <w:bookmarkStart w:id="237" w:name="_Toc345514944"/>
      <w:bookmarkStart w:id="238" w:name="_Toc103766652"/>
      <w:bookmarkStart w:id="239" w:name="_Toc247536313"/>
      <w:r>
        <w:rPr>
          <w:b w:val="0"/>
          <w:bCs/>
          <w:snapToGrid w:val="0"/>
          <w:kern w:val="0"/>
          <w:sz w:val="24"/>
          <w:szCs w:val="24"/>
        </w:rPr>
        <w:t xml:space="preserve">2.1  </w:t>
      </w:r>
      <w:r>
        <w:rPr>
          <w:rFonts w:hAnsi="宋体"/>
          <w:b w:val="0"/>
          <w:bCs/>
          <w:snapToGrid w:val="0"/>
          <w:kern w:val="0"/>
          <w:sz w:val="24"/>
          <w:szCs w:val="24"/>
        </w:rPr>
        <w:t>货物需求及供货范围一览表</w:t>
      </w:r>
      <w:bookmarkEnd w:id="235"/>
      <w:bookmarkEnd w:id="236"/>
      <w:bookmarkEnd w:id="237"/>
      <w:bookmarkEnd w:id="238"/>
      <w:bookmarkEnd w:id="239"/>
      <w:bookmarkStart w:id="240" w:name="_Toc244071205"/>
    </w:p>
    <w:p>
      <w:pPr>
        <w:adjustRightInd w:val="0"/>
        <w:snapToGrid w:val="0"/>
        <w:spacing w:line="360" w:lineRule="auto"/>
        <w:ind w:firstLine="480" w:firstLineChars="200"/>
        <w:rPr>
          <w:rFonts w:hAnsi="宋体"/>
          <w:sz w:val="24"/>
          <w:szCs w:val="24"/>
        </w:rPr>
      </w:pPr>
      <w:r>
        <w:rPr>
          <w:rFonts w:hAnsi="宋体"/>
          <w:sz w:val="24"/>
          <w:szCs w:val="24"/>
        </w:rPr>
        <w:t>表</w:t>
      </w:r>
      <w:r>
        <w:rPr>
          <w:rFonts w:hint="eastAsia"/>
          <w:sz w:val="24"/>
          <w:szCs w:val="24"/>
        </w:rPr>
        <w:t>3</w:t>
      </w:r>
      <w:r>
        <w:rPr>
          <w:sz w:val="24"/>
          <w:szCs w:val="24"/>
        </w:rPr>
        <w:t xml:space="preserve">  </w:t>
      </w:r>
      <w:r>
        <w:rPr>
          <w:rFonts w:hint="eastAsia"/>
          <w:sz w:val="24"/>
          <w:szCs w:val="24"/>
        </w:rPr>
        <w:t xml:space="preserve">               </w:t>
      </w:r>
      <w:r>
        <w:rPr>
          <w:rFonts w:hAnsi="宋体"/>
          <w:sz w:val="24"/>
          <w:szCs w:val="24"/>
        </w:rPr>
        <w:t>货物需求及供货范围一览表</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1134"/>
        <w:gridCol w:w="1701"/>
        <w:gridCol w:w="1842"/>
        <w:gridCol w:w="709"/>
        <w:gridCol w:w="709"/>
        <w:gridCol w:w="23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80" w:hRule="exact"/>
          <w:jc w:val="center"/>
        </w:trPr>
        <w:tc>
          <w:tcPr>
            <w:tcW w:w="1134" w:type="dxa"/>
            <w:vAlign w:val="center"/>
          </w:tcPr>
          <w:p>
            <w:pPr>
              <w:spacing w:line="620" w:lineRule="exact"/>
              <w:jc w:val="center"/>
              <w:rPr>
                <w:rFonts w:ascii="宋体" w:hAnsi="宋体"/>
                <w:sz w:val="24"/>
              </w:rPr>
            </w:pPr>
            <w:r>
              <w:rPr>
                <w:rFonts w:hint="eastAsia" w:ascii="宋体" w:hAnsi="宋体"/>
                <w:sz w:val="24"/>
              </w:rPr>
              <w:t>材料编号</w:t>
            </w:r>
          </w:p>
        </w:tc>
        <w:tc>
          <w:tcPr>
            <w:tcW w:w="1701" w:type="dxa"/>
            <w:vAlign w:val="center"/>
          </w:tcPr>
          <w:p>
            <w:pPr>
              <w:spacing w:line="620" w:lineRule="exact"/>
              <w:jc w:val="center"/>
              <w:rPr>
                <w:rFonts w:ascii="宋体" w:hAnsi="宋体"/>
                <w:sz w:val="24"/>
              </w:rPr>
            </w:pPr>
            <w:r>
              <w:rPr>
                <w:rFonts w:hint="eastAsia" w:ascii="宋体" w:hAnsi="宋体"/>
                <w:sz w:val="24"/>
              </w:rPr>
              <w:t>物资名称</w:t>
            </w:r>
          </w:p>
        </w:tc>
        <w:tc>
          <w:tcPr>
            <w:tcW w:w="1842" w:type="dxa"/>
            <w:vAlign w:val="center"/>
          </w:tcPr>
          <w:p>
            <w:pPr>
              <w:spacing w:line="620" w:lineRule="exact"/>
              <w:jc w:val="center"/>
              <w:rPr>
                <w:rFonts w:ascii="宋体" w:hAnsi="宋体"/>
                <w:sz w:val="24"/>
              </w:rPr>
            </w:pPr>
            <w:r>
              <w:rPr>
                <w:rFonts w:hint="eastAsia" w:ascii="宋体" w:hAnsi="宋体"/>
                <w:sz w:val="24"/>
              </w:rPr>
              <w:t>规格型号</w:t>
            </w:r>
          </w:p>
        </w:tc>
        <w:tc>
          <w:tcPr>
            <w:tcW w:w="709" w:type="dxa"/>
            <w:vAlign w:val="center"/>
          </w:tcPr>
          <w:p>
            <w:pPr>
              <w:spacing w:line="620" w:lineRule="exact"/>
              <w:jc w:val="center"/>
              <w:rPr>
                <w:rFonts w:ascii="宋体" w:hAnsi="宋体"/>
                <w:sz w:val="24"/>
              </w:rPr>
            </w:pPr>
            <w:r>
              <w:rPr>
                <w:rFonts w:hint="eastAsia" w:ascii="宋体" w:hAnsi="宋体"/>
                <w:sz w:val="24"/>
              </w:rPr>
              <w:t>单 位</w:t>
            </w:r>
          </w:p>
        </w:tc>
        <w:tc>
          <w:tcPr>
            <w:tcW w:w="709" w:type="dxa"/>
            <w:vAlign w:val="center"/>
          </w:tcPr>
          <w:p>
            <w:pPr>
              <w:spacing w:line="620" w:lineRule="exact"/>
              <w:jc w:val="center"/>
              <w:rPr>
                <w:rFonts w:ascii="宋体" w:hAnsi="宋体"/>
                <w:sz w:val="24"/>
              </w:rPr>
            </w:pPr>
            <w:r>
              <w:rPr>
                <w:rFonts w:hint="eastAsia" w:ascii="宋体" w:hAnsi="宋体"/>
                <w:sz w:val="24"/>
              </w:rPr>
              <w:t>数 量</w:t>
            </w:r>
          </w:p>
        </w:tc>
        <w:tc>
          <w:tcPr>
            <w:tcW w:w="2367" w:type="dxa"/>
            <w:vAlign w:val="center"/>
          </w:tcPr>
          <w:p>
            <w:pPr>
              <w:spacing w:line="620" w:lineRule="exact"/>
              <w:jc w:val="center"/>
              <w:rPr>
                <w:rFonts w:ascii="宋体" w:hAnsi="宋体"/>
                <w:sz w:val="24"/>
              </w:rPr>
            </w:pPr>
            <w:r>
              <w:rPr>
                <w:rFonts w:hint="eastAsia" w:ascii="宋体" w:hAnsi="宋体"/>
                <w:sz w:val="24"/>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25" w:hRule="atLeast"/>
          <w:jc w:val="center"/>
        </w:trPr>
        <w:tc>
          <w:tcPr>
            <w:tcW w:w="1134" w:type="dxa"/>
            <w:vAlign w:val="center"/>
          </w:tcPr>
          <w:p>
            <w:pPr>
              <w:widowControl/>
              <w:jc w:val="center"/>
              <w:rPr>
                <w:rFonts w:ascii="宋体" w:hAnsi="宋体"/>
                <w:sz w:val="24"/>
              </w:rPr>
            </w:pPr>
            <w:r>
              <w:rPr>
                <w:rFonts w:cs="宋体"/>
                <w:color w:val="000000"/>
                <w:kern w:val="0"/>
                <w:sz w:val="20"/>
              </w:rPr>
              <w:t>1</w:t>
            </w:r>
          </w:p>
        </w:tc>
        <w:tc>
          <w:tcPr>
            <w:tcW w:w="1701" w:type="dxa"/>
            <w:vMerge w:val="restart"/>
            <w:vAlign w:val="center"/>
          </w:tcPr>
          <w:p>
            <w:pPr>
              <w:widowControl/>
              <w:jc w:val="center"/>
              <w:rPr>
                <w:rFonts w:ascii="宋体" w:hAnsi="宋体"/>
                <w:sz w:val="24"/>
              </w:rPr>
            </w:pPr>
            <w:r>
              <w:rPr>
                <w:rFonts w:hint="eastAsia" w:cs="宋体"/>
                <w:color w:val="000000"/>
                <w:kern w:val="0"/>
                <w:sz w:val="20"/>
              </w:rPr>
              <w:t>路由器</w:t>
            </w:r>
          </w:p>
        </w:tc>
        <w:tc>
          <w:tcPr>
            <w:tcW w:w="1842" w:type="dxa"/>
            <w:vAlign w:val="center"/>
          </w:tcPr>
          <w:p>
            <w:pPr>
              <w:jc w:val="center"/>
              <w:rPr>
                <w:rFonts w:ascii="宋体" w:hAnsi="宋体"/>
                <w:sz w:val="24"/>
              </w:rPr>
            </w:pPr>
            <w:r>
              <w:rPr>
                <w:rFonts w:hint="eastAsia" w:cs="宋体"/>
                <w:color w:val="000000"/>
                <w:kern w:val="0"/>
                <w:sz w:val="20"/>
              </w:rPr>
              <w:t>路由器</w:t>
            </w:r>
          </w:p>
        </w:tc>
        <w:tc>
          <w:tcPr>
            <w:tcW w:w="709" w:type="dxa"/>
            <w:vAlign w:val="center"/>
          </w:tcPr>
          <w:p>
            <w:pPr>
              <w:widowControl/>
              <w:jc w:val="center"/>
              <w:rPr>
                <w:rFonts w:ascii="宋体" w:hAnsi="宋体"/>
                <w:sz w:val="24"/>
              </w:rPr>
            </w:pPr>
            <w:r>
              <w:rPr>
                <w:rFonts w:hint="eastAsia" w:cs="宋体"/>
                <w:color w:val="000000"/>
                <w:kern w:val="0"/>
                <w:sz w:val="20"/>
              </w:rPr>
              <w:t>台</w:t>
            </w:r>
          </w:p>
        </w:tc>
        <w:tc>
          <w:tcPr>
            <w:tcW w:w="709" w:type="dxa"/>
            <w:vAlign w:val="center"/>
          </w:tcPr>
          <w:p>
            <w:pPr>
              <w:widowControl/>
              <w:jc w:val="center"/>
              <w:rPr>
                <w:rFonts w:ascii="宋体" w:hAnsi="宋体"/>
                <w:sz w:val="24"/>
              </w:rPr>
            </w:pPr>
            <w:r>
              <w:rPr>
                <w:rFonts w:hint="eastAsia" w:cs="宋体"/>
                <w:color w:val="000000"/>
                <w:kern w:val="0"/>
                <w:sz w:val="20"/>
              </w:rPr>
              <w:t>1</w:t>
            </w:r>
          </w:p>
        </w:tc>
        <w:tc>
          <w:tcPr>
            <w:tcW w:w="2367" w:type="dxa"/>
            <w:vAlign w:val="center"/>
          </w:tcPr>
          <w:p>
            <w:pPr>
              <w:spacing w:line="40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5" w:hRule="atLeast"/>
          <w:jc w:val="center"/>
        </w:trPr>
        <w:tc>
          <w:tcPr>
            <w:tcW w:w="1134" w:type="dxa"/>
            <w:vAlign w:val="center"/>
          </w:tcPr>
          <w:p>
            <w:pPr>
              <w:widowControl/>
              <w:jc w:val="center"/>
              <w:rPr>
                <w:rFonts w:ascii="宋体" w:hAnsi="宋体"/>
                <w:sz w:val="24"/>
              </w:rPr>
            </w:pPr>
            <w:r>
              <w:rPr>
                <w:rFonts w:cs="宋体"/>
                <w:color w:val="000000"/>
                <w:kern w:val="0"/>
                <w:sz w:val="20"/>
              </w:rPr>
              <w:t>2</w:t>
            </w:r>
          </w:p>
        </w:tc>
        <w:tc>
          <w:tcPr>
            <w:tcW w:w="1701" w:type="dxa"/>
            <w:vMerge w:val="continue"/>
            <w:vAlign w:val="center"/>
          </w:tcPr>
          <w:p>
            <w:pPr>
              <w:widowControl/>
              <w:jc w:val="center"/>
              <w:rPr>
                <w:rFonts w:ascii="宋体" w:hAnsi="宋体"/>
                <w:sz w:val="24"/>
              </w:rPr>
            </w:pPr>
          </w:p>
        </w:tc>
        <w:tc>
          <w:tcPr>
            <w:tcW w:w="1842" w:type="dxa"/>
            <w:vAlign w:val="center"/>
          </w:tcPr>
          <w:p>
            <w:pPr>
              <w:jc w:val="center"/>
              <w:rPr>
                <w:rFonts w:ascii="宋体" w:hAnsi="宋体"/>
                <w:sz w:val="24"/>
              </w:rPr>
            </w:pPr>
            <w:r>
              <w:rPr>
                <w:rFonts w:hint="eastAsia" w:cs="宋体"/>
                <w:color w:val="000000"/>
                <w:kern w:val="0"/>
                <w:sz w:val="20"/>
              </w:rPr>
              <w:t>单模光模块</w:t>
            </w:r>
          </w:p>
        </w:tc>
        <w:tc>
          <w:tcPr>
            <w:tcW w:w="709" w:type="dxa"/>
            <w:vAlign w:val="center"/>
          </w:tcPr>
          <w:p>
            <w:pPr>
              <w:widowControl/>
              <w:jc w:val="center"/>
              <w:rPr>
                <w:rFonts w:ascii="宋体" w:hAnsi="宋体"/>
                <w:sz w:val="24"/>
              </w:rPr>
            </w:pPr>
            <w:r>
              <w:rPr>
                <w:rFonts w:hint="eastAsia" w:cs="宋体"/>
                <w:color w:val="000000"/>
                <w:kern w:val="0"/>
                <w:sz w:val="20"/>
              </w:rPr>
              <w:t>块</w:t>
            </w:r>
          </w:p>
        </w:tc>
        <w:tc>
          <w:tcPr>
            <w:tcW w:w="709" w:type="dxa"/>
            <w:vAlign w:val="center"/>
          </w:tcPr>
          <w:p>
            <w:pPr>
              <w:widowControl/>
              <w:jc w:val="center"/>
              <w:rPr>
                <w:rFonts w:ascii="宋体" w:hAnsi="宋体"/>
                <w:sz w:val="24"/>
              </w:rPr>
            </w:pPr>
            <w:r>
              <w:rPr>
                <w:rFonts w:cs="宋体"/>
                <w:color w:val="000000"/>
                <w:kern w:val="0"/>
                <w:sz w:val="20"/>
              </w:rPr>
              <w:t>2</w:t>
            </w:r>
          </w:p>
        </w:tc>
        <w:tc>
          <w:tcPr>
            <w:tcW w:w="2367" w:type="dxa"/>
            <w:vAlign w:val="center"/>
          </w:tcPr>
          <w:p>
            <w:pPr>
              <w:spacing w:line="40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5" w:hRule="atLeast"/>
          <w:jc w:val="center"/>
        </w:trPr>
        <w:tc>
          <w:tcPr>
            <w:tcW w:w="1134" w:type="dxa"/>
            <w:vAlign w:val="center"/>
          </w:tcPr>
          <w:p>
            <w:pPr>
              <w:widowControl/>
              <w:jc w:val="center"/>
              <w:rPr>
                <w:rFonts w:cs="宋体"/>
                <w:color w:val="000000"/>
                <w:kern w:val="0"/>
                <w:sz w:val="20"/>
              </w:rPr>
            </w:pPr>
            <w:r>
              <w:rPr>
                <w:rFonts w:cs="宋体"/>
                <w:color w:val="000000"/>
                <w:kern w:val="0"/>
                <w:sz w:val="20"/>
              </w:rPr>
              <w:t>3</w:t>
            </w:r>
          </w:p>
        </w:tc>
        <w:tc>
          <w:tcPr>
            <w:tcW w:w="1701" w:type="dxa"/>
            <w:vMerge w:val="continue"/>
            <w:vAlign w:val="center"/>
          </w:tcPr>
          <w:p>
            <w:pPr>
              <w:widowControl/>
              <w:jc w:val="center"/>
              <w:rPr>
                <w:rFonts w:cs="宋体"/>
                <w:color w:val="000000"/>
                <w:kern w:val="0"/>
                <w:sz w:val="20"/>
              </w:rPr>
            </w:pPr>
          </w:p>
        </w:tc>
        <w:tc>
          <w:tcPr>
            <w:tcW w:w="1842" w:type="dxa"/>
            <w:vAlign w:val="center"/>
          </w:tcPr>
          <w:p>
            <w:pPr>
              <w:jc w:val="center"/>
              <w:rPr>
                <w:rFonts w:ascii="宋体" w:hAnsi="宋体"/>
                <w:sz w:val="24"/>
              </w:rPr>
            </w:pPr>
            <w:r>
              <w:rPr>
                <w:rFonts w:hint="eastAsia" w:cs="宋体"/>
                <w:color w:val="000000"/>
                <w:kern w:val="0"/>
                <w:sz w:val="20"/>
              </w:rPr>
              <w:t>尾纤（LC-LC 20米）</w:t>
            </w:r>
          </w:p>
        </w:tc>
        <w:tc>
          <w:tcPr>
            <w:tcW w:w="709" w:type="dxa"/>
            <w:vAlign w:val="center"/>
          </w:tcPr>
          <w:p>
            <w:pPr>
              <w:widowControl/>
              <w:jc w:val="center"/>
              <w:rPr>
                <w:rFonts w:cs="宋体"/>
                <w:color w:val="000000"/>
                <w:kern w:val="0"/>
                <w:sz w:val="20"/>
              </w:rPr>
            </w:pPr>
            <w:r>
              <w:rPr>
                <w:rFonts w:hint="eastAsia" w:cs="宋体"/>
                <w:color w:val="000000"/>
                <w:kern w:val="0"/>
                <w:sz w:val="20"/>
              </w:rPr>
              <w:t>条</w:t>
            </w:r>
          </w:p>
        </w:tc>
        <w:tc>
          <w:tcPr>
            <w:tcW w:w="709" w:type="dxa"/>
            <w:vAlign w:val="center"/>
          </w:tcPr>
          <w:p>
            <w:pPr>
              <w:widowControl/>
              <w:jc w:val="center"/>
              <w:rPr>
                <w:rFonts w:cs="宋体"/>
                <w:color w:val="000000"/>
                <w:kern w:val="0"/>
                <w:sz w:val="20"/>
              </w:rPr>
            </w:pPr>
            <w:r>
              <w:rPr>
                <w:rFonts w:cs="宋体"/>
                <w:color w:val="000000"/>
                <w:kern w:val="0"/>
                <w:sz w:val="20"/>
              </w:rPr>
              <w:t>2</w:t>
            </w:r>
          </w:p>
        </w:tc>
        <w:tc>
          <w:tcPr>
            <w:tcW w:w="2367" w:type="dxa"/>
            <w:vAlign w:val="center"/>
          </w:tcPr>
          <w:p>
            <w:pPr>
              <w:spacing w:line="400" w:lineRule="exact"/>
              <w:jc w:val="center"/>
              <w:rPr>
                <w:rFonts w:ascii="宋体" w:hAnsi="宋体"/>
                <w:szCs w:val="21"/>
              </w:rPr>
            </w:pPr>
          </w:p>
        </w:tc>
      </w:tr>
    </w:tbl>
    <w:p>
      <w:pPr>
        <w:adjustRightInd w:val="0"/>
        <w:snapToGrid w:val="0"/>
        <w:spacing w:line="360" w:lineRule="auto"/>
        <w:ind w:firstLine="480" w:firstLineChars="200"/>
        <w:rPr>
          <w:rFonts w:hAnsi="宋体"/>
          <w:sz w:val="24"/>
          <w:szCs w:val="24"/>
        </w:rPr>
      </w:pPr>
    </w:p>
    <w:p>
      <w:pPr>
        <w:pStyle w:val="2"/>
        <w:widowControl/>
        <w:overflowPunct w:val="0"/>
        <w:autoSpaceDE w:val="0"/>
        <w:autoSpaceDN w:val="0"/>
        <w:adjustRightInd w:val="0"/>
        <w:snapToGrid w:val="0"/>
        <w:spacing w:before="0" w:after="0" w:line="360" w:lineRule="auto"/>
        <w:textAlignment w:val="baseline"/>
        <w:rPr>
          <w:b w:val="0"/>
          <w:bCs/>
          <w:snapToGrid w:val="0"/>
          <w:kern w:val="0"/>
          <w:sz w:val="24"/>
          <w:szCs w:val="24"/>
        </w:rPr>
      </w:pPr>
      <w:bookmarkStart w:id="241" w:name="_Toc247536314"/>
      <w:bookmarkStart w:id="242" w:name="_Toc241652038"/>
      <w:bookmarkStart w:id="243" w:name="_Toc103766653"/>
      <w:bookmarkStart w:id="244" w:name="_Toc345514945"/>
      <w:bookmarkStart w:id="245" w:name="_Toc252539439"/>
      <w:r>
        <w:rPr>
          <w:b w:val="0"/>
          <w:bCs/>
          <w:snapToGrid w:val="0"/>
          <w:kern w:val="0"/>
          <w:sz w:val="24"/>
          <w:szCs w:val="24"/>
        </w:rPr>
        <w:t xml:space="preserve">2.2  </w:t>
      </w:r>
      <w:r>
        <w:rPr>
          <w:rFonts w:hAnsi="宋体"/>
          <w:b w:val="0"/>
          <w:bCs/>
          <w:snapToGrid w:val="0"/>
          <w:kern w:val="0"/>
          <w:sz w:val="24"/>
          <w:szCs w:val="24"/>
        </w:rPr>
        <w:t>必备的备品备件、专用工具和仪器仪表供货表</w:t>
      </w:r>
      <w:bookmarkEnd w:id="241"/>
      <w:bookmarkEnd w:id="242"/>
      <w:bookmarkEnd w:id="243"/>
      <w:bookmarkEnd w:id="244"/>
      <w:bookmarkEnd w:id="245"/>
    </w:p>
    <w:p>
      <w:pPr>
        <w:adjustRightInd w:val="0"/>
        <w:snapToGrid w:val="0"/>
        <w:spacing w:line="360" w:lineRule="auto"/>
        <w:ind w:firstLine="480" w:firstLineChars="200"/>
        <w:rPr>
          <w:sz w:val="24"/>
          <w:szCs w:val="24"/>
        </w:rPr>
      </w:pPr>
      <w:r>
        <w:rPr>
          <w:rFonts w:hAnsi="宋体"/>
          <w:sz w:val="24"/>
          <w:szCs w:val="24"/>
        </w:rPr>
        <w:t>表</w:t>
      </w:r>
      <w:r>
        <w:rPr>
          <w:rFonts w:hint="eastAsia"/>
          <w:sz w:val="24"/>
          <w:szCs w:val="24"/>
        </w:rPr>
        <w:t>4</w:t>
      </w:r>
      <w:r>
        <w:rPr>
          <w:rFonts w:hAnsi="宋体"/>
          <w:sz w:val="24"/>
          <w:szCs w:val="24"/>
        </w:rPr>
        <w:t>　</w:t>
      </w:r>
      <w:r>
        <w:rPr>
          <w:rFonts w:hint="eastAsia" w:hAnsi="宋体"/>
          <w:sz w:val="24"/>
          <w:szCs w:val="24"/>
        </w:rPr>
        <w:t xml:space="preserve">         </w:t>
      </w:r>
      <w:r>
        <w:rPr>
          <w:rFonts w:hAnsi="宋体"/>
          <w:sz w:val="24"/>
          <w:szCs w:val="24"/>
        </w:rPr>
        <w:t>必备的备品备件、专用工具和仪器仪表供货表</w:t>
      </w:r>
    </w:p>
    <w:tbl>
      <w:tblPr>
        <w:tblStyle w:val="9"/>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978"/>
        <w:gridCol w:w="2439"/>
        <w:gridCol w:w="1598"/>
        <w:gridCol w:w="1225"/>
        <w:gridCol w:w="836"/>
        <w:gridCol w:w="1172"/>
        <w:gridCol w:w="82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978" w:type="dxa"/>
            <w:vMerge w:val="restart"/>
            <w:vAlign w:val="center"/>
          </w:tcPr>
          <w:p>
            <w:pPr>
              <w:topLinePunct/>
              <w:jc w:val="center"/>
              <w:rPr>
                <w:szCs w:val="21"/>
              </w:rPr>
            </w:pPr>
            <w:r>
              <w:rPr>
                <w:rFonts w:hAnsi="宋体"/>
                <w:szCs w:val="21"/>
              </w:rPr>
              <w:t>序号</w:t>
            </w:r>
          </w:p>
        </w:tc>
        <w:tc>
          <w:tcPr>
            <w:tcW w:w="2439" w:type="dxa"/>
            <w:vMerge w:val="restart"/>
            <w:vAlign w:val="center"/>
          </w:tcPr>
          <w:p>
            <w:pPr>
              <w:topLinePunct/>
              <w:jc w:val="center"/>
              <w:rPr>
                <w:szCs w:val="21"/>
              </w:rPr>
            </w:pPr>
            <w:r>
              <w:rPr>
                <w:rFonts w:hAnsi="宋体"/>
                <w:szCs w:val="21"/>
              </w:rPr>
              <w:t>名</w:t>
            </w:r>
            <w:r>
              <w:rPr>
                <w:szCs w:val="21"/>
              </w:rPr>
              <w:t xml:space="preserve">  </w:t>
            </w:r>
            <w:r>
              <w:rPr>
                <w:rFonts w:hAnsi="宋体"/>
                <w:szCs w:val="21"/>
              </w:rPr>
              <w:t>称</w:t>
            </w:r>
          </w:p>
        </w:tc>
        <w:tc>
          <w:tcPr>
            <w:tcW w:w="1598" w:type="dxa"/>
            <w:vMerge w:val="restart"/>
            <w:vAlign w:val="center"/>
          </w:tcPr>
          <w:p>
            <w:pPr>
              <w:topLinePunct/>
              <w:jc w:val="center"/>
              <w:rPr>
                <w:szCs w:val="21"/>
              </w:rPr>
            </w:pPr>
            <w:r>
              <w:rPr>
                <w:rFonts w:hAnsi="宋体"/>
                <w:szCs w:val="21"/>
              </w:rPr>
              <w:t>单</w:t>
            </w:r>
            <w:r>
              <w:rPr>
                <w:szCs w:val="21"/>
              </w:rPr>
              <w:t xml:space="preserve"> </w:t>
            </w:r>
            <w:r>
              <w:rPr>
                <w:rFonts w:hAnsi="宋体"/>
                <w:szCs w:val="21"/>
              </w:rPr>
              <w:t>位</w:t>
            </w:r>
          </w:p>
        </w:tc>
        <w:tc>
          <w:tcPr>
            <w:tcW w:w="2061" w:type="dxa"/>
            <w:gridSpan w:val="2"/>
            <w:vAlign w:val="center"/>
          </w:tcPr>
          <w:p>
            <w:pPr>
              <w:topLinePunct/>
              <w:jc w:val="center"/>
              <w:rPr>
                <w:kern w:val="0"/>
                <w:szCs w:val="21"/>
              </w:rPr>
            </w:pPr>
            <w:r>
              <w:rPr>
                <w:rFonts w:hAnsi="宋体"/>
                <w:szCs w:val="21"/>
              </w:rPr>
              <w:t>招标人要求</w:t>
            </w:r>
          </w:p>
        </w:tc>
        <w:tc>
          <w:tcPr>
            <w:tcW w:w="1996" w:type="dxa"/>
            <w:gridSpan w:val="2"/>
            <w:vAlign w:val="center"/>
          </w:tcPr>
          <w:p>
            <w:pPr>
              <w:topLinePunct/>
              <w:jc w:val="center"/>
              <w:rPr>
                <w:kern w:val="0"/>
                <w:szCs w:val="21"/>
              </w:rPr>
            </w:pPr>
            <w:r>
              <w:rPr>
                <w:rFonts w:hAnsi="宋体"/>
                <w:szCs w:val="21"/>
              </w:rPr>
              <w:t>投标人响应</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978" w:type="dxa"/>
            <w:vMerge w:val="continue"/>
            <w:vAlign w:val="center"/>
          </w:tcPr>
          <w:p>
            <w:pPr>
              <w:topLinePunct/>
              <w:jc w:val="center"/>
              <w:rPr>
                <w:szCs w:val="21"/>
              </w:rPr>
            </w:pPr>
          </w:p>
        </w:tc>
        <w:tc>
          <w:tcPr>
            <w:tcW w:w="2439" w:type="dxa"/>
            <w:vMerge w:val="continue"/>
            <w:vAlign w:val="center"/>
          </w:tcPr>
          <w:p>
            <w:pPr>
              <w:topLinePunct/>
              <w:jc w:val="center"/>
              <w:rPr>
                <w:szCs w:val="21"/>
              </w:rPr>
            </w:pPr>
          </w:p>
        </w:tc>
        <w:tc>
          <w:tcPr>
            <w:tcW w:w="1598" w:type="dxa"/>
            <w:vMerge w:val="continue"/>
            <w:vAlign w:val="center"/>
          </w:tcPr>
          <w:p>
            <w:pPr>
              <w:topLinePunct/>
              <w:jc w:val="center"/>
              <w:rPr>
                <w:szCs w:val="21"/>
              </w:rPr>
            </w:pPr>
          </w:p>
        </w:tc>
        <w:tc>
          <w:tcPr>
            <w:tcW w:w="1225" w:type="dxa"/>
            <w:vAlign w:val="center"/>
          </w:tcPr>
          <w:p>
            <w:pPr>
              <w:topLinePunct/>
              <w:jc w:val="center"/>
              <w:rPr>
                <w:szCs w:val="21"/>
              </w:rPr>
            </w:pPr>
            <w:r>
              <w:rPr>
                <w:rFonts w:hAnsi="宋体"/>
                <w:szCs w:val="21"/>
              </w:rPr>
              <w:t>型号和规格</w:t>
            </w:r>
          </w:p>
        </w:tc>
        <w:tc>
          <w:tcPr>
            <w:tcW w:w="836" w:type="dxa"/>
            <w:vAlign w:val="center"/>
          </w:tcPr>
          <w:p>
            <w:pPr>
              <w:topLinePunct/>
              <w:jc w:val="center"/>
              <w:rPr>
                <w:szCs w:val="21"/>
              </w:rPr>
            </w:pPr>
            <w:r>
              <w:rPr>
                <w:rFonts w:hAnsi="宋体"/>
                <w:szCs w:val="21"/>
              </w:rPr>
              <w:t>数量</w:t>
            </w:r>
          </w:p>
        </w:tc>
        <w:tc>
          <w:tcPr>
            <w:tcW w:w="1172" w:type="dxa"/>
            <w:vAlign w:val="center"/>
          </w:tcPr>
          <w:p>
            <w:pPr>
              <w:topLinePunct/>
              <w:jc w:val="center"/>
              <w:rPr>
                <w:szCs w:val="21"/>
              </w:rPr>
            </w:pPr>
            <w:r>
              <w:rPr>
                <w:rFonts w:hAnsi="宋体"/>
                <w:szCs w:val="21"/>
              </w:rPr>
              <w:t>型号和规格</w:t>
            </w:r>
          </w:p>
        </w:tc>
        <w:tc>
          <w:tcPr>
            <w:tcW w:w="824" w:type="dxa"/>
            <w:vAlign w:val="center"/>
          </w:tcPr>
          <w:p>
            <w:pPr>
              <w:topLinePunct/>
              <w:jc w:val="center"/>
              <w:rPr>
                <w:szCs w:val="21"/>
              </w:rPr>
            </w:pPr>
            <w:r>
              <w:rPr>
                <w:rFonts w:hAnsi="宋体"/>
                <w:szCs w:val="21"/>
              </w:rPr>
              <w:t>数量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978" w:type="dxa"/>
            <w:vAlign w:val="center"/>
          </w:tcPr>
          <w:p>
            <w:pPr>
              <w:topLinePunct/>
              <w:jc w:val="center"/>
              <w:rPr>
                <w:szCs w:val="21"/>
              </w:rPr>
            </w:pPr>
            <w:r>
              <w:rPr>
                <w:szCs w:val="21"/>
              </w:rPr>
              <w:t>1</w:t>
            </w:r>
          </w:p>
        </w:tc>
        <w:tc>
          <w:tcPr>
            <w:tcW w:w="2439" w:type="dxa"/>
            <w:vAlign w:val="center"/>
          </w:tcPr>
          <w:p>
            <w:pPr>
              <w:topLinePunct/>
              <w:jc w:val="center"/>
              <w:rPr>
                <w:szCs w:val="21"/>
              </w:rPr>
            </w:pPr>
          </w:p>
        </w:tc>
        <w:tc>
          <w:tcPr>
            <w:tcW w:w="1598" w:type="dxa"/>
            <w:vAlign w:val="center"/>
          </w:tcPr>
          <w:p>
            <w:pPr>
              <w:topLinePunct/>
              <w:jc w:val="center"/>
              <w:rPr>
                <w:szCs w:val="21"/>
              </w:rPr>
            </w:pPr>
          </w:p>
        </w:tc>
        <w:tc>
          <w:tcPr>
            <w:tcW w:w="1225" w:type="dxa"/>
            <w:vAlign w:val="center"/>
          </w:tcPr>
          <w:p>
            <w:pPr>
              <w:topLinePunct/>
              <w:jc w:val="center"/>
              <w:rPr>
                <w:szCs w:val="21"/>
              </w:rPr>
            </w:pPr>
          </w:p>
        </w:tc>
        <w:tc>
          <w:tcPr>
            <w:tcW w:w="836" w:type="dxa"/>
            <w:vAlign w:val="center"/>
          </w:tcPr>
          <w:p>
            <w:pPr>
              <w:topLinePunct/>
              <w:jc w:val="center"/>
              <w:rPr>
                <w:szCs w:val="21"/>
              </w:rPr>
            </w:pPr>
          </w:p>
        </w:tc>
        <w:tc>
          <w:tcPr>
            <w:tcW w:w="1172" w:type="dxa"/>
            <w:vAlign w:val="center"/>
          </w:tcPr>
          <w:p>
            <w:pPr>
              <w:topLinePunct/>
              <w:jc w:val="center"/>
              <w:rPr>
                <w:szCs w:val="21"/>
              </w:rPr>
            </w:pPr>
          </w:p>
        </w:tc>
        <w:tc>
          <w:tcPr>
            <w:tcW w:w="824" w:type="dxa"/>
            <w:vAlign w:val="center"/>
          </w:tcPr>
          <w:p>
            <w:pPr>
              <w:topLinePun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978" w:type="dxa"/>
            <w:vAlign w:val="center"/>
          </w:tcPr>
          <w:p>
            <w:pPr>
              <w:topLinePunct/>
              <w:jc w:val="center"/>
              <w:rPr>
                <w:szCs w:val="21"/>
              </w:rPr>
            </w:pPr>
            <w:r>
              <w:rPr>
                <w:szCs w:val="21"/>
              </w:rPr>
              <w:t>2</w:t>
            </w:r>
          </w:p>
        </w:tc>
        <w:tc>
          <w:tcPr>
            <w:tcW w:w="2439" w:type="dxa"/>
            <w:vAlign w:val="center"/>
          </w:tcPr>
          <w:p>
            <w:pPr>
              <w:topLinePunct/>
              <w:jc w:val="center"/>
              <w:rPr>
                <w:szCs w:val="21"/>
              </w:rPr>
            </w:pPr>
          </w:p>
        </w:tc>
        <w:tc>
          <w:tcPr>
            <w:tcW w:w="1598" w:type="dxa"/>
            <w:vAlign w:val="center"/>
          </w:tcPr>
          <w:p>
            <w:pPr>
              <w:topLinePunct/>
              <w:jc w:val="center"/>
              <w:rPr>
                <w:szCs w:val="21"/>
              </w:rPr>
            </w:pPr>
          </w:p>
        </w:tc>
        <w:tc>
          <w:tcPr>
            <w:tcW w:w="1225" w:type="dxa"/>
            <w:vAlign w:val="center"/>
          </w:tcPr>
          <w:p>
            <w:pPr>
              <w:topLinePunct/>
              <w:jc w:val="center"/>
              <w:rPr>
                <w:szCs w:val="21"/>
              </w:rPr>
            </w:pPr>
          </w:p>
        </w:tc>
        <w:tc>
          <w:tcPr>
            <w:tcW w:w="836" w:type="dxa"/>
            <w:vAlign w:val="center"/>
          </w:tcPr>
          <w:p>
            <w:pPr>
              <w:topLinePunct/>
              <w:jc w:val="center"/>
              <w:rPr>
                <w:szCs w:val="21"/>
              </w:rPr>
            </w:pPr>
          </w:p>
        </w:tc>
        <w:tc>
          <w:tcPr>
            <w:tcW w:w="1172" w:type="dxa"/>
            <w:vAlign w:val="center"/>
          </w:tcPr>
          <w:p>
            <w:pPr>
              <w:topLinePunct/>
              <w:jc w:val="center"/>
              <w:rPr>
                <w:szCs w:val="21"/>
              </w:rPr>
            </w:pPr>
          </w:p>
        </w:tc>
        <w:tc>
          <w:tcPr>
            <w:tcW w:w="824" w:type="dxa"/>
            <w:vAlign w:val="center"/>
          </w:tcPr>
          <w:p>
            <w:pPr>
              <w:topLinePunct/>
              <w:jc w:val="center"/>
              <w:rPr>
                <w:szCs w:val="21"/>
              </w:rPr>
            </w:pPr>
          </w:p>
        </w:tc>
      </w:tr>
    </w:tbl>
    <w:p>
      <w:pPr>
        <w:pStyle w:val="2"/>
        <w:widowControl/>
        <w:overflowPunct w:val="0"/>
        <w:autoSpaceDE w:val="0"/>
        <w:autoSpaceDN w:val="0"/>
        <w:adjustRightInd w:val="0"/>
        <w:snapToGrid w:val="0"/>
        <w:spacing w:before="156" w:beforeLines="50" w:after="0" w:line="360" w:lineRule="auto"/>
        <w:textAlignment w:val="baseline"/>
        <w:rPr>
          <w:b w:val="0"/>
          <w:bCs/>
          <w:snapToGrid w:val="0"/>
          <w:kern w:val="0"/>
          <w:sz w:val="24"/>
          <w:szCs w:val="24"/>
        </w:rPr>
      </w:pPr>
      <w:bookmarkStart w:id="246" w:name="_Toc155182704"/>
      <w:bookmarkStart w:id="247" w:name="_Toc345514946"/>
      <w:bookmarkStart w:id="248" w:name="_Toc155113116"/>
      <w:bookmarkStart w:id="249" w:name="_Toc247536316"/>
      <w:bookmarkStart w:id="250" w:name="_Toc241652040"/>
      <w:bookmarkStart w:id="251" w:name="_Toc103766654"/>
      <w:bookmarkStart w:id="252" w:name="_Toc252539440"/>
      <w:r>
        <w:rPr>
          <w:b w:val="0"/>
          <w:bCs/>
          <w:snapToGrid w:val="0"/>
          <w:kern w:val="0"/>
          <w:sz w:val="24"/>
          <w:szCs w:val="24"/>
        </w:rPr>
        <w:t xml:space="preserve">2.3  </w:t>
      </w:r>
      <w:r>
        <w:rPr>
          <w:rFonts w:hAnsi="宋体"/>
          <w:b w:val="0"/>
          <w:bCs/>
          <w:snapToGrid w:val="0"/>
          <w:kern w:val="0"/>
          <w:sz w:val="24"/>
          <w:szCs w:val="24"/>
        </w:rPr>
        <w:t>工程概况</w:t>
      </w:r>
      <w:bookmarkEnd w:id="246"/>
      <w:bookmarkEnd w:id="247"/>
      <w:bookmarkEnd w:id="248"/>
      <w:bookmarkEnd w:id="249"/>
      <w:bookmarkEnd w:id="250"/>
      <w:bookmarkEnd w:id="251"/>
      <w:bookmarkEnd w:id="252"/>
    </w:p>
    <w:p>
      <w:pPr>
        <w:pStyle w:val="19"/>
        <w:topLinePunct/>
        <w:adjustRightInd w:val="0"/>
        <w:snapToGrid w:val="0"/>
        <w:spacing w:line="360" w:lineRule="auto"/>
        <w:rPr>
          <w:rFonts w:ascii="Times New Roman" w:hAnsi="Times New Roman"/>
          <w:b w:val="0"/>
          <w:snapToGrid w:val="0"/>
          <w:color w:val="auto"/>
          <w:kern w:val="0"/>
          <w:szCs w:val="24"/>
        </w:rPr>
      </w:pPr>
      <w:r>
        <w:rPr>
          <w:rFonts w:ascii="Times New Roman" w:hAnsi="Times New Roman"/>
          <w:b w:val="0"/>
          <w:snapToGrid w:val="0"/>
          <w:color w:val="auto"/>
          <w:kern w:val="0"/>
          <w:szCs w:val="24"/>
        </w:rPr>
        <w:t xml:space="preserve">2.3.1  </w:t>
      </w:r>
      <w:r>
        <w:rPr>
          <w:rFonts w:ascii="Times New Roman"/>
          <w:b w:val="0"/>
          <w:snapToGrid w:val="0"/>
          <w:color w:val="auto"/>
          <w:kern w:val="0"/>
          <w:szCs w:val="24"/>
        </w:rPr>
        <w:t>项目名称：</w:t>
      </w:r>
      <w:r>
        <w:rPr>
          <w:rFonts w:hint="eastAsia" w:ascii="Times New Roman"/>
          <w:b w:val="0"/>
          <w:snapToGrid w:val="0"/>
          <w:color w:val="auto"/>
          <w:kern w:val="0"/>
          <w:szCs w:val="24"/>
        </w:rPr>
        <w:t>阿拉善供电公司阿右旗供电分公司信息机房双设备改造</w:t>
      </w:r>
    </w:p>
    <w:p>
      <w:pPr>
        <w:pStyle w:val="19"/>
        <w:topLinePunct/>
        <w:adjustRightInd w:val="0"/>
        <w:snapToGrid w:val="0"/>
        <w:spacing w:line="360" w:lineRule="auto"/>
        <w:rPr>
          <w:rFonts w:ascii="Times New Roman" w:hAnsi="Times New Roman"/>
          <w:b w:val="0"/>
          <w:snapToGrid w:val="0"/>
          <w:color w:val="auto"/>
          <w:kern w:val="0"/>
          <w:szCs w:val="24"/>
        </w:rPr>
      </w:pPr>
      <w:r>
        <w:rPr>
          <w:rFonts w:ascii="Times New Roman" w:hAnsi="Times New Roman"/>
          <w:b w:val="0"/>
          <w:snapToGrid w:val="0"/>
          <w:color w:val="auto"/>
          <w:kern w:val="0"/>
          <w:szCs w:val="24"/>
        </w:rPr>
        <w:t xml:space="preserve">2.3.2  </w:t>
      </w:r>
      <w:r>
        <w:rPr>
          <w:rFonts w:ascii="Times New Roman"/>
          <w:b w:val="0"/>
          <w:snapToGrid w:val="0"/>
          <w:color w:val="auto"/>
          <w:kern w:val="0"/>
          <w:szCs w:val="24"/>
        </w:rPr>
        <w:t>项目单位：</w:t>
      </w:r>
      <w:r>
        <w:rPr>
          <w:rFonts w:hint="eastAsia" w:ascii="Times New Roman"/>
          <w:b w:val="0"/>
          <w:snapToGrid w:val="0"/>
          <w:color w:val="auto"/>
          <w:kern w:val="0"/>
          <w:szCs w:val="24"/>
        </w:rPr>
        <w:t>阿拉善供电公司</w:t>
      </w:r>
    </w:p>
    <w:p>
      <w:pPr>
        <w:pStyle w:val="19"/>
        <w:topLinePunct/>
        <w:adjustRightInd w:val="0"/>
        <w:snapToGrid w:val="0"/>
        <w:spacing w:line="360" w:lineRule="auto"/>
        <w:rPr>
          <w:szCs w:val="28"/>
        </w:rPr>
      </w:pPr>
      <w:r>
        <w:rPr>
          <w:rFonts w:ascii="Times New Roman" w:hAnsi="Times New Roman"/>
          <w:b w:val="0"/>
          <w:snapToGrid w:val="0"/>
          <w:color w:val="auto"/>
          <w:kern w:val="0"/>
          <w:szCs w:val="24"/>
        </w:rPr>
        <w:t xml:space="preserve">2.3.3  </w:t>
      </w:r>
      <w:r>
        <w:rPr>
          <w:rFonts w:ascii="Times New Roman"/>
          <w:b w:val="0"/>
          <w:snapToGrid w:val="0"/>
          <w:color w:val="auto"/>
          <w:kern w:val="0"/>
          <w:szCs w:val="24"/>
        </w:rPr>
        <w:t>工程规模：</w:t>
      </w:r>
      <w:r>
        <w:rPr>
          <w:rFonts w:hint="eastAsia" w:ascii="Times New Roman"/>
          <w:b w:val="0"/>
          <w:snapToGrid w:val="0"/>
          <w:color w:val="auto"/>
          <w:kern w:val="0"/>
          <w:szCs w:val="24"/>
        </w:rPr>
        <w:t>本次改造在四楼信息机房新增一台路由器和一台核心交换机，形成双机热备冗余配置，大大提升网络可靠性和安全性，右旗220kV站华为S3700交换机新增一条上行链路，GE光口上联至光端机，再上行至右旗供电分公司信息机房本次新增的核心交换机。上井子110kV站H3C 5500交换机也新增一条上行链路，GE光口上联至光端机，再上行至右旗供电分公司信息机房本次新增的核心交换机（光端机千兆板在2022年技改项目通信技改项目中实施增补）。</w:t>
      </w:r>
    </w:p>
    <w:p>
      <w:pPr>
        <w:pStyle w:val="19"/>
        <w:topLinePunct/>
        <w:adjustRightInd w:val="0"/>
        <w:snapToGrid w:val="0"/>
        <w:spacing w:line="360" w:lineRule="auto"/>
        <w:rPr>
          <w:rFonts w:ascii="Times New Roman" w:hAnsi="Times New Roman"/>
          <w:b w:val="0"/>
          <w:snapToGrid w:val="0"/>
          <w:color w:val="auto"/>
          <w:kern w:val="0"/>
          <w:szCs w:val="24"/>
        </w:rPr>
      </w:pPr>
      <w:r>
        <w:rPr>
          <w:rFonts w:ascii="Times New Roman" w:hAnsi="Times New Roman"/>
          <w:b w:val="0"/>
          <w:snapToGrid w:val="0"/>
          <w:color w:val="auto"/>
          <w:kern w:val="0"/>
          <w:szCs w:val="24"/>
        </w:rPr>
        <w:t xml:space="preserve">2.3.4  </w:t>
      </w:r>
      <w:r>
        <w:rPr>
          <w:rFonts w:ascii="Times New Roman"/>
          <w:b w:val="0"/>
          <w:snapToGrid w:val="0"/>
          <w:color w:val="auto"/>
          <w:kern w:val="0"/>
          <w:szCs w:val="24"/>
        </w:rPr>
        <w:t>工程地址：</w:t>
      </w:r>
      <w:r>
        <w:rPr>
          <w:rFonts w:hint="eastAsia" w:ascii="Times New Roman"/>
          <w:b w:val="0"/>
          <w:snapToGrid w:val="0"/>
          <w:color w:val="auto"/>
          <w:kern w:val="0"/>
          <w:szCs w:val="24"/>
        </w:rPr>
        <w:t>阿右旗</w:t>
      </w:r>
    </w:p>
    <w:p>
      <w:pPr>
        <w:pStyle w:val="19"/>
        <w:topLinePunct/>
        <w:adjustRightInd w:val="0"/>
        <w:snapToGrid w:val="0"/>
        <w:spacing w:line="360" w:lineRule="auto"/>
        <w:rPr>
          <w:rFonts w:ascii="Times New Roman" w:hAnsi="Times New Roman"/>
          <w:b w:val="0"/>
          <w:snapToGrid w:val="0"/>
          <w:color w:val="auto"/>
          <w:kern w:val="0"/>
          <w:szCs w:val="24"/>
        </w:rPr>
      </w:pPr>
      <w:r>
        <w:rPr>
          <w:rFonts w:ascii="Times New Roman" w:hAnsi="Times New Roman"/>
          <w:b w:val="0"/>
          <w:snapToGrid w:val="0"/>
          <w:color w:val="auto"/>
          <w:kern w:val="0"/>
          <w:szCs w:val="24"/>
        </w:rPr>
        <w:t xml:space="preserve">2.3.5  </w:t>
      </w:r>
      <w:r>
        <w:rPr>
          <w:rFonts w:ascii="Times New Roman"/>
          <w:b w:val="0"/>
          <w:snapToGrid w:val="0"/>
          <w:color w:val="auto"/>
          <w:kern w:val="0"/>
          <w:szCs w:val="24"/>
        </w:rPr>
        <w:t>交通、运输：</w:t>
      </w:r>
    </w:p>
    <w:p>
      <w:pPr>
        <w:pStyle w:val="2"/>
        <w:widowControl/>
        <w:overflowPunct w:val="0"/>
        <w:autoSpaceDE w:val="0"/>
        <w:autoSpaceDN w:val="0"/>
        <w:adjustRightInd w:val="0"/>
        <w:snapToGrid w:val="0"/>
        <w:spacing w:before="0" w:after="0" w:line="360" w:lineRule="auto"/>
        <w:textAlignment w:val="baseline"/>
        <w:rPr>
          <w:b w:val="0"/>
          <w:bCs/>
          <w:snapToGrid w:val="0"/>
          <w:kern w:val="0"/>
          <w:sz w:val="24"/>
          <w:szCs w:val="24"/>
        </w:rPr>
      </w:pPr>
      <w:bookmarkStart w:id="253" w:name="_Toc345514947"/>
      <w:bookmarkStart w:id="254" w:name="_Toc252539441"/>
      <w:bookmarkStart w:id="255" w:name="_Toc103766655"/>
      <w:bookmarkStart w:id="256" w:name="_Toc241652042"/>
      <w:bookmarkStart w:id="257" w:name="_Toc247536318"/>
      <w:bookmarkStart w:id="258" w:name="_Toc155182708"/>
      <w:r>
        <w:rPr>
          <w:b w:val="0"/>
          <w:bCs/>
          <w:snapToGrid w:val="0"/>
          <w:kern w:val="0"/>
          <w:sz w:val="24"/>
          <w:szCs w:val="24"/>
        </w:rPr>
        <w:t xml:space="preserve">2.4  </w:t>
      </w:r>
      <w:r>
        <w:rPr>
          <w:rFonts w:hAnsi="宋体"/>
          <w:b w:val="0"/>
          <w:bCs/>
          <w:snapToGrid w:val="0"/>
          <w:kern w:val="0"/>
          <w:sz w:val="24"/>
          <w:szCs w:val="24"/>
        </w:rPr>
        <w:t>使用条件</w:t>
      </w:r>
      <w:bookmarkEnd w:id="253"/>
      <w:bookmarkEnd w:id="254"/>
      <w:bookmarkEnd w:id="255"/>
    </w:p>
    <w:p>
      <w:pPr>
        <w:adjustRightInd w:val="0"/>
        <w:snapToGrid w:val="0"/>
        <w:spacing w:line="360" w:lineRule="auto"/>
        <w:ind w:firstLine="480" w:firstLineChars="200"/>
        <w:rPr>
          <w:sz w:val="24"/>
          <w:szCs w:val="24"/>
        </w:rPr>
      </w:pPr>
      <w:r>
        <w:rPr>
          <w:rFonts w:hAnsi="宋体"/>
          <w:sz w:val="24"/>
          <w:szCs w:val="24"/>
        </w:rPr>
        <w:t>表</w:t>
      </w:r>
      <w:r>
        <w:rPr>
          <w:rFonts w:hint="eastAsia"/>
          <w:sz w:val="24"/>
          <w:szCs w:val="24"/>
        </w:rPr>
        <w:t>5</w:t>
      </w:r>
      <w:r>
        <w:rPr>
          <w:rFonts w:hAnsi="宋体"/>
          <w:sz w:val="24"/>
          <w:szCs w:val="24"/>
        </w:rPr>
        <w:t>　</w:t>
      </w:r>
      <w:r>
        <w:rPr>
          <w:rFonts w:hint="eastAsia" w:hAnsi="宋体"/>
          <w:sz w:val="24"/>
          <w:szCs w:val="24"/>
        </w:rPr>
        <w:t xml:space="preserve">                        </w:t>
      </w:r>
      <w:r>
        <w:rPr>
          <w:rFonts w:hAnsi="宋体"/>
          <w:sz w:val="24"/>
          <w:szCs w:val="24"/>
        </w:rPr>
        <w:t>使用条件表</w:t>
      </w:r>
    </w:p>
    <w:tbl>
      <w:tblPr>
        <w:tblStyle w:val="9"/>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13"/>
        <w:gridCol w:w="1598"/>
        <w:gridCol w:w="1975"/>
        <w:gridCol w:w="1230"/>
        <w:gridCol w:w="1778"/>
        <w:gridCol w:w="177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3" w:type="dxa"/>
            <w:vAlign w:val="center"/>
          </w:tcPr>
          <w:p>
            <w:pPr>
              <w:topLinePunct/>
              <w:snapToGrid w:val="0"/>
              <w:spacing w:before="40" w:after="40"/>
              <w:jc w:val="center"/>
              <w:rPr>
                <w:szCs w:val="21"/>
              </w:rPr>
            </w:pPr>
            <w:r>
              <w:rPr>
                <w:rFonts w:hAnsi="宋体"/>
                <w:szCs w:val="21"/>
              </w:rPr>
              <w:t>序号</w:t>
            </w:r>
          </w:p>
        </w:tc>
        <w:tc>
          <w:tcPr>
            <w:tcW w:w="3573" w:type="dxa"/>
            <w:gridSpan w:val="2"/>
            <w:vAlign w:val="center"/>
          </w:tcPr>
          <w:p>
            <w:pPr>
              <w:widowControl/>
              <w:jc w:val="center"/>
              <w:rPr>
                <w:color w:val="000000"/>
                <w:kern w:val="0"/>
                <w:szCs w:val="21"/>
              </w:rPr>
            </w:pPr>
            <w:r>
              <w:rPr>
                <w:rFonts w:hAnsi="宋体"/>
                <w:color w:val="000000"/>
                <w:kern w:val="0"/>
                <w:szCs w:val="21"/>
              </w:rPr>
              <w:t>名</w:t>
            </w:r>
            <w:r>
              <w:rPr>
                <w:color w:val="000000"/>
                <w:kern w:val="0"/>
                <w:szCs w:val="21"/>
              </w:rPr>
              <w:t xml:space="preserve">  </w:t>
            </w:r>
            <w:r>
              <w:rPr>
                <w:rFonts w:hAnsi="宋体"/>
                <w:color w:val="000000"/>
                <w:kern w:val="0"/>
                <w:szCs w:val="21"/>
              </w:rPr>
              <w:t>称</w:t>
            </w:r>
          </w:p>
        </w:tc>
        <w:tc>
          <w:tcPr>
            <w:tcW w:w="1230" w:type="dxa"/>
            <w:vAlign w:val="center"/>
          </w:tcPr>
          <w:p>
            <w:pPr>
              <w:widowControl/>
              <w:jc w:val="center"/>
              <w:rPr>
                <w:color w:val="000000"/>
                <w:kern w:val="0"/>
                <w:szCs w:val="21"/>
              </w:rPr>
            </w:pPr>
            <w:r>
              <w:rPr>
                <w:rFonts w:hAnsi="宋体"/>
                <w:color w:val="000000"/>
                <w:kern w:val="0"/>
                <w:szCs w:val="21"/>
              </w:rPr>
              <w:t>单位</w:t>
            </w:r>
          </w:p>
        </w:tc>
        <w:tc>
          <w:tcPr>
            <w:tcW w:w="1778" w:type="dxa"/>
            <w:vAlign w:val="center"/>
          </w:tcPr>
          <w:p>
            <w:pPr>
              <w:widowControl/>
              <w:jc w:val="center"/>
              <w:rPr>
                <w:color w:val="000000"/>
                <w:kern w:val="0"/>
                <w:szCs w:val="21"/>
              </w:rPr>
            </w:pPr>
            <w:r>
              <w:rPr>
                <w:rFonts w:hAnsi="宋体"/>
                <w:color w:val="000000"/>
                <w:kern w:val="0"/>
                <w:szCs w:val="21"/>
              </w:rPr>
              <w:t>招标人要求值</w:t>
            </w:r>
          </w:p>
        </w:tc>
        <w:tc>
          <w:tcPr>
            <w:tcW w:w="1778" w:type="dxa"/>
            <w:vAlign w:val="center"/>
          </w:tcPr>
          <w:p>
            <w:pPr>
              <w:widowControl/>
              <w:jc w:val="center"/>
              <w:rPr>
                <w:color w:val="000000"/>
                <w:kern w:val="0"/>
                <w:szCs w:val="21"/>
              </w:rPr>
            </w:pPr>
            <w:r>
              <w:rPr>
                <w:rFonts w:hAnsi="宋体"/>
                <w:color w:val="000000"/>
                <w:kern w:val="0"/>
                <w:szCs w:val="21"/>
              </w:rPr>
              <w:t>投标人保证值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3" w:type="dxa"/>
            <w:vMerge w:val="restart"/>
            <w:vAlign w:val="center"/>
          </w:tcPr>
          <w:p>
            <w:pPr>
              <w:jc w:val="center"/>
              <w:rPr>
                <w:color w:val="000000"/>
                <w:kern w:val="0"/>
                <w:szCs w:val="21"/>
              </w:rPr>
            </w:pPr>
            <w:r>
              <w:rPr>
                <w:color w:val="000000"/>
                <w:kern w:val="0"/>
                <w:szCs w:val="21"/>
              </w:rPr>
              <w:t>1</w:t>
            </w:r>
          </w:p>
        </w:tc>
        <w:tc>
          <w:tcPr>
            <w:tcW w:w="1598" w:type="dxa"/>
            <w:vMerge w:val="restart"/>
            <w:vAlign w:val="center"/>
          </w:tcPr>
          <w:p>
            <w:pPr>
              <w:widowControl/>
              <w:jc w:val="center"/>
              <w:rPr>
                <w:color w:val="000000"/>
                <w:kern w:val="0"/>
                <w:szCs w:val="21"/>
              </w:rPr>
            </w:pPr>
            <w:r>
              <w:rPr>
                <w:rFonts w:hAnsi="宋体"/>
                <w:color w:val="000000"/>
                <w:kern w:val="0"/>
                <w:szCs w:val="21"/>
              </w:rPr>
              <w:t>环境温度</w:t>
            </w:r>
          </w:p>
        </w:tc>
        <w:tc>
          <w:tcPr>
            <w:tcW w:w="1975" w:type="dxa"/>
            <w:vAlign w:val="center"/>
          </w:tcPr>
          <w:p>
            <w:pPr>
              <w:widowControl/>
              <w:jc w:val="center"/>
              <w:rPr>
                <w:color w:val="000000"/>
                <w:kern w:val="0"/>
                <w:szCs w:val="21"/>
              </w:rPr>
            </w:pPr>
            <w:r>
              <w:rPr>
                <w:rFonts w:hAnsi="宋体"/>
                <w:color w:val="000000"/>
                <w:kern w:val="0"/>
                <w:szCs w:val="21"/>
              </w:rPr>
              <w:t>设备储存温度</w:t>
            </w:r>
          </w:p>
        </w:tc>
        <w:tc>
          <w:tcPr>
            <w:tcW w:w="1230" w:type="dxa"/>
            <w:vMerge w:val="restart"/>
            <w:vAlign w:val="center"/>
          </w:tcPr>
          <w:p>
            <w:pPr>
              <w:widowControl/>
              <w:jc w:val="center"/>
              <w:rPr>
                <w:color w:val="000000"/>
                <w:kern w:val="0"/>
                <w:szCs w:val="21"/>
              </w:rPr>
            </w:pPr>
            <w:r>
              <w:rPr>
                <w:rFonts w:ascii="宋体" w:hAnsi="宋体"/>
                <w:color w:val="000000"/>
                <w:kern w:val="0"/>
                <w:szCs w:val="21"/>
              </w:rPr>
              <w:t>℃</w:t>
            </w:r>
          </w:p>
        </w:tc>
        <w:tc>
          <w:tcPr>
            <w:tcW w:w="1778" w:type="dxa"/>
            <w:vAlign w:val="center"/>
          </w:tcPr>
          <w:p>
            <w:pPr>
              <w:widowControl/>
              <w:jc w:val="center"/>
              <w:rPr>
                <w:color w:val="000000"/>
                <w:kern w:val="0"/>
                <w:szCs w:val="21"/>
              </w:rPr>
            </w:pPr>
            <w:r>
              <w:rPr>
                <w:color w:val="000000"/>
                <w:kern w:val="0"/>
                <w:szCs w:val="21"/>
              </w:rPr>
              <w:t>-40</w:t>
            </w:r>
            <w:r>
              <w:rPr>
                <w:rFonts w:hAnsi="宋体"/>
                <w:color w:val="000000"/>
                <w:kern w:val="0"/>
                <w:szCs w:val="21"/>
              </w:rPr>
              <w:t>～</w:t>
            </w:r>
            <w:r>
              <w:rPr>
                <w:color w:val="000000"/>
                <w:kern w:val="0"/>
                <w:szCs w:val="21"/>
              </w:rPr>
              <w:t>+55</w:t>
            </w:r>
          </w:p>
        </w:tc>
        <w:tc>
          <w:tcPr>
            <w:tcW w:w="1778" w:type="dxa"/>
            <w:vAlign w:val="center"/>
          </w:tcPr>
          <w:p>
            <w:pPr>
              <w:widowControl/>
              <w:jc w:val="center"/>
              <w:rPr>
                <w:color w:val="000000"/>
                <w:kern w:val="0"/>
                <w:szCs w:val="21"/>
              </w:rPr>
            </w:pPr>
            <w:r>
              <w:rPr>
                <w:rFonts w:hAnsi="宋体"/>
                <w:color w:val="000000"/>
                <w:kern w:val="0"/>
                <w:szCs w:val="21"/>
              </w:rPr>
              <w:t>（投标人填写）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3" w:type="dxa"/>
            <w:vMerge w:val="continue"/>
            <w:vAlign w:val="center"/>
          </w:tcPr>
          <w:p>
            <w:pPr>
              <w:jc w:val="center"/>
              <w:rPr>
                <w:color w:val="000000"/>
                <w:kern w:val="0"/>
                <w:szCs w:val="21"/>
              </w:rPr>
            </w:pPr>
          </w:p>
        </w:tc>
        <w:tc>
          <w:tcPr>
            <w:tcW w:w="1598" w:type="dxa"/>
            <w:vMerge w:val="continue"/>
            <w:vAlign w:val="center"/>
          </w:tcPr>
          <w:p>
            <w:pPr>
              <w:widowControl/>
              <w:jc w:val="center"/>
              <w:rPr>
                <w:color w:val="000000"/>
                <w:kern w:val="0"/>
                <w:szCs w:val="21"/>
              </w:rPr>
            </w:pPr>
          </w:p>
        </w:tc>
        <w:tc>
          <w:tcPr>
            <w:tcW w:w="1975" w:type="dxa"/>
            <w:vAlign w:val="center"/>
          </w:tcPr>
          <w:p>
            <w:pPr>
              <w:widowControl/>
              <w:jc w:val="center"/>
              <w:rPr>
                <w:color w:val="000000"/>
                <w:kern w:val="0"/>
                <w:szCs w:val="21"/>
              </w:rPr>
            </w:pPr>
            <w:r>
              <w:rPr>
                <w:rFonts w:hAnsi="宋体"/>
                <w:color w:val="000000"/>
                <w:kern w:val="0"/>
                <w:szCs w:val="21"/>
              </w:rPr>
              <w:t>设备工作温度</w:t>
            </w:r>
          </w:p>
        </w:tc>
        <w:tc>
          <w:tcPr>
            <w:tcW w:w="1230" w:type="dxa"/>
            <w:vMerge w:val="continue"/>
            <w:vAlign w:val="center"/>
          </w:tcPr>
          <w:p>
            <w:pPr>
              <w:widowControl/>
              <w:jc w:val="center"/>
              <w:rPr>
                <w:color w:val="000000"/>
                <w:kern w:val="0"/>
                <w:szCs w:val="21"/>
              </w:rPr>
            </w:pPr>
          </w:p>
        </w:tc>
        <w:tc>
          <w:tcPr>
            <w:tcW w:w="1778" w:type="dxa"/>
            <w:vAlign w:val="center"/>
          </w:tcPr>
          <w:p>
            <w:pPr>
              <w:widowControl/>
              <w:jc w:val="center"/>
              <w:rPr>
                <w:color w:val="000000"/>
                <w:kern w:val="0"/>
                <w:szCs w:val="21"/>
              </w:rPr>
            </w:pPr>
            <w:r>
              <w:rPr>
                <w:color w:val="000000"/>
                <w:kern w:val="0"/>
                <w:szCs w:val="21"/>
              </w:rPr>
              <w:t>0</w:t>
            </w:r>
            <w:r>
              <w:rPr>
                <w:rFonts w:hAnsi="宋体"/>
                <w:color w:val="000000"/>
                <w:kern w:val="0"/>
                <w:szCs w:val="21"/>
              </w:rPr>
              <w:t>～</w:t>
            </w:r>
            <w:r>
              <w:rPr>
                <w:color w:val="000000"/>
                <w:kern w:val="0"/>
                <w:szCs w:val="21"/>
              </w:rPr>
              <w:t>+45</w:t>
            </w:r>
          </w:p>
        </w:tc>
        <w:tc>
          <w:tcPr>
            <w:tcW w:w="1778" w:type="dxa"/>
            <w:vAlign w:val="center"/>
          </w:tcPr>
          <w:p>
            <w:pPr>
              <w:widowControl/>
              <w:jc w:val="center"/>
              <w:rPr>
                <w:color w:val="000000"/>
                <w:kern w:val="0"/>
                <w:szCs w:val="21"/>
              </w:rPr>
            </w:pPr>
            <w:r>
              <w:rPr>
                <w:rFonts w:hAnsi="宋体"/>
                <w:color w:val="000000"/>
                <w:kern w:val="0"/>
                <w:szCs w:val="21"/>
              </w:rPr>
              <w:t>（投标人填写）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3" w:type="dxa"/>
            <w:vAlign w:val="center"/>
          </w:tcPr>
          <w:p>
            <w:pPr>
              <w:jc w:val="center"/>
              <w:rPr>
                <w:color w:val="000000"/>
                <w:kern w:val="0"/>
                <w:szCs w:val="21"/>
              </w:rPr>
            </w:pPr>
            <w:r>
              <w:rPr>
                <w:color w:val="000000"/>
                <w:kern w:val="0"/>
                <w:szCs w:val="21"/>
              </w:rPr>
              <w:t>2</w:t>
            </w:r>
          </w:p>
        </w:tc>
        <w:tc>
          <w:tcPr>
            <w:tcW w:w="3573" w:type="dxa"/>
            <w:gridSpan w:val="2"/>
            <w:vAlign w:val="center"/>
          </w:tcPr>
          <w:p>
            <w:pPr>
              <w:widowControl/>
              <w:jc w:val="center"/>
              <w:rPr>
                <w:color w:val="000000"/>
                <w:kern w:val="0"/>
                <w:szCs w:val="21"/>
              </w:rPr>
            </w:pPr>
            <w:r>
              <w:rPr>
                <w:rFonts w:hAnsi="宋体"/>
                <w:color w:val="000000"/>
                <w:kern w:val="0"/>
                <w:szCs w:val="21"/>
              </w:rPr>
              <w:t>海拔高度</w:t>
            </w:r>
          </w:p>
        </w:tc>
        <w:tc>
          <w:tcPr>
            <w:tcW w:w="1230" w:type="dxa"/>
            <w:vAlign w:val="center"/>
          </w:tcPr>
          <w:p>
            <w:pPr>
              <w:widowControl/>
              <w:jc w:val="center"/>
              <w:rPr>
                <w:color w:val="000000"/>
                <w:kern w:val="0"/>
                <w:szCs w:val="21"/>
              </w:rPr>
            </w:pPr>
            <w:r>
              <w:rPr>
                <w:color w:val="000000"/>
                <w:kern w:val="0"/>
                <w:szCs w:val="21"/>
              </w:rPr>
              <w:t>m</w:t>
            </w:r>
          </w:p>
        </w:tc>
        <w:tc>
          <w:tcPr>
            <w:tcW w:w="1778" w:type="dxa"/>
            <w:vAlign w:val="center"/>
          </w:tcPr>
          <w:p>
            <w:pPr>
              <w:widowControl/>
              <w:jc w:val="center"/>
              <w:rPr>
                <w:color w:val="000000"/>
                <w:kern w:val="0"/>
                <w:szCs w:val="21"/>
              </w:rPr>
            </w:pPr>
            <w:r>
              <w:rPr>
                <w:color w:val="000000"/>
                <w:kern w:val="0"/>
                <w:szCs w:val="21"/>
              </w:rPr>
              <w:t>3000</w:t>
            </w:r>
          </w:p>
        </w:tc>
        <w:tc>
          <w:tcPr>
            <w:tcW w:w="1778" w:type="dxa"/>
            <w:vAlign w:val="center"/>
          </w:tcPr>
          <w:p>
            <w:pPr>
              <w:widowControl/>
              <w:jc w:val="center"/>
              <w:rPr>
                <w:color w:val="000000"/>
                <w:kern w:val="0"/>
                <w:szCs w:val="21"/>
              </w:rPr>
            </w:pPr>
            <w:r>
              <w:rPr>
                <w:rFonts w:hAnsi="宋体"/>
                <w:color w:val="000000"/>
                <w:kern w:val="0"/>
                <w:szCs w:val="21"/>
              </w:rPr>
              <w:t>（投标人填写）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3" w:type="dxa"/>
            <w:vAlign w:val="center"/>
          </w:tcPr>
          <w:p>
            <w:pPr>
              <w:jc w:val="center"/>
              <w:rPr>
                <w:color w:val="000000"/>
                <w:kern w:val="0"/>
                <w:szCs w:val="21"/>
              </w:rPr>
            </w:pPr>
            <w:r>
              <w:rPr>
                <w:color w:val="000000"/>
                <w:kern w:val="0"/>
                <w:szCs w:val="21"/>
              </w:rPr>
              <w:t>3</w:t>
            </w:r>
          </w:p>
        </w:tc>
        <w:tc>
          <w:tcPr>
            <w:tcW w:w="3573" w:type="dxa"/>
            <w:gridSpan w:val="2"/>
            <w:vAlign w:val="center"/>
          </w:tcPr>
          <w:p>
            <w:pPr>
              <w:widowControl/>
              <w:jc w:val="center"/>
              <w:rPr>
                <w:color w:val="000000"/>
                <w:kern w:val="0"/>
                <w:szCs w:val="21"/>
              </w:rPr>
            </w:pPr>
            <w:r>
              <w:rPr>
                <w:rFonts w:hAnsi="宋体"/>
                <w:color w:val="000000"/>
                <w:kern w:val="0"/>
                <w:szCs w:val="21"/>
              </w:rPr>
              <w:t>相对湿度</w:t>
            </w:r>
          </w:p>
        </w:tc>
        <w:tc>
          <w:tcPr>
            <w:tcW w:w="1230" w:type="dxa"/>
            <w:vAlign w:val="center"/>
          </w:tcPr>
          <w:p>
            <w:pPr>
              <w:widowControl/>
              <w:jc w:val="center"/>
              <w:rPr>
                <w:color w:val="000000"/>
                <w:kern w:val="0"/>
                <w:szCs w:val="21"/>
              </w:rPr>
            </w:pPr>
            <w:r>
              <w:rPr>
                <w:color w:val="000000"/>
                <w:kern w:val="0"/>
                <w:szCs w:val="21"/>
              </w:rPr>
              <w:t>%</w:t>
            </w:r>
          </w:p>
        </w:tc>
        <w:tc>
          <w:tcPr>
            <w:tcW w:w="1778" w:type="dxa"/>
            <w:vAlign w:val="center"/>
          </w:tcPr>
          <w:p>
            <w:pPr>
              <w:widowControl/>
              <w:jc w:val="center"/>
              <w:rPr>
                <w:color w:val="000000"/>
                <w:kern w:val="0"/>
                <w:szCs w:val="21"/>
              </w:rPr>
            </w:pPr>
            <w:r>
              <w:rPr>
                <w:color w:val="000000"/>
                <w:kern w:val="0"/>
                <w:szCs w:val="21"/>
              </w:rPr>
              <w:t>30</w:t>
            </w:r>
            <w:r>
              <w:rPr>
                <w:rFonts w:hAnsi="宋体"/>
                <w:color w:val="000000"/>
                <w:kern w:val="0"/>
                <w:szCs w:val="21"/>
              </w:rPr>
              <w:t>～</w:t>
            </w:r>
            <w:r>
              <w:rPr>
                <w:color w:val="000000"/>
                <w:kern w:val="0"/>
                <w:szCs w:val="21"/>
              </w:rPr>
              <w:t>85</w:t>
            </w:r>
          </w:p>
        </w:tc>
        <w:tc>
          <w:tcPr>
            <w:tcW w:w="1778" w:type="dxa"/>
            <w:vAlign w:val="center"/>
          </w:tcPr>
          <w:p>
            <w:pPr>
              <w:widowControl/>
              <w:jc w:val="center"/>
              <w:rPr>
                <w:color w:val="000000"/>
                <w:kern w:val="0"/>
                <w:szCs w:val="21"/>
              </w:rPr>
            </w:pPr>
            <w:r>
              <w:rPr>
                <w:rFonts w:hAnsi="宋体"/>
                <w:color w:val="000000"/>
                <w:kern w:val="0"/>
                <w:szCs w:val="21"/>
              </w:rPr>
              <w:t>（投标人填写）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3" w:type="dxa"/>
            <w:vMerge w:val="restart"/>
            <w:vAlign w:val="center"/>
          </w:tcPr>
          <w:p>
            <w:pPr>
              <w:jc w:val="center"/>
              <w:rPr>
                <w:color w:val="000000"/>
                <w:kern w:val="0"/>
                <w:szCs w:val="21"/>
              </w:rPr>
            </w:pPr>
            <w:r>
              <w:rPr>
                <w:color w:val="000000"/>
                <w:kern w:val="0"/>
                <w:szCs w:val="21"/>
              </w:rPr>
              <w:t>4</w:t>
            </w:r>
          </w:p>
        </w:tc>
        <w:tc>
          <w:tcPr>
            <w:tcW w:w="1598" w:type="dxa"/>
            <w:vMerge w:val="restart"/>
            <w:vAlign w:val="center"/>
          </w:tcPr>
          <w:p>
            <w:pPr>
              <w:widowControl/>
              <w:jc w:val="center"/>
              <w:rPr>
                <w:color w:val="000000"/>
                <w:kern w:val="0"/>
                <w:szCs w:val="21"/>
              </w:rPr>
            </w:pPr>
            <w:r>
              <w:rPr>
                <w:rFonts w:hAnsi="宋体"/>
                <w:color w:val="000000"/>
                <w:kern w:val="0"/>
                <w:szCs w:val="21"/>
              </w:rPr>
              <w:t>耐受地震能力</w:t>
            </w:r>
          </w:p>
        </w:tc>
        <w:tc>
          <w:tcPr>
            <w:tcW w:w="1975" w:type="dxa"/>
            <w:vAlign w:val="center"/>
          </w:tcPr>
          <w:p>
            <w:pPr>
              <w:widowControl/>
              <w:jc w:val="center"/>
              <w:rPr>
                <w:color w:val="000000"/>
                <w:kern w:val="0"/>
                <w:szCs w:val="21"/>
              </w:rPr>
            </w:pPr>
            <w:r>
              <w:rPr>
                <w:rFonts w:hAnsi="宋体"/>
                <w:color w:val="000000"/>
                <w:kern w:val="0"/>
                <w:szCs w:val="21"/>
              </w:rPr>
              <w:t>水平加速度</w:t>
            </w:r>
          </w:p>
        </w:tc>
        <w:tc>
          <w:tcPr>
            <w:tcW w:w="1230" w:type="dxa"/>
            <w:vAlign w:val="center"/>
          </w:tcPr>
          <w:p>
            <w:pPr>
              <w:widowControl/>
              <w:jc w:val="center"/>
              <w:rPr>
                <w:color w:val="000000"/>
                <w:kern w:val="0"/>
                <w:szCs w:val="21"/>
              </w:rPr>
            </w:pPr>
            <w:r>
              <w:rPr>
                <w:color w:val="000000"/>
                <w:kern w:val="0"/>
                <w:szCs w:val="21"/>
              </w:rPr>
              <w:t>g</w:t>
            </w:r>
          </w:p>
        </w:tc>
        <w:tc>
          <w:tcPr>
            <w:tcW w:w="1778" w:type="dxa"/>
            <w:vAlign w:val="center"/>
          </w:tcPr>
          <w:p>
            <w:pPr>
              <w:widowControl/>
              <w:jc w:val="center"/>
              <w:rPr>
                <w:color w:val="000000"/>
                <w:kern w:val="0"/>
                <w:szCs w:val="21"/>
              </w:rPr>
            </w:pPr>
            <w:r>
              <w:rPr>
                <w:color w:val="000000"/>
                <w:kern w:val="0"/>
                <w:szCs w:val="21"/>
              </w:rPr>
              <w:t>0.3g</w:t>
            </w:r>
          </w:p>
        </w:tc>
        <w:tc>
          <w:tcPr>
            <w:tcW w:w="1778" w:type="dxa"/>
            <w:vAlign w:val="center"/>
          </w:tcPr>
          <w:p>
            <w:pPr>
              <w:widowControl/>
              <w:jc w:val="center"/>
              <w:rPr>
                <w:color w:val="000000"/>
                <w:kern w:val="0"/>
                <w:szCs w:val="21"/>
              </w:rPr>
            </w:pPr>
            <w:r>
              <w:rPr>
                <w:rFonts w:hAnsi="宋体"/>
                <w:color w:val="000000"/>
                <w:kern w:val="0"/>
                <w:szCs w:val="21"/>
              </w:rPr>
              <w:t>（投标人填写）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3" w:type="dxa"/>
            <w:vMerge w:val="continue"/>
            <w:vAlign w:val="center"/>
          </w:tcPr>
          <w:p>
            <w:pPr>
              <w:topLinePunct/>
              <w:snapToGrid w:val="0"/>
              <w:spacing w:before="40" w:after="40"/>
              <w:jc w:val="center"/>
              <w:rPr>
                <w:szCs w:val="21"/>
              </w:rPr>
            </w:pPr>
          </w:p>
        </w:tc>
        <w:tc>
          <w:tcPr>
            <w:tcW w:w="1598" w:type="dxa"/>
            <w:vMerge w:val="continue"/>
            <w:vAlign w:val="center"/>
          </w:tcPr>
          <w:p>
            <w:pPr>
              <w:widowControl/>
              <w:jc w:val="center"/>
              <w:rPr>
                <w:color w:val="000000"/>
                <w:kern w:val="0"/>
                <w:szCs w:val="21"/>
              </w:rPr>
            </w:pPr>
          </w:p>
        </w:tc>
        <w:tc>
          <w:tcPr>
            <w:tcW w:w="1975" w:type="dxa"/>
            <w:vAlign w:val="center"/>
          </w:tcPr>
          <w:p>
            <w:pPr>
              <w:widowControl/>
              <w:jc w:val="center"/>
              <w:rPr>
                <w:color w:val="000000"/>
                <w:kern w:val="0"/>
                <w:szCs w:val="21"/>
              </w:rPr>
            </w:pPr>
            <w:r>
              <w:rPr>
                <w:rFonts w:hAnsi="宋体"/>
                <w:color w:val="000000"/>
                <w:kern w:val="0"/>
                <w:szCs w:val="21"/>
              </w:rPr>
              <w:t>垂直加速度</w:t>
            </w:r>
          </w:p>
        </w:tc>
        <w:tc>
          <w:tcPr>
            <w:tcW w:w="1230" w:type="dxa"/>
            <w:vAlign w:val="center"/>
          </w:tcPr>
          <w:p>
            <w:pPr>
              <w:widowControl/>
              <w:jc w:val="center"/>
              <w:rPr>
                <w:color w:val="000000"/>
                <w:kern w:val="0"/>
                <w:szCs w:val="21"/>
              </w:rPr>
            </w:pPr>
            <w:r>
              <w:rPr>
                <w:color w:val="000000"/>
                <w:kern w:val="0"/>
                <w:szCs w:val="21"/>
              </w:rPr>
              <w:t>g</w:t>
            </w:r>
          </w:p>
        </w:tc>
        <w:tc>
          <w:tcPr>
            <w:tcW w:w="1778" w:type="dxa"/>
            <w:vAlign w:val="center"/>
          </w:tcPr>
          <w:p>
            <w:pPr>
              <w:widowControl/>
              <w:jc w:val="center"/>
              <w:rPr>
                <w:color w:val="000000"/>
                <w:kern w:val="0"/>
                <w:szCs w:val="21"/>
              </w:rPr>
            </w:pPr>
            <w:r>
              <w:rPr>
                <w:color w:val="000000"/>
                <w:kern w:val="0"/>
                <w:szCs w:val="21"/>
              </w:rPr>
              <w:t>0.15g</w:t>
            </w:r>
          </w:p>
        </w:tc>
        <w:tc>
          <w:tcPr>
            <w:tcW w:w="1778" w:type="dxa"/>
            <w:vAlign w:val="center"/>
          </w:tcPr>
          <w:p>
            <w:pPr>
              <w:widowControl/>
              <w:jc w:val="center"/>
              <w:rPr>
                <w:color w:val="000000"/>
                <w:kern w:val="0"/>
                <w:szCs w:val="21"/>
              </w:rPr>
            </w:pPr>
            <w:r>
              <w:rPr>
                <w:rFonts w:hAnsi="宋体"/>
                <w:color w:val="000000"/>
                <w:kern w:val="0"/>
                <w:szCs w:val="21"/>
              </w:rPr>
              <w:t>（投标人填写）</w:t>
            </w:r>
          </w:p>
        </w:tc>
      </w:tr>
    </w:tbl>
    <w:p>
      <w:pPr>
        <w:adjustRightInd w:val="0"/>
        <w:snapToGrid w:val="0"/>
        <w:spacing w:before="156" w:beforeLines="50" w:line="360" w:lineRule="auto"/>
        <w:ind w:firstLine="420" w:firstLineChars="200"/>
        <w:rPr>
          <w:szCs w:val="21"/>
        </w:rPr>
      </w:pPr>
      <w:r>
        <w:rPr>
          <w:rFonts w:hAnsi="宋体"/>
          <w:szCs w:val="21"/>
        </w:rPr>
        <w:t>注：表</w:t>
      </w:r>
      <w:r>
        <w:rPr>
          <w:szCs w:val="21"/>
        </w:rPr>
        <w:t>6</w:t>
      </w:r>
      <w:r>
        <w:rPr>
          <w:rFonts w:hAnsi="宋体"/>
          <w:szCs w:val="21"/>
        </w:rPr>
        <w:t>中</w:t>
      </w:r>
      <w:r>
        <w:rPr>
          <w:szCs w:val="21"/>
        </w:rPr>
        <w:t>“</w:t>
      </w:r>
      <w:r>
        <w:rPr>
          <w:rFonts w:hAnsi="宋体"/>
          <w:szCs w:val="21"/>
        </w:rPr>
        <w:t>招标人要求值</w:t>
      </w:r>
      <w:r>
        <w:rPr>
          <w:szCs w:val="21"/>
        </w:rPr>
        <w:t>”</w:t>
      </w:r>
      <w:r>
        <w:rPr>
          <w:rFonts w:hAnsi="宋体"/>
          <w:szCs w:val="21"/>
        </w:rPr>
        <w:t>为正常使用条件，超出此值时为特殊使用条件，项目单位可根据工程实际使用条件进行修改。</w:t>
      </w:r>
    </w:p>
    <w:p>
      <w:pPr>
        <w:pStyle w:val="2"/>
        <w:widowControl/>
        <w:overflowPunct w:val="0"/>
        <w:autoSpaceDE w:val="0"/>
        <w:autoSpaceDN w:val="0"/>
        <w:adjustRightInd w:val="0"/>
        <w:snapToGrid w:val="0"/>
        <w:spacing w:before="0" w:after="0" w:line="360" w:lineRule="auto"/>
        <w:textAlignment w:val="baseline"/>
        <w:rPr>
          <w:b w:val="0"/>
          <w:bCs/>
          <w:snapToGrid w:val="0"/>
          <w:kern w:val="0"/>
          <w:sz w:val="24"/>
          <w:szCs w:val="24"/>
        </w:rPr>
      </w:pPr>
      <w:bookmarkStart w:id="259" w:name="_Toc345514948"/>
      <w:bookmarkStart w:id="260" w:name="_Toc103766656"/>
      <w:bookmarkStart w:id="261" w:name="_Toc252539442"/>
      <w:r>
        <w:rPr>
          <w:b w:val="0"/>
          <w:bCs/>
          <w:snapToGrid w:val="0"/>
          <w:kern w:val="0"/>
          <w:sz w:val="24"/>
          <w:szCs w:val="24"/>
        </w:rPr>
        <w:t xml:space="preserve">2.5  </w:t>
      </w:r>
      <w:r>
        <w:rPr>
          <w:rFonts w:hAnsi="宋体"/>
          <w:b w:val="0"/>
          <w:bCs/>
          <w:snapToGrid w:val="0"/>
          <w:kern w:val="0"/>
          <w:sz w:val="24"/>
          <w:szCs w:val="24"/>
        </w:rPr>
        <w:t>项目单位技术</w:t>
      </w:r>
      <w:bookmarkStart w:id="262" w:name="_Toc113439809"/>
      <w:bookmarkStart w:id="263" w:name="_Toc113530742"/>
      <w:bookmarkStart w:id="264" w:name="_Toc129573395"/>
      <w:r>
        <w:rPr>
          <w:rFonts w:hAnsi="宋体"/>
          <w:b w:val="0"/>
          <w:bCs/>
          <w:snapToGrid w:val="0"/>
          <w:kern w:val="0"/>
          <w:sz w:val="24"/>
          <w:szCs w:val="24"/>
        </w:rPr>
        <w:t>差异表</w:t>
      </w:r>
      <w:bookmarkEnd w:id="256"/>
      <w:bookmarkEnd w:id="257"/>
      <w:bookmarkEnd w:id="258"/>
      <w:bookmarkEnd w:id="259"/>
      <w:bookmarkEnd w:id="260"/>
      <w:bookmarkEnd w:id="261"/>
    </w:p>
    <w:bookmarkEnd w:id="262"/>
    <w:bookmarkEnd w:id="263"/>
    <w:bookmarkEnd w:id="264"/>
    <w:p>
      <w:pPr>
        <w:adjustRightInd w:val="0"/>
        <w:snapToGrid w:val="0"/>
        <w:spacing w:line="360" w:lineRule="auto"/>
        <w:ind w:firstLine="480" w:firstLineChars="200"/>
        <w:textAlignment w:val="baseline"/>
        <w:rPr>
          <w:sz w:val="24"/>
          <w:szCs w:val="24"/>
        </w:rPr>
      </w:pPr>
      <w:r>
        <w:rPr>
          <w:rFonts w:hAnsi="宋体"/>
          <w:sz w:val="24"/>
          <w:szCs w:val="24"/>
        </w:rPr>
        <w:t>项目单位原则上不能改动通用部分条款及专用部分固化的参数。</w:t>
      </w:r>
      <w:bookmarkStart w:id="265" w:name="_Toc17007720"/>
      <w:bookmarkStart w:id="266" w:name="_Toc22452674"/>
      <w:r>
        <w:rPr>
          <w:rFonts w:hAnsi="宋体"/>
          <w:sz w:val="24"/>
          <w:szCs w:val="24"/>
        </w:rPr>
        <w:t>根据工程使用条件，当污秽等级、海拔高度等与标准技术参数表有差异或对通用部分条款有差异时，应逐项在</w:t>
      </w:r>
      <w:r>
        <w:rPr>
          <w:sz w:val="24"/>
          <w:szCs w:val="24"/>
        </w:rPr>
        <w:t>“</w:t>
      </w:r>
      <w:r>
        <w:rPr>
          <w:rFonts w:hAnsi="宋体"/>
          <w:sz w:val="24"/>
          <w:szCs w:val="24"/>
        </w:rPr>
        <w:t>表</w:t>
      </w:r>
      <w:r>
        <w:rPr>
          <w:sz w:val="24"/>
          <w:szCs w:val="24"/>
        </w:rPr>
        <w:t xml:space="preserve">7 </w:t>
      </w:r>
      <w:r>
        <w:rPr>
          <w:rFonts w:hAnsi="宋体"/>
          <w:sz w:val="24"/>
          <w:szCs w:val="24"/>
        </w:rPr>
        <w:t>项目单位技术差异表</w:t>
      </w:r>
      <w:r>
        <w:rPr>
          <w:sz w:val="24"/>
          <w:szCs w:val="24"/>
        </w:rPr>
        <w:t xml:space="preserve">” </w:t>
      </w:r>
      <w:r>
        <w:rPr>
          <w:rFonts w:hAnsi="宋体"/>
          <w:sz w:val="24"/>
          <w:szCs w:val="24"/>
        </w:rPr>
        <w:t>中列出，并以差异表给出的参数为准。投标人应对表</w:t>
      </w:r>
      <w:r>
        <w:rPr>
          <w:sz w:val="24"/>
          <w:szCs w:val="24"/>
        </w:rPr>
        <w:t>7</w:t>
      </w:r>
      <w:r>
        <w:rPr>
          <w:rFonts w:hAnsi="宋体"/>
          <w:sz w:val="24"/>
          <w:szCs w:val="24"/>
        </w:rPr>
        <w:t>的技术参数进行确认。</w:t>
      </w:r>
    </w:p>
    <w:bookmarkEnd w:id="265"/>
    <w:bookmarkEnd w:id="266"/>
    <w:p>
      <w:pPr>
        <w:adjustRightInd w:val="0"/>
        <w:snapToGrid w:val="0"/>
        <w:spacing w:line="360" w:lineRule="auto"/>
        <w:ind w:firstLine="480" w:firstLineChars="200"/>
        <w:rPr>
          <w:sz w:val="24"/>
          <w:szCs w:val="24"/>
        </w:rPr>
      </w:pPr>
      <w:r>
        <w:rPr>
          <w:rFonts w:hAnsi="宋体"/>
          <w:sz w:val="24"/>
          <w:szCs w:val="24"/>
        </w:rPr>
        <w:t>表</w:t>
      </w:r>
      <w:r>
        <w:rPr>
          <w:rFonts w:hint="eastAsia"/>
          <w:sz w:val="24"/>
          <w:szCs w:val="24"/>
        </w:rPr>
        <w:t>6</w:t>
      </w:r>
      <w:r>
        <w:rPr>
          <w:rFonts w:hAnsi="宋体"/>
          <w:sz w:val="24"/>
          <w:szCs w:val="24"/>
        </w:rPr>
        <w:t>　</w:t>
      </w:r>
      <w:r>
        <w:rPr>
          <w:rFonts w:hint="eastAsia" w:hAnsi="宋体"/>
          <w:sz w:val="24"/>
          <w:szCs w:val="24"/>
        </w:rPr>
        <w:t xml:space="preserve">                  </w:t>
      </w:r>
      <w:r>
        <w:rPr>
          <w:rFonts w:hAnsi="宋体"/>
          <w:sz w:val="24"/>
          <w:szCs w:val="24"/>
        </w:rPr>
        <w:t>项目单位技术差异表</w:t>
      </w:r>
    </w:p>
    <w:tbl>
      <w:tblPr>
        <w:tblStyle w:val="9"/>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672"/>
        <w:gridCol w:w="1839"/>
        <w:gridCol w:w="2413"/>
        <w:gridCol w:w="2212"/>
        <w:gridCol w:w="193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72" w:type="dxa"/>
            <w:vAlign w:val="center"/>
          </w:tcPr>
          <w:p>
            <w:pPr>
              <w:adjustRightInd w:val="0"/>
              <w:snapToGrid w:val="0"/>
              <w:jc w:val="center"/>
              <w:rPr>
                <w:szCs w:val="21"/>
              </w:rPr>
            </w:pPr>
            <w:r>
              <w:rPr>
                <w:rFonts w:hAnsi="宋体"/>
                <w:szCs w:val="21"/>
              </w:rPr>
              <w:t>序号</w:t>
            </w:r>
          </w:p>
        </w:tc>
        <w:tc>
          <w:tcPr>
            <w:tcW w:w="1839" w:type="dxa"/>
            <w:vAlign w:val="center"/>
          </w:tcPr>
          <w:p>
            <w:pPr>
              <w:adjustRightInd w:val="0"/>
              <w:snapToGrid w:val="0"/>
              <w:jc w:val="center"/>
              <w:rPr>
                <w:szCs w:val="21"/>
              </w:rPr>
            </w:pPr>
            <w:r>
              <w:rPr>
                <w:rFonts w:hAnsi="宋体"/>
                <w:szCs w:val="21"/>
              </w:rPr>
              <w:t>项</w:t>
            </w:r>
            <w:r>
              <w:rPr>
                <w:szCs w:val="21"/>
              </w:rPr>
              <w:t xml:space="preserve"> </w:t>
            </w:r>
            <w:r>
              <w:rPr>
                <w:rFonts w:hAnsi="宋体"/>
                <w:szCs w:val="21"/>
              </w:rPr>
              <w:t>目</w:t>
            </w:r>
          </w:p>
        </w:tc>
        <w:tc>
          <w:tcPr>
            <w:tcW w:w="2413" w:type="dxa"/>
            <w:vAlign w:val="center"/>
          </w:tcPr>
          <w:p>
            <w:pPr>
              <w:adjustRightInd w:val="0"/>
              <w:snapToGrid w:val="0"/>
              <w:jc w:val="center"/>
              <w:rPr>
                <w:szCs w:val="21"/>
              </w:rPr>
            </w:pPr>
            <w:r>
              <w:rPr>
                <w:rFonts w:hAnsi="宋体"/>
                <w:szCs w:val="21"/>
              </w:rPr>
              <w:t>标准参数值</w:t>
            </w:r>
          </w:p>
        </w:tc>
        <w:tc>
          <w:tcPr>
            <w:tcW w:w="2212" w:type="dxa"/>
            <w:vAlign w:val="center"/>
          </w:tcPr>
          <w:p>
            <w:pPr>
              <w:adjustRightInd w:val="0"/>
              <w:snapToGrid w:val="0"/>
              <w:jc w:val="center"/>
              <w:rPr>
                <w:szCs w:val="21"/>
              </w:rPr>
            </w:pPr>
            <w:r>
              <w:rPr>
                <w:rFonts w:hAnsi="宋体"/>
                <w:szCs w:val="21"/>
              </w:rPr>
              <w:t>项目单位要求值</w:t>
            </w:r>
          </w:p>
        </w:tc>
        <w:tc>
          <w:tcPr>
            <w:tcW w:w="1936" w:type="dxa"/>
            <w:vAlign w:val="center"/>
          </w:tcPr>
          <w:p>
            <w:pPr>
              <w:adjustRightInd w:val="0"/>
              <w:snapToGrid w:val="0"/>
              <w:jc w:val="center"/>
              <w:rPr>
                <w:szCs w:val="21"/>
              </w:rPr>
            </w:pPr>
            <w:r>
              <w:rPr>
                <w:rFonts w:hAnsi="宋体"/>
                <w:szCs w:val="21"/>
              </w:rPr>
              <w:t>投标人保证值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72" w:type="dxa"/>
            <w:vAlign w:val="center"/>
          </w:tcPr>
          <w:p>
            <w:pPr>
              <w:adjustRightInd w:val="0"/>
              <w:snapToGrid w:val="0"/>
              <w:jc w:val="center"/>
              <w:rPr>
                <w:szCs w:val="21"/>
              </w:rPr>
            </w:pPr>
            <w:r>
              <w:rPr>
                <w:szCs w:val="21"/>
              </w:rPr>
              <w:t>1</w:t>
            </w:r>
          </w:p>
        </w:tc>
        <w:tc>
          <w:tcPr>
            <w:tcW w:w="1839" w:type="dxa"/>
            <w:vAlign w:val="center"/>
          </w:tcPr>
          <w:p>
            <w:pPr>
              <w:adjustRightInd w:val="0"/>
              <w:snapToGrid w:val="0"/>
              <w:jc w:val="center"/>
              <w:rPr>
                <w:szCs w:val="21"/>
              </w:rPr>
            </w:pPr>
          </w:p>
        </w:tc>
        <w:tc>
          <w:tcPr>
            <w:tcW w:w="2413" w:type="dxa"/>
            <w:vAlign w:val="center"/>
          </w:tcPr>
          <w:p>
            <w:pPr>
              <w:adjustRightInd w:val="0"/>
              <w:snapToGrid w:val="0"/>
              <w:jc w:val="center"/>
              <w:rPr>
                <w:szCs w:val="21"/>
              </w:rPr>
            </w:pPr>
          </w:p>
        </w:tc>
        <w:tc>
          <w:tcPr>
            <w:tcW w:w="2212" w:type="dxa"/>
            <w:vAlign w:val="center"/>
          </w:tcPr>
          <w:p>
            <w:pPr>
              <w:adjustRightInd w:val="0"/>
              <w:snapToGrid w:val="0"/>
              <w:jc w:val="center"/>
              <w:rPr>
                <w:szCs w:val="21"/>
              </w:rPr>
            </w:pPr>
          </w:p>
        </w:tc>
        <w:tc>
          <w:tcPr>
            <w:tcW w:w="1936" w:type="dxa"/>
            <w:vAlign w:val="center"/>
          </w:tcPr>
          <w:p>
            <w:pPr>
              <w:adjustRightInd w:val="0"/>
              <w:snapToGrid w:val="0"/>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72" w:type="dxa"/>
            <w:vAlign w:val="center"/>
          </w:tcPr>
          <w:p>
            <w:pPr>
              <w:adjustRightInd w:val="0"/>
              <w:snapToGrid w:val="0"/>
              <w:jc w:val="center"/>
              <w:rPr>
                <w:szCs w:val="21"/>
              </w:rPr>
            </w:pPr>
            <w:r>
              <w:rPr>
                <w:szCs w:val="21"/>
              </w:rPr>
              <w:t>2</w:t>
            </w:r>
          </w:p>
        </w:tc>
        <w:tc>
          <w:tcPr>
            <w:tcW w:w="1839" w:type="dxa"/>
            <w:vAlign w:val="center"/>
          </w:tcPr>
          <w:p>
            <w:pPr>
              <w:adjustRightInd w:val="0"/>
              <w:snapToGrid w:val="0"/>
              <w:jc w:val="center"/>
              <w:rPr>
                <w:szCs w:val="21"/>
              </w:rPr>
            </w:pPr>
          </w:p>
        </w:tc>
        <w:tc>
          <w:tcPr>
            <w:tcW w:w="2413" w:type="dxa"/>
            <w:vAlign w:val="center"/>
          </w:tcPr>
          <w:p>
            <w:pPr>
              <w:adjustRightInd w:val="0"/>
              <w:snapToGrid w:val="0"/>
              <w:jc w:val="center"/>
              <w:rPr>
                <w:szCs w:val="21"/>
              </w:rPr>
            </w:pPr>
          </w:p>
        </w:tc>
        <w:tc>
          <w:tcPr>
            <w:tcW w:w="2212" w:type="dxa"/>
            <w:vAlign w:val="center"/>
          </w:tcPr>
          <w:p>
            <w:pPr>
              <w:adjustRightInd w:val="0"/>
              <w:snapToGrid w:val="0"/>
              <w:jc w:val="center"/>
              <w:rPr>
                <w:szCs w:val="21"/>
              </w:rPr>
            </w:pPr>
          </w:p>
        </w:tc>
        <w:tc>
          <w:tcPr>
            <w:tcW w:w="1936" w:type="dxa"/>
            <w:vAlign w:val="center"/>
          </w:tcPr>
          <w:p>
            <w:pPr>
              <w:adjustRightInd w:val="0"/>
              <w:snapToGrid w:val="0"/>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72" w:type="dxa"/>
            <w:vAlign w:val="center"/>
          </w:tcPr>
          <w:p>
            <w:pPr>
              <w:adjustRightInd w:val="0"/>
              <w:snapToGrid w:val="0"/>
              <w:jc w:val="center"/>
              <w:rPr>
                <w:szCs w:val="21"/>
              </w:rPr>
            </w:pPr>
          </w:p>
        </w:tc>
        <w:tc>
          <w:tcPr>
            <w:tcW w:w="1839" w:type="dxa"/>
            <w:vAlign w:val="center"/>
          </w:tcPr>
          <w:p>
            <w:pPr>
              <w:adjustRightInd w:val="0"/>
              <w:snapToGrid w:val="0"/>
              <w:jc w:val="center"/>
              <w:rPr>
                <w:szCs w:val="21"/>
              </w:rPr>
            </w:pPr>
            <w:r>
              <w:rPr>
                <w:szCs w:val="21"/>
              </w:rPr>
              <w:t>……</w:t>
            </w:r>
          </w:p>
        </w:tc>
        <w:tc>
          <w:tcPr>
            <w:tcW w:w="2413" w:type="dxa"/>
            <w:vAlign w:val="center"/>
          </w:tcPr>
          <w:p>
            <w:pPr>
              <w:adjustRightInd w:val="0"/>
              <w:snapToGrid w:val="0"/>
              <w:jc w:val="center"/>
              <w:rPr>
                <w:szCs w:val="21"/>
              </w:rPr>
            </w:pPr>
          </w:p>
        </w:tc>
        <w:tc>
          <w:tcPr>
            <w:tcW w:w="2212" w:type="dxa"/>
            <w:vAlign w:val="center"/>
          </w:tcPr>
          <w:p>
            <w:pPr>
              <w:adjustRightInd w:val="0"/>
              <w:snapToGrid w:val="0"/>
              <w:jc w:val="center"/>
              <w:rPr>
                <w:szCs w:val="21"/>
              </w:rPr>
            </w:pPr>
          </w:p>
        </w:tc>
        <w:tc>
          <w:tcPr>
            <w:tcW w:w="1936" w:type="dxa"/>
            <w:vAlign w:val="center"/>
          </w:tcPr>
          <w:p>
            <w:pPr>
              <w:adjustRightInd w:val="0"/>
              <w:snapToGrid w:val="0"/>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72" w:type="dxa"/>
            <w:vAlign w:val="center"/>
          </w:tcPr>
          <w:p>
            <w:pPr>
              <w:adjustRightInd w:val="0"/>
              <w:snapToGrid w:val="0"/>
              <w:jc w:val="center"/>
              <w:rPr>
                <w:szCs w:val="21"/>
              </w:rPr>
            </w:pPr>
            <w:r>
              <w:rPr>
                <w:rFonts w:hAnsi="宋体"/>
                <w:szCs w:val="21"/>
              </w:rPr>
              <w:t>序号</w:t>
            </w:r>
          </w:p>
        </w:tc>
        <w:tc>
          <w:tcPr>
            <w:tcW w:w="1839" w:type="dxa"/>
            <w:vAlign w:val="center"/>
          </w:tcPr>
          <w:p>
            <w:pPr>
              <w:adjustRightInd w:val="0"/>
              <w:snapToGrid w:val="0"/>
              <w:jc w:val="center"/>
              <w:rPr>
                <w:szCs w:val="21"/>
              </w:rPr>
            </w:pPr>
            <w:r>
              <w:rPr>
                <w:rFonts w:hAnsi="宋体"/>
                <w:szCs w:val="21"/>
              </w:rPr>
              <w:t>项</w:t>
            </w:r>
            <w:r>
              <w:rPr>
                <w:szCs w:val="21"/>
              </w:rPr>
              <w:t xml:space="preserve"> </w:t>
            </w:r>
            <w:r>
              <w:rPr>
                <w:rFonts w:hAnsi="宋体"/>
                <w:szCs w:val="21"/>
              </w:rPr>
              <w:t>目</w:t>
            </w:r>
          </w:p>
        </w:tc>
        <w:tc>
          <w:tcPr>
            <w:tcW w:w="2413" w:type="dxa"/>
            <w:vAlign w:val="center"/>
          </w:tcPr>
          <w:p>
            <w:pPr>
              <w:adjustRightInd w:val="0"/>
              <w:snapToGrid w:val="0"/>
              <w:jc w:val="center"/>
              <w:rPr>
                <w:szCs w:val="21"/>
              </w:rPr>
            </w:pPr>
            <w:r>
              <w:rPr>
                <w:rFonts w:hAnsi="宋体"/>
                <w:szCs w:val="21"/>
              </w:rPr>
              <w:t>变更条款页码、款号</w:t>
            </w:r>
          </w:p>
        </w:tc>
        <w:tc>
          <w:tcPr>
            <w:tcW w:w="2212" w:type="dxa"/>
            <w:vAlign w:val="center"/>
          </w:tcPr>
          <w:p>
            <w:pPr>
              <w:adjustRightInd w:val="0"/>
              <w:snapToGrid w:val="0"/>
              <w:jc w:val="center"/>
              <w:rPr>
                <w:szCs w:val="21"/>
              </w:rPr>
            </w:pPr>
            <w:r>
              <w:rPr>
                <w:rFonts w:hAnsi="宋体"/>
                <w:szCs w:val="21"/>
              </w:rPr>
              <w:t>原表达</w:t>
            </w:r>
          </w:p>
        </w:tc>
        <w:tc>
          <w:tcPr>
            <w:tcW w:w="1936" w:type="dxa"/>
            <w:vAlign w:val="center"/>
          </w:tcPr>
          <w:p>
            <w:pPr>
              <w:adjustRightInd w:val="0"/>
              <w:snapToGrid w:val="0"/>
              <w:jc w:val="center"/>
              <w:rPr>
                <w:szCs w:val="21"/>
              </w:rPr>
            </w:pPr>
            <w:r>
              <w:rPr>
                <w:rFonts w:hAnsi="宋体"/>
                <w:szCs w:val="21"/>
              </w:rPr>
              <w:t>变更后表达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72" w:type="dxa"/>
            <w:vAlign w:val="center"/>
          </w:tcPr>
          <w:p>
            <w:pPr>
              <w:adjustRightInd w:val="0"/>
              <w:snapToGrid w:val="0"/>
              <w:jc w:val="center"/>
              <w:rPr>
                <w:szCs w:val="21"/>
              </w:rPr>
            </w:pPr>
            <w:r>
              <w:rPr>
                <w:szCs w:val="21"/>
              </w:rPr>
              <w:t>1</w:t>
            </w:r>
          </w:p>
        </w:tc>
        <w:tc>
          <w:tcPr>
            <w:tcW w:w="1839" w:type="dxa"/>
            <w:vAlign w:val="center"/>
          </w:tcPr>
          <w:p>
            <w:pPr>
              <w:adjustRightInd w:val="0"/>
              <w:snapToGrid w:val="0"/>
              <w:jc w:val="center"/>
              <w:rPr>
                <w:szCs w:val="21"/>
              </w:rPr>
            </w:pPr>
          </w:p>
        </w:tc>
        <w:tc>
          <w:tcPr>
            <w:tcW w:w="2413" w:type="dxa"/>
            <w:vAlign w:val="center"/>
          </w:tcPr>
          <w:p>
            <w:pPr>
              <w:adjustRightInd w:val="0"/>
              <w:snapToGrid w:val="0"/>
              <w:jc w:val="center"/>
              <w:rPr>
                <w:szCs w:val="21"/>
              </w:rPr>
            </w:pPr>
          </w:p>
        </w:tc>
        <w:tc>
          <w:tcPr>
            <w:tcW w:w="2212" w:type="dxa"/>
            <w:vAlign w:val="center"/>
          </w:tcPr>
          <w:p>
            <w:pPr>
              <w:adjustRightInd w:val="0"/>
              <w:snapToGrid w:val="0"/>
              <w:jc w:val="center"/>
              <w:rPr>
                <w:szCs w:val="21"/>
              </w:rPr>
            </w:pPr>
          </w:p>
        </w:tc>
        <w:tc>
          <w:tcPr>
            <w:tcW w:w="1936" w:type="dxa"/>
            <w:vAlign w:val="center"/>
          </w:tcPr>
          <w:p>
            <w:pPr>
              <w:adjustRightInd w:val="0"/>
              <w:snapToGrid w:val="0"/>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72" w:type="dxa"/>
            <w:vAlign w:val="center"/>
          </w:tcPr>
          <w:p>
            <w:pPr>
              <w:adjustRightInd w:val="0"/>
              <w:snapToGrid w:val="0"/>
              <w:jc w:val="center"/>
              <w:rPr>
                <w:szCs w:val="21"/>
              </w:rPr>
            </w:pPr>
            <w:r>
              <w:rPr>
                <w:szCs w:val="21"/>
              </w:rPr>
              <w:t>2</w:t>
            </w:r>
          </w:p>
        </w:tc>
        <w:tc>
          <w:tcPr>
            <w:tcW w:w="1839" w:type="dxa"/>
            <w:vAlign w:val="center"/>
          </w:tcPr>
          <w:p>
            <w:pPr>
              <w:adjustRightInd w:val="0"/>
              <w:snapToGrid w:val="0"/>
              <w:jc w:val="center"/>
              <w:rPr>
                <w:szCs w:val="21"/>
              </w:rPr>
            </w:pPr>
          </w:p>
        </w:tc>
        <w:tc>
          <w:tcPr>
            <w:tcW w:w="2413" w:type="dxa"/>
            <w:vAlign w:val="center"/>
          </w:tcPr>
          <w:p>
            <w:pPr>
              <w:adjustRightInd w:val="0"/>
              <w:snapToGrid w:val="0"/>
              <w:jc w:val="center"/>
              <w:rPr>
                <w:szCs w:val="21"/>
              </w:rPr>
            </w:pPr>
          </w:p>
        </w:tc>
        <w:tc>
          <w:tcPr>
            <w:tcW w:w="2212" w:type="dxa"/>
            <w:vAlign w:val="center"/>
          </w:tcPr>
          <w:p>
            <w:pPr>
              <w:adjustRightInd w:val="0"/>
              <w:snapToGrid w:val="0"/>
              <w:jc w:val="center"/>
              <w:rPr>
                <w:szCs w:val="21"/>
              </w:rPr>
            </w:pPr>
          </w:p>
        </w:tc>
        <w:tc>
          <w:tcPr>
            <w:tcW w:w="1936" w:type="dxa"/>
            <w:vAlign w:val="center"/>
          </w:tcPr>
          <w:p>
            <w:pPr>
              <w:adjustRightInd w:val="0"/>
              <w:snapToGrid w:val="0"/>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72" w:type="dxa"/>
            <w:vAlign w:val="center"/>
          </w:tcPr>
          <w:p>
            <w:pPr>
              <w:adjustRightInd w:val="0"/>
              <w:snapToGrid w:val="0"/>
              <w:jc w:val="center"/>
              <w:rPr>
                <w:szCs w:val="21"/>
              </w:rPr>
            </w:pPr>
          </w:p>
        </w:tc>
        <w:tc>
          <w:tcPr>
            <w:tcW w:w="1839" w:type="dxa"/>
            <w:vAlign w:val="center"/>
          </w:tcPr>
          <w:p>
            <w:pPr>
              <w:adjustRightInd w:val="0"/>
              <w:snapToGrid w:val="0"/>
              <w:jc w:val="center"/>
              <w:rPr>
                <w:szCs w:val="21"/>
              </w:rPr>
            </w:pPr>
            <w:r>
              <w:rPr>
                <w:szCs w:val="21"/>
              </w:rPr>
              <w:t>……</w:t>
            </w:r>
          </w:p>
        </w:tc>
        <w:tc>
          <w:tcPr>
            <w:tcW w:w="2413" w:type="dxa"/>
            <w:vAlign w:val="center"/>
          </w:tcPr>
          <w:p>
            <w:pPr>
              <w:adjustRightInd w:val="0"/>
              <w:snapToGrid w:val="0"/>
              <w:jc w:val="center"/>
              <w:rPr>
                <w:szCs w:val="21"/>
              </w:rPr>
            </w:pPr>
          </w:p>
        </w:tc>
        <w:tc>
          <w:tcPr>
            <w:tcW w:w="2212" w:type="dxa"/>
            <w:vAlign w:val="center"/>
          </w:tcPr>
          <w:p>
            <w:pPr>
              <w:adjustRightInd w:val="0"/>
              <w:snapToGrid w:val="0"/>
              <w:jc w:val="center"/>
              <w:rPr>
                <w:szCs w:val="21"/>
              </w:rPr>
            </w:pPr>
          </w:p>
        </w:tc>
        <w:tc>
          <w:tcPr>
            <w:tcW w:w="1936" w:type="dxa"/>
            <w:vAlign w:val="center"/>
          </w:tcPr>
          <w:p>
            <w:pPr>
              <w:adjustRightInd w:val="0"/>
              <w:snapToGrid w:val="0"/>
              <w:jc w:val="center"/>
              <w:rPr>
                <w:szCs w:val="21"/>
              </w:rPr>
            </w:pPr>
          </w:p>
        </w:tc>
      </w:tr>
    </w:tbl>
    <w:p>
      <w:pPr>
        <w:pStyle w:val="2"/>
        <w:widowControl/>
        <w:overflowPunct w:val="0"/>
        <w:autoSpaceDE w:val="0"/>
        <w:autoSpaceDN w:val="0"/>
        <w:adjustRightInd w:val="0"/>
        <w:snapToGrid w:val="0"/>
        <w:spacing w:before="156" w:beforeLines="50" w:after="0" w:line="360" w:lineRule="auto"/>
        <w:textAlignment w:val="baseline"/>
        <w:rPr>
          <w:b w:val="0"/>
          <w:bCs/>
          <w:snapToGrid w:val="0"/>
          <w:kern w:val="0"/>
          <w:sz w:val="24"/>
          <w:szCs w:val="24"/>
        </w:rPr>
      </w:pPr>
      <w:bookmarkStart w:id="267" w:name="_Toc252539443"/>
      <w:bookmarkStart w:id="268" w:name="_Toc103766657"/>
      <w:bookmarkStart w:id="269" w:name="_Toc345514949"/>
      <w:bookmarkStart w:id="270" w:name="_Toc247536320"/>
      <w:bookmarkStart w:id="271" w:name="_Toc247518084"/>
      <w:r>
        <w:rPr>
          <w:b w:val="0"/>
          <w:bCs/>
          <w:snapToGrid w:val="0"/>
          <w:kern w:val="0"/>
          <w:sz w:val="24"/>
          <w:szCs w:val="24"/>
        </w:rPr>
        <w:t xml:space="preserve">2.6  </w:t>
      </w:r>
      <w:r>
        <w:rPr>
          <w:rFonts w:hAnsi="宋体"/>
          <w:b w:val="0"/>
          <w:bCs/>
          <w:snapToGrid w:val="0"/>
          <w:kern w:val="0"/>
          <w:sz w:val="24"/>
          <w:szCs w:val="24"/>
        </w:rPr>
        <w:t>设计联络会、培训及验收需求一览表</w:t>
      </w:r>
      <w:bookmarkEnd w:id="267"/>
      <w:bookmarkEnd w:id="268"/>
      <w:bookmarkEnd w:id="269"/>
    </w:p>
    <w:p>
      <w:pPr>
        <w:adjustRightInd w:val="0"/>
        <w:snapToGrid w:val="0"/>
        <w:spacing w:line="360" w:lineRule="auto"/>
        <w:ind w:firstLine="480" w:firstLineChars="200"/>
        <w:rPr>
          <w:sz w:val="24"/>
          <w:szCs w:val="24"/>
        </w:rPr>
      </w:pPr>
      <w:r>
        <w:rPr>
          <w:rFonts w:hAnsi="宋体"/>
          <w:sz w:val="24"/>
          <w:szCs w:val="24"/>
        </w:rPr>
        <w:t>表</w:t>
      </w:r>
      <w:r>
        <w:rPr>
          <w:rFonts w:hint="eastAsia"/>
          <w:sz w:val="24"/>
          <w:szCs w:val="24"/>
        </w:rPr>
        <w:t>7</w:t>
      </w:r>
      <w:r>
        <w:rPr>
          <w:sz w:val="24"/>
          <w:szCs w:val="24"/>
        </w:rPr>
        <w:t xml:space="preserve"> </w:t>
      </w:r>
      <w:r>
        <w:rPr>
          <w:rFonts w:hint="eastAsia"/>
          <w:sz w:val="24"/>
          <w:szCs w:val="24"/>
        </w:rPr>
        <w:t xml:space="preserve">              </w:t>
      </w:r>
      <w:r>
        <w:rPr>
          <w:rFonts w:hAnsi="宋体"/>
          <w:sz w:val="24"/>
          <w:szCs w:val="24"/>
        </w:rPr>
        <w:t>设计联络会、培训及验收需求一览表</w:t>
      </w:r>
    </w:p>
    <w:tbl>
      <w:tblPr>
        <w:tblStyle w:val="9"/>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66"/>
        <w:gridCol w:w="1943"/>
        <w:gridCol w:w="3346"/>
        <w:gridCol w:w="319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97" w:hRule="atLeast"/>
          <w:jc w:val="center"/>
        </w:trPr>
        <w:tc>
          <w:tcPr>
            <w:tcW w:w="866" w:type="dxa"/>
          </w:tcPr>
          <w:p>
            <w:pPr>
              <w:jc w:val="center"/>
              <w:rPr>
                <w:color w:val="000000"/>
                <w:szCs w:val="21"/>
              </w:rPr>
            </w:pPr>
            <w:r>
              <w:rPr>
                <w:rFonts w:hAnsi="宋体"/>
                <w:color w:val="000000"/>
                <w:szCs w:val="21"/>
              </w:rPr>
              <w:t>序号</w:t>
            </w:r>
          </w:p>
        </w:tc>
        <w:tc>
          <w:tcPr>
            <w:tcW w:w="1943" w:type="dxa"/>
          </w:tcPr>
          <w:p>
            <w:pPr>
              <w:jc w:val="center"/>
              <w:rPr>
                <w:color w:val="000000"/>
                <w:szCs w:val="21"/>
              </w:rPr>
            </w:pPr>
            <w:r>
              <w:rPr>
                <w:rFonts w:hAnsi="宋体"/>
                <w:color w:val="000000"/>
                <w:szCs w:val="21"/>
              </w:rPr>
              <w:t>项目</w:t>
            </w:r>
          </w:p>
        </w:tc>
        <w:tc>
          <w:tcPr>
            <w:tcW w:w="3346" w:type="dxa"/>
          </w:tcPr>
          <w:p>
            <w:pPr>
              <w:jc w:val="center"/>
              <w:rPr>
                <w:color w:val="000000"/>
                <w:szCs w:val="21"/>
              </w:rPr>
            </w:pPr>
            <w:r>
              <w:rPr>
                <w:rFonts w:hAnsi="宋体"/>
                <w:color w:val="000000"/>
                <w:szCs w:val="21"/>
              </w:rPr>
              <w:t>项目单位要求</w:t>
            </w:r>
          </w:p>
        </w:tc>
        <w:tc>
          <w:tcPr>
            <w:tcW w:w="3193" w:type="dxa"/>
          </w:tcPr>
          <w:p>
            <w:pPr>
              <w:jc w:val="center"/>
              <w:rPr>
                <w:color w:val="000000"/>
                <w:szCs w:val="21"/>
              </w:rPr>
            </w:pPr>
            <w:r>
              <w:rPr>
                <w:rFonts w:hAnsi="宋体"/>
                <w:color w:val="000000"/>
                <w:szCs w:val="21"/>
              </w:rPr>
              <w:t>投标人响应</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6" w:type="dxa"/>
          </w:tcPr>
          <w:p>
            <w:pPr>
              <w:jc w:val="center"/>
              <w:rPr>
                <w:color w:val="000000"/>
                <w:szCs w:val="21"/>
              </w:rPr>
            </w:pPr>
            <w:r>
              <w:rPr>
                <w:color w:val="000000"/>
                <w:szCs w:val="21"/>
              </w:rPr>
              <w:t>1</w:t>
            </w:r>
          </w:p>
        </w:tc>
        <w:tc>
          <w:tcPr>
            <w:tcW w:w="1943" w:type="dxa"/>
          </w:tcPr>
          <w:p>
            <w:pPr>
              <w:jc w:val="center"/>
              <w:rPr>
                <w:color w:val="000000"/>
                <w:szCs w:val="21"/>
              </w:rPr>
            </w:pPr>
            <w:r>
              <w:rPr>
                <w:rFonts w:hAnsi="宋体"/>
                <w:color w:val="000000"/>
                <w:szCs w:val="21"/>
              </w:rPr>
              <w:t>第一次设联会</w:t>
            </w:r>
          </w:p>
        </w:tc>
        <w:tc>
          <w:tcPr>
            <w:tcW w:w="3346" w:type="dxa"/>
          </w:tcPr>
          <w:p>
            <w:pPr>
              <w:rPr>
                <w:color w:val="000000"/>
                <w:szCs w:val="21"/>
              </w:rPr>
            </w:pPr>
            <w:r>
              <w:rPr>
                <w:rFonts w:hAnsi="宋体"/>
                <w:color w:val="000000"/>
                <w:szCs w:val="21"/>
              </w:rPr>
              <w:t>人</w:t>
            </w:r>
            <w:r>
              <w:rPr>
                <w:color w:val="000000"/>
                <w:szCs w:val="21"/>
              </w:rPr>
              <w:t>×</w:t>
            </w:r>
            <w:r>
              <w:rPr>
                <w:rFonts w:hAnsi="宋体"/>
                <w:color w:val="000000"/>
                <w:szCs w:val="21"/>
              </w:rPr>
              <w:t>天：</w:t>
            </w:r>
          </w:p>
        </w:tc>
        <w:tc>
          <w:tcPr>
            <w:tcW w:w="3193" w:type="dxa"/>
          </w:tcPr>
          <w:p>
            <w:pPr>
              <w:rPr>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6" w:type="dxa"/>
          </w:tcPr>
          <w:p>
            <w:pPr>
              <w:jc w:val="center"/>
              <w:rPr>
                <w:color w:val="000000"/>
                <w:szCs w:val="21"/>
              </w:rPr>
            </w:pPr>
            <w:r>
              <w:rPr>
                <w:color w:val="000000"/>
                <w:szCs w:val="21"/>
              </w:rPr>
              <w:t>2</w:t>
            </w:r>
          </w:p>
        </w:tc>
        <w:tc>
          <w:tcPr>
            <w:tcW w:w="1943" w:type="dxa"/>
          </w:tcPr>
          <w:p>
            <w:pPr>
              <w:jc w:val="center"/>
              <w:rPr>
                <w:color w:val="000000"/>
                <w:szCs w:val="21"/>
              </w:rPr>
            </w:pPr>
            <w:r>
              <w:rPr>
                <w:rFonts w:hAnsi="宋体"/>
                <w:color w:val="000000"/>
                <w:szCs w:val="21"/>
              </w:rPr>
              <w:t>第二次设联会</w:t>
            </w:r>
          </w:p>
        </w:tc>
        <w:tc>
          <w:tcPr>
            <w:tcW w:w="3346" w:type="dxa"/>
          </w:tcPr>
          <w:p>
            <w:pPr>
              <w:rPr>
                <w:color w:val="000000"/>
                <w:szCs w:val="21"/>
              </w:rPr>
            </w:pPr>
            <w:r>
              <w:rPr>
                <w:rFonts w:hAnsi="宋体"/>
                <w:color w:val="000000"/>
                <w:szCs w:val="21"/>
              </w:rPr>
              <w:t>人</w:t>
            </w:r>
            <w:r>
              <w:rPr>
                <w:color w:val="000000"/>
                <w:szCs w:val="21"/>
              </w:rPr>
              <w:t>×</w:t>
            </w:r>
            <w:r>
              <w:rPr>
                <w:rFonts w:hAnsi="宋体"/>
                <w:color w:val="000000"/>
                <w:szCs w:val="21"/>
              </w:rPr>
              <w:t>天：</w:t>
            </w:r>
          </w:p>
        </w:tc>
        <w:tc>
          <w:tcPr>
            <w:tcW w:w="3193" w:type="dxa"/>
          </w:tcPr>
          <w:p>
            <w:pPr>
              <w:rPr>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6" w:type="dxa"/>
          </w:tcPr>
          <w:p>
            <w:pPr>
              <w:jc w:val="center"/>
              <w:rPr>
                <w:color w:val="000000"/>
                <w:szCs w:val="21"/>
              </w:rPr>
            </w:pPr>
            <w:r>
              <w:rPr>
                <w:color w:val="000000"/>
                <w:szCs w:val="21"/>
              </w:rPr>
              <w:t>3</w:t>
            </w:r>
          </w:p>
        </w:tc>
        <w:tc>
          <w:tcPr>
            <w:tcW w:w="1943" w:type="dxa"/>
          </w:tcPr>
          <w:p>
            <w:pPr>
              <w:jc w:val="center"/>
              <w:rPr>
                <w:color w:val="000000"/>
                <w:szCs w:val="21"/>
              </w:rPr>
            </w:pPr>
            <w:r>
              <w:rPr>
                <w:rFonts w:hAnsi="宋体"/>
                <w:color w:val="000000"/>
                <w:szCs w:val="21"/>
              </w:rPr>
              <w:t>技术培训</w:t>
            </w:r>
          </w:p>
        </w:tc>
        <w:tc>
          <w:tcPr>
            <w:tcW w:w="3346" w:type="dxa"/>
          </w:tcPr>
          <w:p>
            <w:pPr>
              <w:rPr>
                <w:color w:val="000000"/>
                <w:szCs w:val="21"/>
              </w:rPr>
            </w:pPr>
            <w:r>
              <w:rPr>
                <w:rFonts w:hAnsi="宋体"/>
                <w:color w:val="000000"/>
                <w:szCs w:val="21"/>
              </w:rPr>
              <w:t>人</w:t>
            </w:r>
            <w:r>
              <w:rPr>
                <w:color w:val="000000"/>
                <w:szCs w:val="21"/>
              </w:rPr>
              <w:t>×</w:t>
            </w:r>
            <w:r>
              <w:rPr>
                <w:rFonts w:hAnsi="宋体"/>
                <w:color w:val="000000"/>
                <w:szCs w:val="21"/>
              </w:rPr>
              <w:t>天：</w:t>
            </w:r>
          </w:p>
        </w:tc>
        <w:tc>
          <w:tcPr>
            <w:tcW w:w="3193" w:type="dxa"/>
          </w:tcPr>
          <w:p>
            <w:pPr>
              <w:rPr>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6" w:type="dxa"/>
          </w:tcPr>
          <w:p>
            <w:pPr>
              <w:jc w:val="center"/>
              <w:rPr>
                <w:color w:val="000000"/>
                <w:szCs w:val="21"/>
              </w:rPr>
            </w:pPr>
            <w:r>
              <w:rPr>
                <w:color w:val="000000"/>
                <w:szCs w:val="21"/>
              </w:rPr>
              <w:t>4</w:t>
            </w:r>
          </w:p>
        </w:tc>
        <w:tc>
          <w:tcPr>
            <w:tcW w:w="1943" w:type="dxa"/>
          </w:tcPr>
          <w:p>
            <w:pPr>
              <w:jc w:val="center"/>
              <w:rPr>
                <w:szCs w:val="21"/>
              </w:rPr>
            </w:pPr>
            <w:r>
              <w:rPr>
                <w:rFonts w:hAnsi="宋体"/>
                <w:szCs w:val="21"/>
              </w:rPr>
              <w:t>工程验收</w:t>
            </w:r>
          </w:p>
        </w:tc>
        <w:tc>
          <w:tcPr>
            <w:tcW w:w="3346" w:type="dxa"/>
          </w:tcPr>
          <w:p>
            <w:pPr>
              <w:rPr>
                <w:color w:val="000000"/>
                <w:szCs w:val="21"/>
              </w:rPr>
            </w:pPr>
            <w:r>
              <w:rPr>
                <w:rFonts w:hAnsi="宋体"/>
                <w:color w:val="000000"/>
                <w:szCs w:val="21"/>
              </w:rPr>
              <w:t>人</w:t>
            </w:r>
            <w:r>
              <w:rPr>
                <w:color w:val="000000"/>
                <w:szCs w:val="21"/>
              </w:rPr>
              <w:t>×</w:t>
            </w:r>
            <w:r>
              <w:rPr>
                <w:rFonts w:hAnsi="宋体"/>
                <w:color w:val="000000"/>
                <w:szCs w:val="21"/>
              </w:rPr>
              <w:t>天：</w:t>
            </w:r>
          </w:p>
        </w:tc>
        <w:tc>
          <w:tcPr>
            <w:tcW w:w="3193" w:type="dxa"/>
          </w:tcPr>
          <w:p>
            <w:pPr>
              <w:rPr>
                <w:color w:val="000000"/>
                <w:szCs w:val="21"/>
              </w:rPr>
            </w:pPr>
          </w:p>
        </w:tc>
      </w:tr>
    </w:tbl>
    <w:p>
      <w:pPr>
        <w:adjustRightInd w:val="0"/>
        <w:snapToGrid w:val="0"/>
        <w:spacing w:before="156" w:beforeLines="50" w:line="360" w:lineRule="auto"/>
        <w:ind w:firstLine="420" w:firstLineChars="200"/>
        <w:rPr>
          <w:szCs w:val="21"/>
        </w:rPr>
      </w:pPr>
      <w:r>
        <w:rPr>
          <w:rFonts w:hAnsi="宋体"/>
          <w:szCs w:val="21"/>
        </w:rPr>
        <w:t>注：项目单位可根据工程实际使用条件对表</w:t>
      </w:r>
      <w:r>
        <w:rPr>
          <w:szCs w:val="21"/>
        </w:rPr>
        <w:t>8</w:t>
      </w:r>
      <w:r>
        <w:rPr>
          <w:rFonts w:hAnsi="宋体"/>
          <w:szCs w:val="21"/>
        </w:rPr>
        <w:t>中</w:t>
      </w:r>
      <w:r>
        <w:rPr>
          <w:szCs w:val="21"/>
        </w:rPr>
        <w:t>“</w:t>
      </w:r>
      <w:r>
        <w:rPr>
          <w:rFonts w:hAnsi="宋体"/>
          <w:szCs w:val="21"/>
        </w:rPr>
        <w:t>项目单位要求</w:t>
      </w:r>
      <w:r>
        <w:rPr>
          <w:szCs w:val="21"/>
        </w:rPr>
        <w:t>”</w:t>
      </w:r>
      <w:r>
        <w:rPr>
          <w:rFonts w:hAnsi="宋体"/>
          <w:szCs w:val="21"/>
        </w:rPr>
        <w:t>进行修改。</w:t>
      </w:r>
    </w:p>
    <w:p>
      <w:pPr>
        <w:pStyle w:val="2"/>
        <w:adjustRightInd w:val="0"/>
        <w:snapToGrid w:val="0"/>
        <w:spacing w:before="0" w:after="0" w:line="360" w:lineRule="auto"/>
        <w:rPr>
          <w:bCs/>
          <w:snapToGrid w:val="0"/>
          <w:kern w:val="0"/>
          <w:sz w:val="24"/>
          <w:szCs w:val="24"/>
        </w:rPr>
      </w:pPr>
      <w:bookmarkStart w:id="272" w:name="_Toc252539444"/>
      <w:bookmarkStart w:id="273" w:name="_Toc103766658"/>
      <w:bookmarkStart w:id="274" w:name="_Toc345514950"/>
      <w:r>
        <w:rPr>
          <w:bCs/>
          <w:snapToGrid w:val="0"/>
          <w:kern w:val="0"/>
          <w:sz w:val="24"/>
          <w:szCs w:val="24"/>
        </w:rPr>
        <w:t xml:space="preserve">3  </w:t>
      </w:r>
      <w:r>
        <w:rPr>
          <w:rFonts w:hAnsi="宋体"/>
          <w:bCs/>
          <w:snapToGrid w:val="0"/>
          <w:kern w:val="0"/>
          <w:sz w:val="24"/>
          <w:szCs w:val="24"/>
        </w:rPr>
        <w:t>投标人响应部分</w:t>
      </w:r>
      <w:bookmarkEnd w:id="270"/>
      <w:bookmarkEnd w:id="271"/>
      <w:bookmarkEnd w:id="272"/>
      <w:bookmarkEnd w:id="273"/>
      <w:bookmarkEnd w:id="274"/>
    </w:p>
    <w:p>
      <w:pPr>
        <w:topLinePunct/>
        <w:adjustRightInd w:val="0"/>
        <w:snapToGrid w:val="0"/>
        <w:spacing w:line="360" w:lineRule="auto"/>
        <w:ind w:firstLine="480" w:firstLineChars="200"/>
        <w:rPr>
          <w:sz w:val="24"/>
          <w:szCs w:val="24"/>
        </w:rPr>
      </w:pPr>
      <w:r>
        <w:rPr>
          <w:rFonts w:hAnsi="宋体"/>
          <w:sz w:val="24"/>
          <w:szCs w:val="24"/>
        </w:rPr>
        <w:t>投标人需填写专用部分的第</w:t>
      </w:r>
      <w:r>
        <w:rPr>
          <w:sz w:val="24"/>
          <w:szCs w:val="24"/>
        </w:rPr>
        <w:t>1</w:t>
      </w:r>
      <w:r>
        <w:rPr>
          <w:rFonts w:hAnsi="宋体"/>
          <w:sz w:val="24"/>
          <w:szCs w:val="24"/>
        </w:rPr>
        <w:t>和第</w:t>
      </w:r>
      <w:r>
        <w:rPr>
          <w:sz w:val="24"/>
          <w:szCs w:val="24"/>
        </w:rPr>
        <w:t>2</w:t>
      </w:r>
      <w:r>
        <w:rPr>
          <w:rFonts w:hAnsi="宋体"/>
          <w:sz w:val="24"/>
          <w:szCs w:val="24"/>
        </w:rPr>
        <w:t>部分的相应表格。标准技术参数表和项目单位技术差异表中要求值不同时，以项目单位技术差异表为准。投标人保证值，不能空格，也不能以</w:t>
      </w:r>
      <w:r>
        <w:rPr>
          <w:sz w:val="24"/>
          <w:szCs w:val="24"/>
        </w:rPr>
        <w:t>“</w:t>
      </w:r>
      <w:r>
        <w:rPr>
          <w:rFonts w:hAnsi="宋体"/>
          <w:sz w:val="24"/>
          <w:szCs w:val="24"/>
        </w:rPr>
        <w:t>响应</w:t>
      </w:r>
      <w:r>
        <w:rPr>
          <w:sz w:val="24"/>
          <w:szCs w:val="24"/>
        </w:rPr>
        <w:t>”</w:t>
      </w:r>
      <w:r>
        <w:rPr>
          <w:rFonts w:hAnsi="宋体"/>
          <w:sz w:val="24"/>
          <w:szCs w:val="24"/>
        </w:rPr>
        <w:t>两字代替，不允许改动招标人要求值。如有差异，应填写投标人技术差异表。</w:t>
      </w:r>
      <w:r>
        <w:rPr>
          <w:sz w:val="24"/>
          <w:szCs w:val="24"/>
        </w:rPr>
        <w:t>“</w:t>
      </w:r>
      <w:r>
        <w:rPr>
          <w:rFonts w:hAnsi="宋体"/>
          <w:sz w:val="24"/>
          <w:szCs w:val="24"/>
        </w:rPr>
        <w:t>投标人保证值</w:t>
      </w:r>
      <w:r>
        <w:rPr>
          <w:sz w:val="24"/>
          <w:szCs w:val="24"/>
        </w:rPr>
        <w:t>”</w:t>
      </w:r>
      <w:r>
        <w:rPr>
          <w:rFonts w:hAnsi="宋体"/>
          <w:sz w:val="24"/>
          <w:szCs w:val="24"/>
        </w:rPr>
        <w:t>应与型式试验报告及其他性能试验报告相符。</w:t>
      </w:r>
    </w:p>
    <w:p>
      <w:pPr>
        <w:pStyle w:val="2"/>
        <w:widowControl/>
        <w:overflowPunct w:val="0"/>
        <w:autoSpaceDE w:val="0"/>
        <w:autoSpaceDN w:val="0"/>
        <w:adjustRightInd w:val="0"/>
        <w:snapToGrid w:val="0"/>
        <w:spacing w:before="0" w:after="0" w:line="360" w:lineRule="auto"/>
        <w:textAlignment w:val="baseline"/>
        <w:rPr>
          <w:b w:val="0"/>
          <w:bCs/>
          <w:snapToGrid w:val="0"/>
          <w:kern w:val="0"/>
          <w:sz w:val="24"/>
          <w:szCs w:val="24"/>
        </w:rPr>
      </w:pPr>
      <w:bookmarkStart w:id="275" w:name="_Toc252539445"/>
      <w:bookmarkStart w:id="276" w:name="_Toc103766659"/>
      <w:bookmarkStart w:id="277" w:name="_Toc345514951"/>
      <w:bookmarkStart w:id="278" w:name="_Toc247518085"/>
      <w:bookmarkStart w:id="279" w:name="_Toc247536321"/>
      <w:r>
        <w:rPr>
          <w:b w:val="0"/>
          <w:bCs/>
          <w:snapToGrid w:val="0"/>
          <w:kern w:val="0"/>
          <w:sz w:val="24"/>
          <w:szCs w:val="24"/>
        </w:rPr>
        <w:t xml:space="preserve">3.1  </w:t>
      </w:r>
      <w:r>
        <w:rPr>
          <w:rFonts w:hAnsi="宋体"/>
          <w:b w:val="0"/>
          <w:bCs/>
          <w:snapToGrid w:val="0"/>
          <w:kern w:val="0"/>
          <w:sz w:val="24"/>
          <w:szCs w:val="24"/>
        </w:rPr>
        <w:t>投标人技术偏差表</w:t>
      </w:r>
      <w:bookmarkEnd w:id="275"/>
      <w:bookmarkEnd w:id="276"/>
      <w:bookmarkEnd w:id="277"/>
      <w:bookmarkEnd w:id="278"/>
      <w:bookmarkEnd w:id="279"/>
    </w:p>
    <w:p>
      <w:pPr>
        <w:topLinePunct/>
        <w:adjustRightInd w:val="0"/>
        <w:snapToGrid w:val="0"/>
        <w:spacing w:line="360" w:lineRule="auto"/>
        <w:ind w:firstLine="480" w:firstLineChars="200"/>
        <w:rPr>
          <w:sz w:val="24"/>
          <w:szCs w:val="24"/>
        </w:rPr>
      </w:pPr>
      <w:r>
        <w:rPr>
          <w:rFonts w:hAnsi="宋体"/>
          <w:sz w:val="24"/>
          <w:szCs w:val="24"/>
        </w:rPr>
        <w:t>投标人提供的产品技术规范应与本招标文件中规定的要求一致。若有偏差投标人应如实、认真地填写偏差值；若无技术偏差则视为完全满足本技术规范的要求，且在投标人技术偏差表中填写</w:t>
      </w:r>
      <w:r>
        <w:rPr>
          <w:sz w:val="24"/>
          <w:szCs w:val="24"/>
        </w:rPr>
        <w:t>“</w:t>
      </w:r>
      <w:r>
        <w:rPr>
          <w:rFonts w:hAnsi="宋体"/>
          <w:sz w:val="24"/>
          <w:szCs w:val="24"/>
        </w:rPr>
        <w:t>无偏差</w:t>
      </w:r>
      <w:r>
        <w:rPr>
          <w:sz w:val="24"/>
          <w:szCs w:val="24"/>
        </w:rPr>
        <w:t>”</w:t>
      </w:r>
      <w:r>
        <w:rPr>
          <w:rFonts w:hAnsi="宋体"/>
          <w:sz w:val="24"/>
          <w:szCs w:val="24"/>
        </w:rPr>
        <w:t>。</w:t>
      </w:r>
    </w:p>
    <w:p>
      <w:pPr>
        <w:adjustRightInd w:val="0"/>
        <w:snapToGrid w:val="0"/>
        <w:spacing w:line="360" w:lineRule="auto"/>
        <w:ind w:firstLine="480" w:firstLineChars="200"/>
        <w:rPr>
          <w:sz w:val="24"/>
          <w:szCs w:val="24"/>
        </w:rPr>
      </w:pPr>
      <w:r>
        <w:rPr>
          <w:rFonts w:hAnsi="宋体"/>
          <w:sz w:val="24"/>
          <w:szCs w:val="24"/>
        </w:rPr>
        <w:t>表</w:t>
      </w:r>
      <w:r>
        <w:rPr>
          <w:rFonts w:hint="eastAsia"/>
          <w:sz w:val="24"/>
          <w:szCs w:val="24"/>
        </w:rPr>
        <w:t>8</w:t>
      </w:r>
      <w:r>
        <w:rPr>
          <w:rFonts w:hAnsi="宋体"/>
          <w:sz w:val="24"/>
          <w:szCs w:val="24"/>
        </w:rPr>
        <w:t>　</w:t>
      </w:r>
      <w:r>
        <w:rPr>
          <w:rFonts w:hint="eastAsia" w:hAnsi="宋体"/>
          <w:sz w:val="24"/>
          <w:szCs w:val="24"/>
        </w:rPr>
        <w:t xml:space="preserve">                    </w:t>
      </w:r>
      <w:r>
        <w:rPr>
          <w:rFonts w:hAnsi="宋体"/>
          <w:sz w:val="24"/>
          <w:szCs w:val="24"/>
        </w:rPr>
        <w:t>投标人技术偏差表</w:t>
      </w:r>
    </w:p>
    <w:tbl>
      <w:tblPr>
        <w:tblStyle w:val="9"/>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648"/>
        <w:gridCol w:w="1903"/>
        <w:gridCol w:w="1636"/>
        <w:gridCol w:w="1920"/>
        <w:gridCol w:w="1735"/>
        <w:gridCol w:w="123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48" w:type="dxa"/>
            <w:tcMar>
              <w:left w:w="57" w:type="dxa"/>
              <w:right w:w="57" w:type="dxa"/>
            </w:tcMar>
            <w:vAlign w:val="center"/>
          </w:tcPr>
          <w:p>
            <w:pPr>
              <w:topLinePunct/>
              <w:jc w:val="center"/>
              <w:rPr>
                <w:szCs w:val="21"/>
              </w:rPr>
            </w:pPr>
            <w:r>
              <w:rPr>
                <w:rFonts w:hAnsi="宋体"/>
                <w:szCs w:val="21"/>
              </w:rPr>
              <w:t>序号</w:t>
            </w:r>
          </w:p>
        </w:tc>
        <w:tc>
          <w:tcPr>
            <w:tcW w:w="1903" w:type="dxa"/>
            <w:tcMar>
              <w:left w:w="57" w:type="dxa"/>
              <w:right w:w="57" w:type="dxa"/>
            </w:tcMar>
            <w:vAlign w:val="center"/>
          </w:tcPr>
          <w:p>
            <w:pPr>
              <w:topLinePunct/>
              <w:jc w:val="center"/>
              <w:rPr>
                <w:szCs w:val="21"/>
              </w:rPr>
            </w:pPr>
            <w:r>
              <w:rPr>
                <w:rFonts w:hAnsi="宋体"/>
                <w:szCs w:val="21"/>
              </w:rPr>
              <w:t>项</w:t>
            </w:r>
            <w:r>
              <w:rPr>
                <w:szCs w:val="21"/>
              </w:rPr>
              <w:t xml:space="preserve">  </w:t>
            </w:r>
            <w:r>
              <w:rPr>
                <w:rFonts w:hAnsi="宋体"/>
                <w:szCs w:val="21"/>
              </w:rPr>
              <w:t>目</w:t>
            </w:r>
          </w:p>
        </w:tc>
        <w:tc>
          <w:tcPr>
            <w:tcW w:w="1636" w:type="dxa"/>
            <w:tcMar>
              <w:left w:w="57" w:type="dxa"/>
              <w:right w:w="57" w:type="dxa"/>
            </w:tcMar>
            <w:vAlign w:val="center"/>
          </w:tcPr>
          <w:p>
            <w:pPr>
              <w:topLinePunct/>
              <w:jc w:val="center"/>
              <w:rPr>
                <w:szCs w:val="21"/>
              </w:rPr>
            </w:pPr>
            <w:r>
              <w:rPr>
                <w:rFonts w:hAnsi="宋体"/>
                <w:szCs w:val="21"/>
              </w:rPr>
              <w:t>对应条款编号</w:t>
            </w:r>
          </w:p>
        </w:tc>
        <w:tc>
          <w:tcPr>
            <w:tcW w:w="1920" w:type="dxa"/>
            <w:tcMar>
              <w:left w:w="57" w:type="dxa"/>
              <w:right w:w="57" w:type="dxa"/>
            </w:tcMar>
            <w:vAlign w:val="center"/>
          </w:tcPr>
          <w:p>
            <w:pPr>
              <w:topLinePunct/>
              <w:jc w:val="center"/>
              <w:rPr>
                <w:szCs w:val="21"/>
              </w:rPr>
            </w:pPr>
            <w:r>
              <w:rPr>
                <w:rFonts w:hAnsi="宋体"/>
                <w:szCs w:val="21"/>
              </w:rPr>
              <w:t>技术招标文件要求</w:t>
            </w:r>
          </w:p>
        </w:tc>
        <w:tc>
          <w:tcPr>
            <w:tcW w:w="1735" w:type="dxa"/>
            <w:tcMar>
              <w:left w:w="57" w:type="dxa"/>
              <w:right w:w="57" w:type="dxa"/>
            </w:tcMar>
            <w:vAlign w:val="center"/>
          </w:tcPr>
          <w:p>
            <w:pPr>
              <w:topLinePunct/>
              <w:jc w:val="center"/>
              <w:rPr>
                <w:szCs w:val="21"/>
              </w:rPr>
            </w:pPr>
            <w:r>
              <w:rPr>
                <w:rFonts w:hAnsi="宋体"/>
                <w:szCs w:val="21"/>
              </w:rPr>
              <w:t>偏</w:t>
            </w:r>
            <w:r>
              <w:rPr>
                <w:szCs w:val="21"/>
              </w:rPr>
              <w:t xml:space="preserve">  </w:t>
            </w:r>
            <w:r>
              <w:rPr>
                <w:rFonts w:hAnsi="宋体"/>
                <w:szCs w:val="21"/>
              </w:rPr>
              <w:t>差</w:t>
            </w:r>
          </w:p>
        </w:tc>
        <w:tc>
          <w:tcPr>
            <w:tcW w:w="1230" w:type="dxa"/>
            <w:tcMar>
              <w:left w:w="57" w:type="dxa"/>
              <w:right w:w="57" w:type="dxa"/>
            </w:tcMar>
            <w:vAlign w:val="center"/>
          </w:tcPr>
          <w:p>
            <w:pPr>
              <w:topLinePunct/>
              <w:jc w:val="center"/>
              <w:rPr>
                <w:szCs w:val="21"/>
              </w:rPr>
            </w:pPr>
            <w:r>
              <w:rPr>
                <w:rFonts w:hAnsi="宋体"/>
                <w:szCs w:val="21"/>
              </w:rPr>
              <w:t>备</w:t>
            </w:r>
            <w:r>
              <w:rPr>
                <w:szCs w:val="21"/>
              </w:rPr>
              <w:t xml:space="preserve">  </w:t>
            </w:r>
            <w:r>
              <w:rPr>
                <w:rFonts w:hAnsi="宋体"/>
                <w:szCs w:val="21"/>
              </w:rPr>
              <w:t>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48" w:type="dxa"/>
            <w:tcMar>
              <w:left w:w="57" w:type="dxa"/>
              <w:right w:w="57" w:type="dxa"/>
            </w:tcMar>
            <w:vAlign w:val="center"/>
          </w:tcPr>
          <w:p>
            <w:pPr>
              <w:topLinePunct/>
              <w:jc w:val="center"/>
              <w:rPr>
                <w:szCs w:val="21"/>
              </w:rPr>
            </w:pPr>
            <w:r>
              <w:rPr>
                <w:szCs w:val="21"/>
              </w:rPr>
              <w:t>1</w:t>
            </w:r>
          </w:p>
        </w:tc>
        <w:tc>
          <w:tcPr>
            <w:tcW w:w="1903" w:type="dxa"/>
            <w:tcMar>
              <w:left w:w="57" w:type="dxa"/>
              <w:right w:w="57" w:type="dxa"/>
            </w:tcMar>
            <w:vAlign w:val="center"/>
          </w:tcPr>
          <w:p>
            <w:pPr>
              <w:topLinePunct/>
              <w:jc w:val="center"/>
              <w:rPr>
                <w:szCs w:val="21"/>
              </w:rPr>
            </w:pPr>
          </w:p>
        </w:tc>
        <w:tc>
          <w:tcPr>
            <w:tcW w:w="1636" w:type="dxa"/>
            <w:tcMar>
              <w:left w:w="57" w:type="dxa"/>
              <w:right w:w="57" w:type="dxa"/>
            </w:tcMar>
            <w:vAlign w:val="center"/>
          </w:tcPr>
          <w:p>
            <w:pPr>
              <w:topLinePunct/>
              <w:jc w:val="center"/>
              <w:rPr>
                <w:szCs w:val="21"/>
              </w:rPr>
            </w:pPr>
          </w:p>
        </w:tc>
        <w:tc>
          <w:tcPr>
            <w:tcW w:w="1920" w:type="dxa"/>
            <w:tcMar>
              <w:left w:w="57" w:type="dxa"/>
              <w:right w:w="57" w:type="dxa"/>
            </w:tcMar>
            <w:vAlign w:val="center"/>
          </w:tcPr>
          <w:p>
            <w:pPr>
              <w:topLinePunct/>
              <w:jc w:val="center"/>
              <w:rPr>
                <w:szCs w:val="21"/>
              </w:rPr>
            </w:pPr>
          </w:p>
        </w:tc>
        <w:tc>
          <w:tcPr>
            <w:tcW w:w="1735" w:type="dxa"/>
            <w:tcMar>
              <w:left w:w="57" w:type="dxa"/>
              <w:right w:w="57" w:type="dxa"/>
            </w:tcMar>
            <w:vAlign w:val="center"/>
          </w:tcPr>
          <w:p>
            <w:pPr>
              <w:topLinePunct/>
              <w:jc w:val="center"/>
              <w:rPr>
                <w:szCs w:val="21"/>
              </w:rPr>
            </w:pPr>
          </w:p>
        </w:tc>
        <w:tc>
          <w:tcPr>
            <w:tcW w:w="1230" w:type="dxa"/>
            <w:tcMar>
              <w:left w:w="57" w:type="dxa"/>
              <w:right w:w="57" w:type="dxa"/>
            </w:tcMar>
            <w:vAlign w:val="center"/>
          </w:tcPr>
          <w:p>
            <w:pPr>
              <w:topLinePun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48" w:type="dxa"/>
            <w:tcMar>
              <w:left w:w="57" w:type="dxa"/>
              <w:right w:w="57" w:type="dxa"/>
            </w:tcMar>
            <w:vAlign w:val="center"/>
          </w:tcPr>
          <w:p>
            <w:pPr>
              <w:topLinePunct/>
              <w:jc w:val="center"/>
              <w:rPr>
                <w:szCs w:val="21"/>
              </w:rPr>
            </w:pPr>
            <w:r>
              <w:rPr>
                <w:szCs w:val="21"/>
              </w:rPr>
              <w:t>2</w:t>
            </w:r>
          </w:p>
        </w:tc>
        <w:tc>
          <w:tcPr>
            <w:tcW w:w="1903" w:type="dxa"/>
            <w:tcMar>
              <w:left w:w="57" w:type="dxa"/>
              <w:right w:w="57" w:type="dxa"/>
            </w:tcMar>
            <w:vAlign w:val="center"/>
          </w:tcPr>
          <w:p>
            <w:pPr>
              <w:topLinePunct/>
              <w:jc w:val="center"/>
              <w:rPr>
                <w:szCs w:val="21"/>
              </w:rPr>
            </w:pPr>
          </w:p>
        </w:tc>
        <w:tc>
          <w:tcPr>
            <w:tcW w:w="1636" w:type="dxa"/>
            <w:tcMar>
              <w:left w:w="57" w:type="dxa"/>
              <w:right w:w="57" w:type="dxa"/>
            </w:tcMar>
            <w:vAlign w:val="center"/>
          </w:tcPr>
          <w:p>
            <w:pPr>
              <w:topLinePunct/>
              <w:jc w:val="center"/>
              <w:rPr>
                <w:szCs w:val="21"/>
              </w:rPr>
            </w:pPr>
          </w:p>
        </w:tc>
        <w:tc>
          <w:tcPr>
            <w:tcW w:w="1920" w:type="dxa"/>
            <w:tcMar>
              <w:left w:w="57" w:type="dxa"/>
              <w:right w:w="57" w:type="dxa"/>
            </w:tcMar>
            <w:vAlign w:val="center"/>
          </w:tcPr>
          <w:p>
            <w:pPr>
              <w:topLinePunct/>
              <w:jc w:val="center"/>
              <w:rPr>
                <w:szCs w:val="21"/>
              </w:rPr>
            </w:pPr>
          </w:p>
        </w:tc>
        <w:tc>
          <w:tcPr>
            <w:tcW w:w="1735" w:type="dxa"/>
            <w:tcMar>
              <w:left w:w="57" w:type="dxa"/>
              <w:right w:w="57" w:type="dxa"/>
            </w:tcMar>
            <w:vAlign w:val="center"/>
          </w:tcPr>
          <w:p>
            <w:pPr>
              <w:topLinePunct/>
              <w:jc w:val="center"/>
              <w:rPr>
                <w:szCs w:val="21"/>
              </w:rPr>
            </w:pPr>
          </w:p>
        </w:tc>
        <w:tc>
          <w:tcPr>
            <w:tcW w:w="1230" w:type="dxa"/>
            <w:tcMar>
              <w:left w:w="57" w:type="dxa"/>
              <w:right w:w="57" w:type="dxa"/>
            </w:tcMar>
            <w:vAlign w:val="center"/>
          </w:tcPr>
          <w:p>
            <w:pPr>
              <w:topLinePun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48" w:type="dxa"/>
            <w:tcMar>
              <w:left w:w="57" w:type="dxa"/>
              <w:right w:w="57" w:type="dxa"/>
            </w:tcMar>
            <w:vAlign w:val="center"/>
          </w:tcPr>
          <w:p>
            <w:pPr>
              <w:topLinePunct/>
              <w:jc w:val="center"/>
              <w:rPr>
                <w:szCs w:val="21"/>
              </w:rPr>
            </w:pPr>
            <w:r>
              <w:rPr>
                <w:szCs w:val="21"/>
              </w:rPr>
              <w:t>3</w:t>
            </w:r>
          </w:p>
        </w:tc>
        <w:tc>
          <w:tcPr>
            <w:tcW w:w="1903" w:type="dxa"/>
            <w:tcMar>
              <w:left w:w="57" w:type="dxa"/>
              <w:right w:w="57" w:type="dxa"/>
            </w:tcMar>
            <w:vAlign w:val="center"/>
          </w:tcPr>
          <w:p>
            <w:pPr>
              <w:topLinePunct/>
              <w:jc w:val="center"/>
              <w:rPr>
                <w:szCs w:val="21"/>
              </w:rPr>
            </w:pPr>
          </w:p>
        </w:tc>
        <w:tc>
          <w:tcPr>
            <w:tcW w:w="1636" w:type="dxa"/>
            <w:tcMar>
              <w:left w:w="57" w:type="dxa"/>
              <w:right w:w="57" w:type="dxa"/>
            </w:tcMar>
            <w:vAlign w:val="center"/>
          </w:tcPr>
          <w:p>
            <w:pPr>
              <w:topLinePunct/>
              <w:jc w:val="center"/>
              <w:rPr>
                <w:szCs w:val="21"/>
              </w:rPr>
            </w:pPr>
          </w:p>
        </w:tc>
        <w:tc>
          <w:tcPr>
            <w:tcW w:w="1920" w:type="dxa"/>
            <w:tcMar>
              <w:left w:w="57" w:type="dxa"/>
              <w:right w:w="57" w:type="dxa"/>
            </w:tcMar>
            <w:vAlign w:val="center"/>
          </w:tcPr>
          <w:p>
            <w:pPr>
              <w:topLinePunct/>
              <w:jc w:val="center"/>
              <w:rPr>
                <w:szCs w:val="21"/>
              </w:rPr>
            </w:pPr>
          </w:p>
        </w:tc>
        <w:tc>
          <w:tcPr>
            <w:tcW w:w="1735" w:type="dxa"/>
            <w:tcMar>
              <w:left w:w="57" w:type="dxa"/>
              <w:right w:w="57" w:type="dxa"/>
            </w:tcMar>
            <w:vAlign w:val="center"/>
          </w:tcPr>
          <w:p>
            <w:pPr>
              <w:topLinePunct/>
              <w:jc w:val="center"/>
              <w:rPr>
                <w:szCs w:val="21"/>
              </w:rPr>
            </w:pPr>
          </w:p>
        </w:tc>
        <w:tc>
          <w:tcPr>
            <w:tcW w:w="1230" w:type="dxa"/>
            <w:tcMar>
              <w:left w:w="57" w:type="dxa"/>
              <w:right w:w="57" w:type="dxa"/>
            </w:tcMar>
            <w:vAlign w:val="center"/>
          </w:tcPr>
          <w:p>
            <w:pPr>
              <w:topLinePunct/>
              <w:jc w:val="center"/>
              <w:rPr>
                <w:szCs w:val="21"/>
              </w:rPr>
            </w:pPr>
          </w:p>
        </w:tc>
      </w:tr>
    </w:tbl>
    <w:p>
      <w:pPr>
        <w:pStyle w:val="2"/>
        <w:widowControl/>
        <w:overflowPunct w:val="0"/>
        <w:autoSpaceDE w:val="0"/>
        <w:autoSpaceDN w:val="0"/>
        <w:adjustRightInd w:val="0"/>
        <w:snapToGrid w:val="0"/>
        <w:spacing w:before="156" w:beforeLines="50" w:after="0" w:line="360" w:lineRule="auto"/>
        <w:textAlignment w:val="baseline"/>
        <w:rPr>
          <w:b w:val="0"/>
          <w:bCs/>
          <w:snapToGrid w:val="0"/>
          <w:kern w:val="0"/>
          <w:sz w:val="24"/>
          <w:szCs w:val="24"/>
        </w:rPr>
      </w:pPr>
      <w:bookmarkStart w:id="280" w:name="_Toc345514952"/>
      <w:bookmarkStart w:id="281" w:name="_Toc247536322"/>
      <w:bookmarkStart w:id="282" w:name="_Toc247518086"/>
      <w:bookmarkStart w:id="283" w:name="_Toc252539446"/>
      <w:bookmarkStart w:id="284" w:name="_Toc103766660"/>
      <w:bookmarkStart w:id="285" w:name="_Toc155182709"/>
      <w:r>
        <w:rPr>
          <w:b w:val="0"/>
          <w:bCs/>
          <w:snapToGrid w:val="0"/>
          <w:kern w:val="0"/>
          <w:sz w:val="24"/>
          <w:szCs w:val="24"/>
        </w:rPr>
        <w:t xml:space="preserve">3.2  </w:t>
      </w:r>
      <w:r>
        <w:rPr>
          <w:rFonts w:hAnsi="宋体"/>
          <w:b w:val="0"/>
          <w:bCs/>
          <w:snapToGrid w:val="0"/>
          <w:kern w:val="0"/>
          <w:sz w:val="24"/>
          <w:szCs w:val="24"/>
        </w:rPr>
        <w:t>销售及运行业绩表</w:t>
      </w:r>
      <w:bookmarkEnd w:id="280"/>
      <w:bookmarkEnd w:id="281"/>
      <w:bookmarkEnd w:id="282"/>
      <w:bookmarkEnd w:id="283"/>
      <w:bookmarkEnd w:id="284"/>
    </w:p>
    <w:p>
      <w:pPr>
        <w:adjustRightInd w:val="0"/>
        <w:snapToGrid w:val="0"/>
        <w:spacing w:line="360" w:lineRule="auto"/>
        <w:ind w:firstLine="480" w:firstLineChars="200"/>
        <w:rPr>
          <w:sz w:val="24"/>
          <w:szCs w:val="24"/>
        </w:rPr>
      </w:pPr>
      <w:r>
        <w:rPr>
          <w:rFonts w:hAnsi="宋体"/>
          <w:sz w:val="24"/>
          <w:szCs w:val="24"/>
        </w:rPr>
        <w:t>表</w:t>
      </w:r>
      <w:r>
        <w:rPr>
          <w:rFonts w:hint="eastAsia"/>
          <w:sz w:val="24"/>
          <w:szCs w:val="24"/>
        </w:rPr>
        <w:t>9</w:t>
      </w:r>
      <w:r>
        <w:rPr>
          <w:sz w:val="24"/>
          <w:szCs w:val="24"/>
        </w:rPr>
        <w:t xml:space="preserve">  </w:t>
      </w:r>
      <w:r>
        <w:rPr>
          <w:rFonts w:hint="eastAsia"/>
          <w:sz w:val="24"/>
          <w:szCs w:val="24"/>
        </w:rPr>
        <w:t xml:space="preserve">                </w:t>
      </w:r>
      <w:r>
        <w:rPr>
          <w:rFonts w:hAnsi="宋体"/>
          <w:sz w:val="24"/>
          <w:szCs w:val="24"/>
        </w:rPr>
        <w:t>销售及运行业绩表</w:t>
      </w:r>
      <w:bookmarkEnd w:id="285"/>
    </w:p>
    <w:tbl>
      <w:tblPr>
        <w:tblStyle w:val="9"/>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487"/>
        <w:gridCol w:w="1486"/>
        <w:gridCol w:w="1486"/>
        <w:gridCol w:w="1486"/>
        <w:gridCol w:w="1192"/>
        <w:gridCol w:w="123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4" w:type="dxa"/>
            <w:vAlign w:val="center"/>
          </w:tcPr>
          <w:p>
            <w:pPr>
              <w:topLinePunct/>
              <w:jc w:val="center"/>
              <w:rPr>
                <w:szCs w:val="21"/>
              </w:rPr>
            </w:pPr>
            <w:r>
              <w:rPr>
                <w:rFonts w:hAnsi="宋体"/>
                <w:szCs w:val="21"/>
              </w:rPr>
              <w:t>序号</w:t>
            </w:r>
          </w:p>
        </w:tc>
        <w:tc>
          <w:tcPr>
            <w:tcW w:w="1487" w:type="dxa"/>
            <w:vAlign w:val="center"/>
          </w:tcPr>
          <w:p>
            <w:pPr>
              <w:topLinePunct/>
              <w:jc w:val="center"/>
              <w:rPr>
                <w:szCs w:val="21"/>
              </w:rPr>
            </w:pPr>
            <w:r>
              <w:rPr>
                <w:rFonts w:hAnsi="宋体"/>
                <w:szCs w:val="21"/>
              </w:rPr>
              <w:t>产品型号</w:t>
            </w:r>
          </w:p>
        </w:tc>
        <w:tc>
          <w:tcPr>
            <w:tcW w:w="1486" w:type="dxa"/>
            <w:vAlign w:val="center"/>
          </w:tcPr>
          <w:p>
            <w:pPr>
              <w:topLinePunct/>
              <w:jc w:val="center"/>
              <w:rPr>
                <w:szCs w:val="21"/>
              </w:rPr>
            </w:pPr>
            <w:r>
              <w:rPr>
                <w:rFonts w:hAnsi="宋体"/>
                <w:szCs w:val="21"/>
              </w:rPr>
              <w:t>运行单位</w:t>
            </w:r>
          </w:p>
        </w:tc>
        <w:tc>
          <w:tcPr>
            <w:tcW w:w="1486" w:type="dxa"/>
            <w:vAlign w:val="center"/>
          </w:tcPr>
          <w:p>
            <w:pPr>
              <w:topLinePunct/>
              <w:jc w:val="center"/>
              <w:rPr>
                <w:szCs w:val="21"/>
              </w:rPr>
            </w:pPr>
            <w:r>
              <w:rPr>
                <w:rFonts w:hAnsi="宋体"/>
                <w:szCs w:val="21"/>
              </w:rPr>
              <w:t>投运数量</w:t>
            </w:r>
          </w:p>
        </w:tc>
        <w:tc>
          <w:tcPr>
            <w:tcW w:w="1486" w:type="dxa"/>
            <w:vAlign w:val="center"/>
          </w:tcPr>
          <w:p>
            <w:pPr>
              <w:topLinePunct/>
              <w:jc w:val="center"/>
              <w:rPr>
                <w:szCs w:val="21"/>
              </w:rPr>
            </w:pPr>
            <w:r>
              <w:rPr>
                <w:rFonts w:hAnsi="宋体"/>
                <w:szCs w:val="21"/>
              </w:rPr>
              <w:t>投运时间</w:t>
            </w:r>
          </w:p>
        </w:tc>
        <w:tc>
          <w:tcPr>
            <w:tcW w:w="1192" w:type="dxa"/>
            <w:vAlign w:val="center"/>
          </w:tcPr>
          <w:p>
            <w:pPr>
              <w:topLinePunct/>
              <w:jc w:val="center"/>
              <w:rPr>
                <w:szCs w:val="21"/>
              </w:rPr>
            </w:pPr>
            <w:r>
              <w:rPr>
                <w:rFonts w:hAnsi="宋体"/>
                <w:szCs w:val="21"/>
              </w:rPr>
              <w:t>联系人及</w:t>
            </w:r>
            <w:r>
              <w:rPr>
                <w:szCs w:val="21"/>
              </w:rPr>
              <w:br w:type="textWrapping"/>
            </w:r>
            <w:r>
              <w:rPr>
                <w:rFonts w:hAnsi="宋体"/>
                <w:szCs w:val="21"/>
              </w:rPr>
              <w:t>电话</w:t>
            </w:r>
          </w:p>
        </w:tc>
        <w:tc>
          <w:tcPr>
            <w:tcW w:w="1231" w:type="dxa"/>
            <w:vAlign w:val="center"/>
          </w:tcPr>
          <w:p>
            <w:pPr>
              <w:topLinePunct/>
              <w:jc w:val="center"/>
              <w:rPr>
                <w:szCs w:val="21"/>
              </w:rPr>
            </w:pPr>
            <w:r>
              <w:rPr>
                <w:rFonts w:hAnsi="宋体"/>
                <w:szCs w:val="21"/>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4" w:type="dxa"/>
            <w:vAlign w:val="center"/>
          </w:tcPr>
          <w:p>
            <w:pPr>
              <w:topLinePunct/>
              <w:jc w:val="center"/>
              <w:rPr>
                <w:szCs w:val="21"/>
              </w:rPr>
            </w:pPr>
          </w:p>
        </w:tc>
        <w:tc>
          <w:tcPr>
            <w:tcW w:w="1487" w:type="dxa"/>
            <w:vAlign w:val="center"/>
          </w:tcPr>
          <w:p>
            <w:pPr>
              <w:topLinePunct/>
              <w:jc w:val="center"/>
              <w:rPr>
                <w:szCs w:val="21"/>
              </w:rPr>
            </w:pPr>
          </w:p>
        </w:tc>
        <w:tc>
          <w:tcPr>
            <w:tcW w:w="1486" w:type="dxa"/>
            <w:vAlign w:val="center"/>
          </w:tcPr>
          <w:p>
            <w:pPr>
              <w:topLinePunct/>
              <w:jc w:val="center"/>
              <w:rPr>
                <w:szCs w:val="21"/>
              </w:rPr>
            </w:pPr>
          </w:p>
        </w:tc>
        <w:tc>
          <w:tcPr>
            <w:tcW w:w="1486" w:type="dxa"/>
            <w:vAlign w:val="center"/>
          </w:tcPr>
          <w:p>
            <w:pPr>
              <w:topLinePunct/>
              <w:jc w:val="center"/>
              <w:rPr>
                <w:szCs w:val="21"/>
              </w:rPr>
            </w:pPr>
          </w:p>
        </w:tc>
        <w:tc>
          <w:tcPr>
            <w:tcW w:w="1486" w:type="dxa"/>
            <w:vAlign w:val="center"/>
          </w:tcPr>
          <w:p>
            <w:pPr>
              <w:topLinePunct/>
              <w:jc w:val="center"/>
              <w:rPr>
                <w:szCs w:val="21"/>
              </w:rPr>
            </w:pPr>
          </w:p>
        </w:tc>
        <w:tc>
          <w:tcPr>
            <w:tcW w:w="1192" w:type="dxa"/>
            <w:vAlign w:val="center"/>
          </w:tcPr>
          <w:p>
            <w:pPr>
              <w:topLinePunct/>
              <w:jc w:val="center"/>
              <w:rPr>
                <w:szCs w:val="21"/>
              </w:rPr>
            </w:pPr>
          </w:p>
        </w:tc>
        <w:tc>
          <w:tcPr>
            <w:tcW w:w="1231" w:type="dxa"/>
            <w:vAlign w:val="center"/>
          </w:tcPr>
          <w:p>
            <w:pPr>
              <w:topLinePun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4" w:type="dxa"/>
            <w:vAlign w:val="center"/>
          </w:tcPr>
          <w:p>
            <w:pPr>
              <w:topLinePunct/>
              <w:jc w:val="center"/>
              <w:rPr>
                <w:szCs w:val="21"/>
              </w:rPr>
            </w:pPr>
          </w:p>
        </w:tc>
        <w:tc>
          <w:tcPr>
            <w:tcW w:w="1487" w:type="dxa"/>
            <w:vAlign w:val="center"/>
          </w:tcPr>
          <w:p>
            <w:pPr>
              <w:topLinePunct/>
              <w:jc w:val="center"/>
              <w:rPr>
                <w:szCs w:val="21"/>
              </w:rPr>
            </w:pPr>
          </w:p>
        </w:tc>
        <w:tc>
          <w:tcPr>
            <w:tcW w:w="1486" w:type="dxa"/>
            <w:vAlign w:val="center"/>
          </w:tcPr>
          <w:p>
            <w:pPr>
              <w:topLinePunct/>
              <w:jc w:val="center"/>
              <w:rPr>
                <w:szCs w:val="21"/>
              </w:rPr>
            </w:pPr>
          </w:p>
        </w:tc>
        <w:tc>
          <w:tcPr>
            <w:tcW w:w="1486" w:type="dxa"/>
            <w:vAlign w:val="center"/>
          </w:tcPr>
          <w:p>
            <w:pPr>
              <w:topLinePunct/>
              <w:jc w:val="center"/>
              <w:rPr>
                <w:szCs w:val="21"/>
              </w:rPr>
            </w:pPr>
          </w:p>
        </w:tc>
        <w:tc>
          <w:tcPr>
            <w:tcW w:w="1486" w:type="dxa"/>
            <w:vAlign w:val="center"/>
          </w:tcPr>
          <w:p>
            <w:pPr>
              <w:topLinePunct/>
              <w:jc w:val="center"/>
              <w:rPr>
                <w:szCs w:val="21"/>
              </w:rPr>
            </w:pPr>
          </w:p>
        </w:tc>
        <w:tc>
          <w:tcPr>
            <w:tcW w:w="1192" w:type="dxa"/>
            <w:vAlign w:val="center"/>
          </w:tcPr>
          <w:p>
            <w:pPr>
              <w:topLinePunct/>
              <w:jc w:val="center"/>
              <w:rPr>
                <w:szCs w:val="21"/>
              </w:rPr>
            </w:pPr>
          </w:p>
        </w:tc>
        <w:tc>
          <w:tcPr>
            <w:tcW w:w="1231" w:type="dxa"/>
            <w:vAlign w:val="center"/>
          </w:tcPr>
          <w:p>
            <w:pPr>
              <w:topLinePun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4" w:type="dxa"/>
            <w:vAlign w:val="center"/>
          </w:tcPr>
          <w:p>
            <w:pPr>
              <w:topLinePunct/>
              <w:jc w:val="center"/>
              <w:rPr>
                <w:szCs w:val="21"/>
              </w:rPr>
            </w:pPr>
          </w:p>
        </w:tc>
        <w:tc>
          <w:tcPr>
            <w:tcW w:w="1487" w:type="dxa"/>
            <w:vAlign w:val="center"/>
          </w:tcPr>
          <w:p>
            <w:pPr>
              <w:topLinePunct/>
              <w:jc w:val="center"/>
              <w:rPr>
                <w:szCs w:val="21"/>
              </w:rPr>
            </w:pPr>
          </w:p>
        </w:tc>
        <w:tc>
          <w:tcPr>
            <w:tcW w:w="1486" w:type="dxa"/>
            <w:vAlign w:val="center"/>
          </w:tcPr>
          <w:p>
            <w:pPr>
              <w:topLinePunct/>
              <w:jc w:val="center"/>
              <w:rPr>
                <w:szCs w:val="21"/>
              </w:rPr>
            </w:pPr>
          </w:p>
        </w:tc>
        <w:tc>
          <w:tcPr>
            <w:tcW w:w="1486" w:type="dxa"/>
            <w:vAlign w:val="center"/>
          </w:tcPr>
          <w:p>
            <w:pPr>
              <w:topLinePunct/>
              <w:jc w:val="center"/>
              <w:rPr>
                <w:szCs w:val="21"/>
              </w:rPr>
            </w:pPr>
          </w:p>
        </w:tc>
        <w:tc>
          <w:tcPr>
            <w:tcW w:w="1486" w:type="dxa"/>
            <w:vAlign w:val="center"/>
          </w:tcPr>
          <w:p>
            <w:pPr>
              <w:topLinePunct/>
              <w:jc w:val="center"/>
              <w:rPr>
                <w:szCs w:val="21"/>
              </w:rPr>
            </w:pPr>
          </w:p>
        </w:tc>
        <w:tc>
          <w:tcPr>
            <w:tcW w:w="1192" w:type="dxa"/>
            <w:vAlign w:val="center"/>
          </w:tcPr>
          <w:p>
            <w:pPr>
              <w:topLinePunct/>
              <w:jc w:val="center"/>
              <w:rPr>
                <w:szCs w:val="21"/>
              </w:rPr>
            </w:pPr>
          </w:p>
        </w:tc>
        <w:tc>
          <w:tcPr>
            <w:tcW w:w="1231" w:type="dxa"/>
            <w:vAlign w:val="center"/>
          </w:tcPr>
          <w:p>
            <w:pPr>
              <w:topLinePunct/>
              <w:jc w:val="center"/>
              <w:rPr>
                <w:szCs w:val="21"/>
              </w:rPr>
            </w:pPr>
          </w:p>
        </w:tc>
      </w:tr>
    </w:tbl>
    <w:p>
      <w:pPr>
        <w:pStyle w:val="2"/>
        <w:widowControl/>
        <w:overflowPunct w:val="0"/>
        <w:autoSpaceDE w:val="0"/>
        <w:autoSpaceDN w:val="0"/>
        <w:adjustRightInd w:val="0"/>
        <w:snapToGrid w:val="0"/>
        <w:spacing w:before="156" w:beforeLines="50" w:after="0" w:line="360" w:lineRule="auto"/>
        <w:textAlignment w:val="baseline"/>
        <w:rPr>
          <w:b w:val="0"/>
          <w:bCs/>
          <w:snapToGrid w:val="0"/>
          <w:kern w:val="0"/>
          <w:sz w:val="24"/>
          <w:szCs w:val="24"/>
        </w:rPr>
      </w:pPr>
      <w:bookmarkStart w:id="286" w:name="_Toc247536323"/>
      <w:bookmarkStart w:id="287" w:name="_Toc247518087"/>
      <w:bookmarkStart w:id="288" w:name="_Toc345514953"/>
      <w:bookmarkStart w:id="289" w:name="_Toc252539447"/>
      <w:bookmarkStart w:id="290" w:name="_Toc103766661"/>
      <w:r>
        <w:rPr>
          <w:b w:val="0"/>
          <w:bCs/>
          <w:snapToGrid w:val="0"/>
          <w:kern w:val="0"/>
          <w:sz w:val="24"/>
          <w:szCs w:val="24"/>
        </w:rPr>
        <w:t xml:space="preserve">3.3  </w:t>
      </w:r>
      <w:r>
        <w:rPr>
          <w:rFonts w:hAnsi="宋体"/>
          <w:b w:val="0"/>
          <w:bCs/>
          <w:snapToGrid w:val="0"/>
          <w:kern w:val="0"/>
          <w:sz w:val="24"/>
          <w:szCs w:val="24"/>
        </w:rPr>
        <w:t>推荐的备品备件、专用工具和仪器仪表供货</w:t>
      </w:r>
      <w:bookmarkEnd w:id="286"/>
      <w:bookmarkEnd w:id="287"/>
      <w:bookmarkEnd w:id="288"/>
      <w:bookmarkEnd w:id="289"/>
      <w:bookmarkEnd w:id="290"/>
    </w:p>
    <w:p>
      <w:pPr>
        <w:adjustRightInd w:val="0"/>
        <w:snapToGrid w:val="0"/>
        <w:spacing w:line="360" w:lineRule="auto"/>
        <w:ind w:firstLine="480" w:firstLineChars="200"/>
        <w:rPr>
          <w:sz w:val="24"/>
          <w:szCs w:val="24"/>
        </w:rPr>
      </w:pPr>
      <w:bookmarkStart w:id="291" w:name="_Toc155182702"/>
      <w:bookmarkStart w:id="292" w:name="_Toc155113114"/>
      <w:r>
        <w:rPr>
          <w:rFonts w:hAnsi="宋体"/>
          <w:sz w:val="24"/>
          <w:szCs w:val="24"/>
        </w:rPr>
        <w:t>表</w:t>
      </w:r>
      <w:r>
        <w:rPr>
          <w:sz w:val="24"/>
          <w:szCs w:val="24"/>
        </w:rPr>
        <w:t>1</w:t>
      </w:r>
      <w:r>
        <w:rPr>
          <w:rFonts w:hint="eastAsia"/>
          <w:sz w:val="24"/>
          <w:szCs w:val="24"/>
        </w:rPr>
        <w:t>0</w:t>
      </w:r>
      <w:r>
        <w:rPr>
          <w:rFonts w:hAnsi="宋体"/>
          <w:sz w:val="24"/>
          <w:szCs w:val="24"/>
        </w:rPr>
        <w:t>　</w:t>
      </w:r>
      <w:r>
        <w:rPr>
          <w:rFonts w:hint="eastAsia" w:hAnsi="宋体"/>
          <w:sz w:val="24"/>
          <w:szCs w:val="24"/>
        </w:rPr>
        <w:t xml:space="preserve">        </w:t>
      </w:r>
      <w:r>
        <w:rPr>
          <w:rFonts w:hAnsi="宋体"/>
          <w:sz w:val="24"/>
          <w:szCs w:val="24"/>
        </w:rPr>
        <w:t>推荐的备品备件、专用工具和仪器仪表供货表</w:t>
      </w:r>
      <w:bookmarkEnd w:id="291"/>
      <w:bookmarkEnd w:id="292"/>
    </w:p>
    <w:tbl>
      <w:tblPr>
        <w:tblStyle w:val="9"/>
        <w:tblW w:w="9242"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1159"/>
        <w:gridCol w:w="2980"/>
        <w:gridCol w:w="2915"/>
        <w:gridCol w:w="1140"/>
        <w:gridCol w:w="104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159" w:type="dxa"/>
            <w:vAlign w:val="center"/>
          </w:tcPr>
          <w:p>
            <w:pPr>
              <w:topLinePunct/>
              <w:jc w:val="center"/>
              <w:rPr>
                <w:szCs w:val="21"/>
              </w:rPr>
            </w:pPr>
            <w:r>
              <w:rPr>
                <w:rFonts w:hAnsi="宋体"/>
                <w:szCs w:val="21"/>
              </w:rPr>
              <w:t>序号</w:t>
            </w:r>
          </w:p>
        </w:tc>
        <w:tc>
          <w:tcPr>
            <w:tcW w:w="2980" w:type="dxa"/>
            <w:vAlign w:val="center"/>
          </w:tcPr>
          <w:p>
            <w:pPr>
              <w:topLinePunct/>
              <w:jc w:val="center"/>
              <w:rPr>
                <w:szCs w:val="21"/>
              </w:rPr>
            </w:pPr>
            <w:r>
              <w:rPr>
                <w:rFonts w:hAnsi="宋体"/>
                <w:szCs w:val="21"/>
              </w:rPr>
              <w:t>名</w:t>
            </w:r>
            <w:r>
              <w:rPr>
                <w:szCs w:val="21"/>
              </w:rPr>
              <w:t xml:space="preserve">  </w:t>
            </w:r>
            <w:r>
              <w:rPr>
                <w:rFonts w:hAnsi="宋体"/>
                <w:szCs w:val="21"/>
              </w:rPr>
              <w:t>称</w:t>
            </w:r>
          </w:p>
        </w:tc>
        <w:tc>
          <w:tcPr>
            <w:tcW w:w="2915" w:type="dxa"/>
            <w:vAlign w:val="center"/>
          </w:tcPr>
          <w:p>
            <w:pPr>
              <w:topLinePunct/>
              <w:jc w:val="center"/>
              <w:rPr>
                <w:szCs w:val="21"/>
              </w:rPr>
            </w:pPr>
            <w:r>
              <w:rPr>
                <w:rFonts w:hAnsi="宋体"/>
                <w:szCs w:val="21"/>
              </w:rPr>
              <w:t>型号和规格</w:t>
            </w:r>
          </w:p>
        </w:tc>
        <w:tc>
          <w:tcPr>
            <w:tcW w:w="1140" w:type="dxa"/>
            <w:vAlign w:val="center"/>
          </w:tcPr>
          <w:p>
            <w:pPr>
              <w:topLinePunct/>
              <w:jc w:val="center"/>
              <w:rPr>
                <w:szCs w:val="21"/>
              </w:rPr>
            </w:pPr>
            <w:r>
              <w:rPr>
                <w:rFonts w:hAnsi="宋体"/>
                <w:szCs w:val="21"/>
              </w:rPr>
              <w:t>单位</w:t>
            </w:r>
          </w:p>
        </w:tc>
        <w:tc>
          <w:tcPr>
            <w:tcW w:w="1048" w:type="dxa"/>
            <w:vAlign w:val="center"/>
          </w:tcPr>
          <w:p>
            <w:pPr>
              <w:topLinePunct/>
              <w:jc w:val="center"/>
              <w:rPr>
                <w:szCs w:val="21"/>
              </w:rPr>
            </w:pPr>
            <w:r>
              <w:rPr>
                <w:rFonts w:hAnsi="宋体"/>
                <w:szCs w:val="21"/>
              </w:rPr>
              <w:t>数量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159" w:type="dxa"/>
            <w:vAlign w:val="center"/>
          </w:tcPr>
          <w:p>
            <w:pPr>
              <w:topLinePunct/>
              <w:jc w:val="center"/>
              <w:rPr>
                <w:szCs w:val="21"/>
              </w:rPr>
            </w:pPr>
            <w:r>
              <w:rPr>
                <w:szCs w:val="21"/>
              </w:rPr>
              <w:t>1</w:t>
            </w:r>
          </w:p>
        </w:tc>
        <w:tc>
          <w:tcPr>
            <w:tcW w:w="2980" w:type="dxa"/>
            <w:vAlign w:val="center"/>
          </w:tcPr>
          <w:p>
            <w:pPr>
              <w:topLinePunct/>
              <w:jc w:val="center"/>
              <w:rPr>
                <w:szCs w:val="21"/>
              </w:rPr>
            </w:pPr>
          </w:p>
        </w:tc>
        <w:tc>
          <w:tcPr>
            <w:tcW w:w="2915" w:type="dxa"/>
            <w:vAlign w:val="center"/>
          </w:tcPr>
          <w:p>
            <w:pPr>
              <w:topLinePunct/>
              <w:jc w:val="center"/>
              <w:rPr>
                <w:szCs w:val="21"/>
              </w:rPr>
            </w:pPr>
          </w:p>
        </w:tc>
        <w:tc>
          <w:tcPr>
            <w:tcW w:w="1140" w:type="dxa"/>
            <w:vAlign w:val="center"/>
          </w:tcPr>
          <w:p>
            <w:pPr>
              <w:topLinePunct/>
              <w:jc w:val="center"/>
              <w:rPr>
                <w:szCs w:val="21"/>
              </w:rPr>
            </w:pPr>
          </w:p>
        </w:tc>
        <w:tc>
          <w:tcPr>
            <w:tcW w:w="1048" w:type="dxa"/>
            <w:vAlign w:val="center"/>
          </w:tcPr>
          <w:p>
            <w:pPr>
              <w:topLinePun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159" w:type="dxa"/>
            <w:vAlign w:val="center"/>
          </w:tcPr>
          <w:p>
            <w:pPr>
              <w:topLinePunct/>
              <w:jc w:val="center"/>
              <w:rPr>
                <w:szCs w:val="21"/>
              </w:rPr>
            </w:pPr>
            <w:r>
              <w:rPr>
                <w:szCs w:val="21"/>
              </w:rPr>
              <w:t>2</w:t>
            </w:r>
          </w:p>
        </w:tc>
        <w:tc>
          <w:tcPr>
            <w:tcW w:w="2980" w:type="dxa"/>
            <w:vAlign w:val="center"/>
          </w:tcPr>
          <w:p>
            <w:pPr>
              <w:topLinePunct/>
              <w:jc w:val="center"/>
              <w:rPr>
                <w:szCs w:val="21"/>
              </w:rPr>
            </w:pPr>
          </w:p>
        </w:tc>
        <w:tc>
          <w:tcPr>
            <w:tcW w:w="2915" w:type="dxa"/>
            <w:vAlign w:val="center"/>
          </w:tcPr>
          <w:p>
            <w:pPr>
              <w:topLinePunct/>
              <w:jc w:val="center"/>
              <w:rPr>
                <w:szCs w:val="21"/>
              </w:rPr>
            </w:pPr>
          </w:p>
        </w:tc>
        <w:tc>
          <w:tcPr>
            <w:tcW w:w="1140" w:type="dxa"/>
            <w:vAlign w:val="center"/>
          </w:tcPr>
          <w:p>
            <w:pPr>
              <w:topLinePunct/>
              <w:jc w:val="center"/>
              <w:rPr>
                <w:szCs w:val="21"/>
              </w:rPr>
            </w:pPr>
          </w:p>
        </w:tc>
        <w:tc>
          <w:tcPr>
            <w:tcW w:w="1048" w:type="dxa"/>
            <w:vAlign w:val="center"/>
          </w:tcPr>
          <w:p>
            <w:pPr>
              <w:topLinePun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159" w:type="dxa"/>
            <w:vAlign w:val="center"/>
          </w:tcPr>
          <w:p>
            <w:pPr>
              <w:topLinePunct/>
              <w:jc w:val="center"/>
              <w:rPr>
                <w:szCs w:val="21"/>
              </w:rPr>
            </w:pPr>
            <w:r>
              <w:rPr>
                <w:szCs w:val="21"/>
              </w:rPr>
              <w:t>3</w:t>
            </w:r>
          </w:p>
        </w:tc>
        <w:tc>
          <w:tcPr>
            <w:tcW w:w="2980" w:type="dxa"/>
            <w:vAlign w:val="center"/>
          </w:tcPr>
          <w:p>
            <w:pPr>
              <w:topLinePunct/>
              <w:jc w:val="center"/>
              <w:rPr>
                <w:szCs w:val="21"/>
              </w:rPr>
            </w:pPr>
          </w:p>
        </w:tc>
        <w:tc>
          <w:tcPr>
            <w:tcW w:w="2915" w:type="dxa"/>
            <w:vAlign w:val="center"/>
          </w:tcPr>
          <w:p>
            <w:pPr>
              <w:topLinePunct/>
              <w:jc w:val="center"/>
              <w:rPr>
                <w:szCs w:val="21"/>
              </w:rPr>
            </w:pPr>
          </w:p>
        </w:tc>
        <w:tc>
          <w:tcPr>
            <w:tcW w:w="1140" w:type="dxa"/>
            <w:vAlign w:val="center"/>
          </w:tcPr>
          <w:p>
            <w:pPr>
              <w:topLinePunct/>
              <w:jc w:val="center"/>
              <w:rPr>
                <w:szCs w:val="21"/>
              </w:rPr>
            </w:pPr>
          </w:p>
        </w:tc>
        <w:tc>
          <w:tcPr>
            <w:tcW w:w="1048" w:type="dxa"/>
            <w:vAlign w:val="center"/>
          </w:tcPr>
          <w:p>
            <w:pPr>
              <w:topLinePunct/>
              <w:jc w:val="center"/>
              <w:rPr>
                <w:szCs w:val="21"/>
              </w:rPr>
            </w:pPr>
          </w:p>
        </w:tc>
      </w:tr>
    </w:tbl>
    <w:p>
      <w:pPr>
        <w:pStyle w:val="2"/>
        <w:widowControl/>
        <w:overflowPunct w:val="0"/>
        <w:autoSpaceDE w:val="0"/>
        <w:autoSpaceDN w:val="0"/>
        <w:adjustRightInd w:val="0"/>
        <w:snapToGrid w:val="0"/>
        <w:spacing w:before="156" w:beforeLines="50" w:after="0" w:line="360" w:lineRule="auto"/>
        <w:textAlignment w:val="baseline"/>
        <w:rPr>
          <w:b w:val="0"/>
          <w:bCs/>
          <w:snapToGrid w:val="0"/>
          <w:kern w:val="0"/>
          <w:sz w:val="24"/>
          <w:szCs w:val="24"/>
        </w:rPr>
      </w:pPr>
      <w:bookmarkStart w:id="293" w:name="_Toc345514954"/>
      <w:bookmarkStart w:id="294" w:name="_Toc247536324"/>
      <w:bookmarkStart w:id="295" w:name="_Toc247518088"/>
      <w:bookmarkStart w:id="296" w:name="_Toc252539448"/>
      <w:bookmarkStart w:id="297" w:name="_Toc103766662"/>
      <w:r>
        <w:rPr>
          <w:b w:val="0"/>
          <w:bCs/>
          <w:snapToGrid w:val="0"/>
          <w:kern w:val="0"/>
          <w:sz w:val="24"/>
          <w:szCs w:val="24"/>
        </w:rPr>
        <w:t xml:space="preserve">3.4  </w:t>
      </w:r>
      <w:r>
        <w:rPr>
          <w:rFonts w:hAnsi="宋体"/>
          <w:b w:val="0"/>
          <w:bCs/>
          <w:snapToGrid w:val="0"/>
          <w:kern w:val="0"/>
          <w:sz w:val="24"/>
          <w:szCs w:val="24"/>
        </w:rPr>
        <w:t>最终用户的使用情况证明</w:t>
      </w:r>
      <w:bookmarkEnd w:id="293"/>
      <w:bookmarkEnd w:id="294"/>
      <w:bookmarkEnd w:id="295"/>
      <w:bookmarkEnd w:id="296"/>
      <w:bookmarkEnd w:id="297"/>
    </w:p>
    <w:p>
      <w:pPr>
        <w:pStyle w:val="2"/>
        <w:widowControl/>
        <w:overflowPunct w:val="0"/>
        <w:autoSpaceDE w:val="0"/>
        <w:autoSpaceDN w:val="0"/>
        <w:adjustRightInd w:val="0"/>
        <w:snapToGrid w:val="0"/>
        <w:spacing w:before="0" w:after="0" w:line="360" w:lineRule="auto"/>
        <w:textAlignment w:val="baseline"/>
        <w:rPr>
          <w:b w:val="0"/>
          <w:bCs/>
          <w:snapToGrid w:val="0"/>
          <w:kern w:val="0"/>
          <w:sz w:val="24"/>
          <w:szCs w:val="24"/>
        </w:rPr>
      </w:pPr>
      <w:bookmarkStart w:id="298" w:name="_Toc103766663"/>
      <w:bookmarkStart w:id="299" w:name="_Toc345514955"/>
      <w:bookmarkStart w:id="300" w:name="_Toc247536325"/>
      <w:bookmarkStart w:id="301" w:name="_Toc252539449"/>
      <w:bookmarkStart w:id="302" w:name="_Toc247518089"/>
      <w:r>
        <w:rPr>
          <w:b w:val="0"/>
          <w:bCs/>
          <w:snapToGrid w:val="0"/>
          <w:kern w:val="0"/>
          <w:sz w:val="24"/>
          <w:szCs w:val="24"/>
        </w:rPr>
        <w:t xml:space="preserve">3.5  </w:t>
      </w:r>
      <w:r>
        <w:rPr>
          <w:rFonts w:hAnsi="宋体"/>
          <w:b w:val="0"/>
          <w:bCs/>
          <w:snapToGrid w:val="0"/>
          <w:kern w:val="0"/>
          <w:sz w:val="24"/>
          <w:szCs w:val="24"/>
        </w:rPr>
        <w:t>投标人提供的试验检测报告表</w:t>
      </w:r>
      <w:bookmarkEnd w:id="298"/>
      <w:bookmarkEnd w:id="299"/>
      <w:bookmarkEnd w:id="300"/>
      <w:bookmarkEnd w:id="301"/>
      <w:bookmarkEnd w:id="302"/>
    </w:p>
    <w:p>
      <w:pPr>
        <w:adjustRightInd w:val="0"/>
        <w:snapToGrid w:val="0"/>
        <w:spacing w:line="360" w:lineRule="auto"/>
        <w:ind w:firstLine="480" w:firstLineChars="200"/>
        <w:rPr>
          <w:sz w:val="24"/>
          <w:szCs w:val="24"/>
        </w:rPr>
      </w:pPr>
      <w:r>
        <w:rPr>
          <w:rFonts w:hAnsi="宋体"/>
          <w:sz w:val="24"/>
          <w:szCs w:val="24"/>
        </w:rPr>
        <w:t>表</w:t>
      </w:r>
      <w:r>
        <w:rPr>
          <w:sz w:val="24"/>
          <w:szCs w:val="24"/>
        </w:rPr>
        <w:t>1</w:t>
      </w:r>
      <w:r>
        <w:rPr>
          <w:rFonts w:hint="eastAsia"/>
          <w:sz w:val="24"/>
          <w:szCs w:val="24"/>
        </w:rPr>
        <w:t>1</w:t>
      </w:r>
      <w:r>
        <w:rPr>
          <w:sz w:val="24"/>
          <w:szCs w:val="24"/>
        </w:rPr>
        <w:t xml:space="preserve"> </w:t>
      </w:r>
      <w:r>
        <w:rPr>
          <w:rFonts w:hint="eastAsia"/>
          <w:sz w:val="24"/>
          <w:szCs w:val="24"/>
        </w:rPr>
        <w:t xml:space="preserve">              </w:t>
      </w:r>
      <w:r>
        <w:rPr>
          <w:rFonts w:hAnsi="宋体"/>
          <w:sz w:val="24"/>
          <w:szCs w:val="24"/>
        </w:rPr>
        <w:t>投标人提供的试验检测报告表</w:t>
      </w:r>
    </w:p>
    <w:tbl>
      <w:tblPr>
        <w:tblStyle w:val="9"/>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38"/>
        <w:gridCol w:w="2084"/>
        <w:gridCol w:w="1526"/>
        <w:gridCol w:w="1526"/>
        <w:gridCol w:w="1527"/>
        <w:gridCol w:w="157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38" w:type="dxa"/>
            <w:vAlign w:val="center"/>
          </w:tcPr>
          <w:p>
            <w:pPr>
              <w:topLinePunct/>
              <w:spacing w:before="40" w:after="40"/>
              <w:jc w:val="center"/>
              <w:rPr>
                <w:szCs w:val="21"/>
              </w:rPr>
            </w:pPr>
            <w:r>
              <w:rPr>
                <w:rFonts w:hAnsi="宋体"/>
                <w:szCs w:val="21"/>
              </w:rPr>
              <w:t>序号</w:t>
            </w:r>
          </w:p>
        </w:tc>
        <w:tc>
          <w:tcPr>
            <w:tcW w:w="2084" w:type="dxa"/>
            <w:vAlign w:val="center"/>
          </w:tcPr>
          <w:p>
            <w:pPr>
              <w:topLinePunct/>
              <w:spacing w:before="40" w:after="40"/>
              <w:jc w:val="center"/>
              <w:rPr>
                <w:szCs w:val="21"/>
              </w:rPr>
            </w:pPr>
            <w:r>
              <w:rPr>
                <w:rFonts w:hAnsi="宋体"/>
                <w:szCs w:val="21"/>
              </w:rPr>
              <w:t>产品型号名称</w:t>
            </w:r>
          </w:p>
        </w:tc>
        <w:tc>
          <w:tcPr>
            <w:tcW w:w="1526" w:type="dxa"/>
            <w:vAlign w:val="center"/>
          </w:tcPr>
          <w:p>
            <w:pPr>
              <w:topLinePunct/>
              <w:spacing w:before="40" w:after="40"/>
              <w:jc w:val="center"/>
              <w:rPr>
                <w:rFonts w:hAnsi="宋体"/>
                <w:szCs w:val="21"/>
              </w:rPr>
            </w:pPr>
            <w:r>
              <w:rPr>
                <w:rFonts w:hAnsi="宋体"/>
                <w:szCs w:val="21"/>
              </w:rPr>
              <w:t>试验报告</w:t>
            </w:r>
          </w:p>
          <w:p>
            <w:pPr>
              <w:topLinePunct/>
              <w:spacing w:before="40" w:after="40"/>
              <w:jc w:val="center"/>
              <w:rPr>
                <w:szCs w:val="21"/>
              </w:rPr>
            </w:pPr>
            <w:r>
              <w:rPr>
                <w:rFonts w:hAnsi="宋体"/>
                <w:szCs w:val="21"/>
              </w:rPr>
              <w:t>类别和内容</w:t>
            </w:r>
          </w:p>
        </w:tc>
        <w:tc>
          <w:tcPr>
            <w:tcW w:w="1526" w:type="dxa"/>
            <w:vAlign w:val="center"/>
          </w:tcPr>
          <w:p>
            <w:pPr>
              <w:topLinePunct/>
              <w:spacing w:before="40" w:after="40"/>
              <w:jc w:val="center"/>
              <w:rPr>
                <w:szCs w:val="21"/>
              </w:rPr>
            </w:pPr>
            <w:r>
              <w:rPr>
                <w:rFonts w:hAnsi="宋体"/>
                <w:szCs w:val="21"/>
              </w:rPr>
              <w:t>依据标准</w:t>
            </w:r>
          </w:p>
        </w:tc>
        <w:tc>
          <w:tcPr>
            <w:tcW w:w="1527" w:type="dxa"/>
            <w:vAlign w:val="center"/>
          </w:tcPr>
          <w:p>
            <w:pPr>
              <w:topLinePunct/>
              <w:spacing w:before="40" w:after="40"/>
              <w:jc w:val="center"/>
              <w:rPr>
                <w:szCs w:val="21"/>
              </w:rPr>
            </w:pPr>
            <w:r>
              <w:rPr>
                <w:rFonts w:hAnsi="宋体"/>
                <w:szCs w:val="21"/>
              </w:rPr>
              <w:t>试验时间</w:t>
            </w:r>
          </w:p>
        </w:tc>
        <w:tc>
          <w:tcPr>
            <w:tcW w:w="1571" w:type="dxa"/>
            <w:vAlign w:val="center"/>
          </w:tcPr>
          <w:p>
            <w:pPr>
              <w:topLinePunct/>
              <w:spacing w:before="40" w:after="40"/>
              <w:jc w:val="center"/>
              <w:rPr>
                <w:szCs w:val="21"/>
              </w:rPr>
            </w:pPr>
            <w:r>
              <w:rPr>
                <w:rFonts w:hAnsi="宋体"/>
                <w:szCs w:val="21"/>
              </w:rPr>
              <w:t>试验单位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38" w:type="dxa"/>
            <w:vAlign w:val="center"/>
          </w:tcPr>
          <w:p>
            <w:pPr>
              <w:topLinePunct/>
              <w:spacing w:before="40" w:after="40"/>
              <w:jc w:val="center"/>
              <w:rPr>
                <w:b/>
                <w:szCs w:val="21"/>
              </w:rPr>
            </w:pPr>
          </w:p>
        </w:tc>
        <w:tc>
          <w:tcPr>
            <w:tcW w:w="2084" w:type="dxa"/>
            <w:vAlign w:val="center"/>
          </w:tcPr>
          <w:p>
            <w:pPr>
              <w:topLinePunct/>
              <w:spacing w:before="40" w:after="40"/>
              <w:jc w:val="center"/>
              <w:rPr>
                <w:b/>
                <w:szCs w:val="21"/>
              </w:rPr>
            </w:pPr>
          </w:p>
        </w:tc>
        <w:tc>
          <w:tcPr>
            <w:tcW w:w="1526" w:type="dxa"/>
            <w:vAlign w:val="center"/>
          </w:tcPr>
          <w:p>
            <w:pPr>
              <w:topLinePunct/>
              <w:spacing w:before="40" w:after="40"/>
              <w:jc w:val="center"/>
              <w:rPr>
                <w:b/>
                <w:szCs w:val="21"/>
              </w:rPr>
            </w:pPr>
          </w:p>
        </w:tc>
        <w:tc>
          <w:tcPr>
            <w:tcW w:w="1526" w:type="dxa"/>
            <w:vAlign w:val="center"/>
          </w:tcPr>
          <w:p>
            <w:pPr>
              <w:topLinePunct/>
              <w:spacing w:before="40" w:after="40"/>
              <w:jc w:val="center"/>
              <w:rPr>
                <w:b/>
                <w:szCs w:val="21"/>
              </w:rPr>
            </w:pPr>
          </w:p>
        </w:tc>
        <w:tc>
          <w:tcPr>
            <w:tcW w:w="1527" w:type="dxa"/>
            <w:vAlign w:val="center"/>
          </w:tcPr>
          <w:p>
            <w:pPr>
              <w:topLinePunct/>
              <w:spacing w:before="40" w:after="40"/>
              <w:jc w:val="center"/>
              <w:rPr>
                <w:b/>
                <w:szCs w:val="21"/>
              </w:rPr>
            </w:pPr>
          </w:p>
        </w:tc>
        <w:tc>
          <w:tcPr>
            <w:tcW w:w="1571" w:type="dxa"/>
            <w:vAlign w:val="center"/>
          </w:tcPr>
          <w:p>
            <w:pPr>
              <w:topLinePunct/>
              <w:spacing w:before="40" w:after="40"/>
              <w:jc w:val="center"/>
              <w:rPr>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38" w:type="dxa"/>
            <w:vAlign w:val="center"/>
          </w:tcPr>
          <w:p>
            <w:pPr>
              <w:topLinePunct/>
              <w:spacing w:before="40" w:after="40"/>
              <w:jc w:val="center"/>
              <w:rPr>
                <w:b/>
                <w:szCs w:val="21"/>
              </w:rPr>
            </w:pPr>
          </w:p>
        </w:tc>
        <w:tc>
          <w:tcPr>
            <w:tcW w:w="2084" w:type="dxa"/>
            <w:vAlign w:val="center"/>
          </w:tcPr>
          <w:p>
            <w:pPr>
              <w:topLinePunct/>
              <w:spacing w:before="40" w:after="40"/>
              <w:jc w:val="center"/>
              <w:rPr>
                <w:b/>
                <w:szCs w:val="21"/>
              </w:rPr>
            </w:pPr>
          </w:p>
        </w:tc>
        <w:tc>
          <w:tcPr>
            <w:tcW w:w="1526" w:type="dxa"/>
            <w:vAlign w:val="center"/>
          </w:tcPr>
          <w:p>
            <w:pPr>
              <w:topLinePunct/>
              <w:spacing w:before="40" w:after="40"/>
              <w:jc w:val="center"/>
              <w:rPr>
                <w:b/>
                <w:szCs w:val="21"/>
              </w:rPr>
            </w:pPr>
          </w:p>
        </w:tc>
        <w:tc>
          <w:tcPr>
            <w:tcW w:w="1526" w:type="dxa"/>
            <w:vAlign w:val="center"/>
          </w:tcPr>
          <w:p>
            <w:pPr>
              <w:topLinePunct/>
              <w:spacing w:before="40" w:after="40"/>
              <w:jc w:val="center"/>
              <w:rPr>
                <w:b/>
                <w:szCs w:val="21"/>
              </w:rPr>
            </w:pPr>
          </w:p>
        </w:tc>
        <w:tc>
          <w:tcPr>
            <w:tcW w:w="1527" w:type="dxa"/>
            <w:vAlign w:val="center"/>
          </w:tcPr>
          <w:p>
            <w:pPr>
              <w:topLinePunct/>
              <w:spacing w:before="40" w:after="40"/>
              <w:jc w:val="center"/>
              <w:rPr>
                <w:b/>
                <w:szCs w:val="21"/>
              </w:rPr>
            </w:pPr>
          </w:p>
        </w:tc>
        <w:tc>
          <w:tcPr>
            <w:tcW w:w="1571" w:type="dxa"/>
            <w:vAlign w:val="center"/>
          </w:tcPr>
          <w:p>
            <w:pPr>
              <w:topLinePunct/>
              <w:spacing w:before="40" w:after="40"/>
              <w:jc w:val="center"/>
              <w:rPr>
                <w:b/>
                <w:szCs w:val="21"/>
              </w:rPr>
            </w:pPr>
          </w:p>
        </w:tc>
      </w:tr>
    </w:tbl>
    <w:p>
      <w:pPr>
        <w:pStyle w:val="2"/>
        <w:widowControl/>
        <w:overflowPunct w:val="0"/>
        <w:autoSpaceDE w:val="0"/>
        <w:autoSpaceDN w:val="0"/>
        <w:adjustRightInd w:val="0"/>
        <w:snapToGrid w:val="0"/>
        <w:spacing w:before="156" w:beforeLines="50" w:after="0" w:line="360" w:lineRule="auto"/>
        <w:textAlignment w:val="baseline"/>
        <w:rPr>
          <w:b w:val="0"/>
          <w:bCs/>
          <w:snapToGrid w:val="0"/>
          <w:kern w:val="0"/>
          <w:sz w:val="24"/>
          <w:szCs w:val="24"/>
        </w:rPr>
      </w:pPr>
      <w:bookmarkStart w:id="303" w:name="_Toc103766664"/>
      <w:bookmarkStart w:id="304" w:name="_Toc247518090"/>
      <w:bookmarkStart w:id="305" w:name="_Toc345514956"/>
      <w:bookmarkStart w:id="306" w:name="_Toc252539450"/>
      <w:bookmarkStart w:id="307" w:name="_Toc247536326"/>
      <w:r>
        <w:rPr>
          <w:b w:val="0"/>
          <w:bCs/>
          <w:snapToGrid w:val="0"/>
          <w:kern w:val="0"/>
          <w:sz w:val="24"/>
          <w:szCs w:val="24"/>
        </w:rPr>
        <w:t xml:space="preserve">3.6  </w:t>
      </w:r>
      <w:r>
        <w:rPr>
          <w:rFonts w:hAnsi="宋体"/>
          <w:b w:val="0"/>
          <w:bCs/>
          <w:snapToGrid w:val="0"/>
          <w:kern w:val="0"/>
          <w:sz w:val="24"/>
          <w:szCs w:val="24"/>
        </w:rPr>
        <w:t>投标人提供的鉴定证书表</w:t>
      </w:r>
      <w:bookmarkEnd w:id="303"/>
      <w:bookmarkEnd w:id="304"/>
      <w:bookmarkEnd w:id="305"/>
      <w:bookmarkEnd w:id="306"/>
      <w:bookmarkEnd w:id="307"/>
    </w:p>
    <w:p>
      <w:pPr>
        <w:adjustRightInd w:val="0"/>
        <w:snapToGrid w:val="0"/>
        <w:spacing w:line="360" w:lineRule="auto"/>
        <w:ind w:firstLine="480" w:firstLineChars="200"/>
        <w:rPr>
          <w:sz w:val="24"/>
          <w:szCs w:val="24"/>
        </w:rPr>
      </w:pPr>
      <w:r>
        <w:rPr>
          <w:rFonts w:hAnsi="宋体"/>
          <w:sz w:val="24"/>
          <w:szCs w:val="24"/>
        </w:rPr>
        <w:t>表</w:t>
      </w:r>
      <w:r>
        <w:rPr>
          <w:sz w:val="24"/>
          <w:szCs w:val="24"/>
        </w:rPr>
        <w:t>1</w:t>
      </w:r>
      <w:r>
        <w:rPr>
          <w:rFonts w:hint="eastAsia"/>
          <w:sz w:val="24"/>
          <w:szCs w:val="24"/>
        </w:rPr>
        <w:t>2</w:t>
      </w:r>
      <w:r>
        <w:rPr>
          <w:sz w:val="24"/>
          <w:szCs w:val="24"/>
        </w:rPr>
        <w:t xml:space="preserve"> </w:t>
      </w:r>
      <w:r>
        <w:rPr>
          <w:rFonts w:hint="eastAsia"/>
          <w:sz w:val="24"/>
          <w:szCs w:val="24"/>
        </w:rPr>
        <w:t xml:space="preserve">                 </w:t>
      </w:r>
      <w:r>
        <w:rPr>
          <w:rFonts w:hAnsi="宋体"/>
          <w:sz w:val="24"/>
          <w:szCs w:val="24"/>
        </w:rPr>
        <w:t>投标人提供的鉴定证书表</w:t>
      </w:r>
    </w:p>
    <w:tbl>
      <w:tblPr>
        <w:tblStyle w:val="9"/>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95"/>
        <w:gridCol w:w="2678"/>
        <w:gridCol w:w="1833"/>
        <w:gridCol w:w="1833"/>
        <w:gridCol w:w="183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95" w:type="dxa"/>
            <w:vAlign w:val="center"/>
          </w:tcPr>
          <w:p>
            <w:pPr>
              <w:topLinePunct/>
              <w:spacing w:before="40" w:after="40"/>
              <w:jc w:val="center"/>
              <w:rPr>
                <w:szCs w:val="21"/>
              </w:rPr>
            </w:pPr>
            <w:r>
              <w:rPr>
                <w:rFonts w:hAnsi="宋体"/>
                <w:szCs w:val="21"/>
              </w:rPr>
              <w:t>序号</w:t>
            </w:r>
          </w:p>
        </w:tc>
        <w:tc>
          <w:tcPr>
            <w:tcW w:w="2678" w:type="dxa"/>
            <w:vAlign w:val="center"/>
          </w:tcPr>
          <w:p>
            <w:pPr>
              <w:topLinePunct/>
              <w:spacing w:before="40" w:after="40"/>
              <w:jc w:val="center"/>
              <w:rPr>
                <w:szCs w:val="21"/>
              </w:rPr>
            </w:pPr>
            <w:r>
              <w:rPr>
                <w:rFonts w:hAnsi="宋体"/>
                <w:szCs w:val="21"/>
              </w:rPr>
              <w:t>鉴定产品型号名称</w:t>
            </w:r>
          </w:p>
        </w:tc>
        <w:tc>
          <w:tcPr>
            <w:tcW w:w="1833" w:type="dxa"/>
            <w:vAlign w:val="center"/>
          </w:tcPr>
          <w:p>
            <w:pPr>
              <w:topLinePunct/>
              <w:spacing w:before="40" w:after="40"/>
              <w:jc w:val="center"/>
              <w:rPr>
                <w:szCs w:val="21"/>
              </w:rPr>
            </w:pPr>
            <w:r>
              <w:rPr>
                <w:rFonts w:hAnsi="宋体"/>
                <w:szCs w:val="21"/>
              </w:rPr>
              <w:t>组织鉴定单位</w:t>
            </w:r>
          </w:p>
        </w:tc>
        <w:tc>
          <w:tcPr>
            <w:tcW w:w="1833" w:type="dxa"/>
            <w:vAlign w:val="center"/>
          </w:tcPr>
          <w:p>
            <w:pPr>
              <w:topLinePunct/>
              <w:spacing w:before="40" w:after="40"/>
              <w:jc w:val="center"/>
              <w:rPr>
                <w:szCs w:val="21"/>
              </w:rPr>
            </w:pPr>
            <w:r>
              <w:rPr>
                <w:rFonts w:hAnsi="宋体"/>
                <w:szCs w:val="21"/>
              </w:rPr>
              <w:t>依据标准</w:t>
            </w:r>
          </w:p>
        </w:tc>
        <w:tc>
          <w:tcPr>
            <w:tcW w:w="1833" w:type="dxa"/>
            <w:vAlign w:val="center"/>
          </w:tcPr>
          <w:p>
            <w:pPr>
              <w:topLinePunct/>
              <w:spacing w:before="40" w:after="40"/>
              <w:jc w:val="center"/>
              <w:rPr>
                <w:szCs w:val="21"/>
              </w:rPr>
            </w:pPr>
            <w:r>
              <w:rPr>
                <w:rFonts w:hAnsi="宋体"/>
                <w:szCs w:val="21"/>
              </w:rPr>
              <w:t>鉴定时间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95" w:type="dxa"/>
            <w:vAlign w:val="center"/>
          </w:tcPr>
          <w:p>
            <w:pPr>
              <w:topLinePunct/>
              <w:spacing w:before="40" w:after="40"/>
              <w:jc w:val="center"/>
              <w:rPr>
                <w:b/>
                <w:szCs w:val="21"/>
              </w:rPr>
            </w:pPr>
          </w:p>
        </w:tc>
        <w:tc>
          <w:tcPr>
            <w:tcW w:w="2678" w:type="dxa"/>
            <w:vAlign w:val="center"/>
          </w:tcPr>
          <w:p>
            <w:pPr>
              <w:topLinePunct/>
              <w:spacing w:before="40" w:after="40"/>
              <w:jc w:val="center"/>
              <w:rPr>
                <w:b/>
                <w:szCs w:val="21"/>
              </w:rPr>
            </w:pPr>
          </w:p>
        </w:tc>
        <w:tc>
          <w:tcPr>
            <w:tcW w:w="1833" w:type="dxa"/>
            <w:vAlign w:val="center"/>
          </w:tcPr>
          <w:p>
            <w:pPr>
              <w:topLinePunct/>
              <w:spacing w:before="40" w:after="40"/>
              <w:jc w:val="center"/>
              <w:rPr>
                <w:b/>
                <w:szCs w:val="21"/>
              </w:rPr>
            </w:pPr>
          </w:p>
        </w:tc>
        <w:tc>
          <w:tcPr>
            <w:tcW w:w="1833" w:type="dxa"/>
            <w:vAlign w:val="center"/>
          </w:tcPr>
          <w:p>
            <w:pPr>
              <w:topLinePunct/>
              <w:spacing w:before="40" w:after="40"/>
              <w:jc w:val="center"/>
              <w:rPr>
                <w:b/>
                <w:szCs w:val="21"/>
              </w:rPr>
            </w:pPr>
          </w:p>
        </w:tc>
        <w:tc>
          <w:tcPr>
            <w:tcW w:w="1833" w:type="dxa"/>
            <w:vAlign w:val="center"/>
          </w:tcPr>
          <w:p>
            <w:pPr>
              <w:topLinePunct/>
              <w:spacing w:before="40" w:after="40"/>
              <w:jc w:val="center"/>
              <w:rPr>
                <w:b/>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95" w:type="dxa"/>
            <w:vAlign w:val="center"/>
          </w:tcPr>
          <w:p>
            <w:pPr>
              <w:topLinePunct/>
              <w:spacing w:before="40" w:after="40"/>
              <w:jc w:val="center"/>
              <w:rPr>
                <w:b/>
                <w:szCs w:val="21"/>
              </w:rPr>
            </w:pPr>
          </w:p>
        </w:tc>
        <w:tc>
          <w:tcPr>
            <w:tcW w:w="2678" w:type="dxa"/>
            <w:vAlign w:val="center"/>
          </w:tcPr>
          <w:p>
            <w:pPr>
              <w:topLinePunct/>
              <w:spacing w:before="40" w:after="40"/>
              <w:jc w:val="center"/>
              <w:rPr>
                <w:b/>
                <w:szCs w:val="21"/>
              </w:rPr>
            </w:pPr>
          </w:p>
        </w:tc>
        <w:tc>
          <w:tcPr>
            <w:tcW w:w="1833" w:type="dxa"/>
            <w:vAlign w:val="center"/>
          </w:tcPr>
          <w:p>
            <w:pPr>
              <w:topLinePunct/>
              <w:spacing w:before="40" w:after="40"/>
              <w:jc w:val="center"/>
              <w:rPr>
                <w:b/>
                <w:szCs w:val="21"/>
              </w:rPr>
            </w:pPr>
          </w:p>
        </w:tc>
        <w:tc>
          <w:tcPr>
            <w:tcW w:w="1833" w:type="dxa"/>
            <w:vAlign w:val="center"/>
          </w:tcPr>
          <w:p>
            <w:pPr>
              <w:topLinePunct/>
              <w:spacing w:before="40" w:after="40"/>
              <w:jc w:val="center"/>
              <w:rPr>
                <w:b/>
                <w:szCs w:val="21"/>
              </w:rPr>
            </w:pPr>
          </w:p>
        </w:tc>
        <w:tc>
          <w:tcPr>
            <w:tcW w:w="1833" w:type="dxa"/>
            <w:vAlign w:val="center"/>
          </w:tcPr>
          <w:p>
            <w:pPr>
              <w:topLinePunct/>
              <w:spacing w:before="40" w:after="40"/>
              <w:jc w:val="center"/>
              <w:rPr>
                <w:b/>
                <w:szCs w:val="21"/>
              </w:rPr>
            </w:pPr>
          </w:p>
        </w:tc>
      </w:tr>
      <w:bookmarkEnd w:id="240"/>
    </w:tbl>
    <w:p/>
    <w:sectPr>
      <w:headerReference r:id="rId6" w:type="default"/>
      <w:footerReference r:id="rId7" w:type="default"/>
      <w:pgSz w:w="11907" w:h="16840"/>
      <w:pgMar w:top="1474" w:right="1418" w:bottom="1418" w:left="1418" w:header="1021" w:footer="1021" w:gutter="0"/>
      <w:pgNumType w:start="1"/>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U-F1">
    <w:altName w:val="宋体"/>
    <w:panose1 w:val="00000000000000000000"/>
    <w:charset w:val="86"/>
    <w:family w:val="script"/>
    <w:pitch w:val="default"/>
    <w:sig w:usb0="00000000" w:usb1="00000000" w:usb2="0000001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1"/>
      </w:rPr>
    </w:pPr>
    <w:r>
      <w:fldChar w:fldCharType="begin"/>
    </w:r>
    <w:r>
      <w:rPr>
        <w:rStyle w:val="11"/>
      </w:rPr>
      <w:instrText xml:space="preserve">PAGE  </w:instrText>
    </w:r>
    <w:r>
      <w:fldChar w:fldCharType="end"/>
    </w:r>
  </w:p>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jc w:val="center"/>
    </w:pPr>
    <w:r>
      <w:fldChar w:fldCharType="begin"/>
    </w:r>
    <w:r>
      <w:rPr>
        <w:rStyle w:val="11"/>
      </w:rPr>
      <w:instrText xml:space="preserve"> PAGE </w:instrText>
    </w:r>
    <w:r>
      <w:fldChar w:fldCharType="separate"/>
    </w:r>
    <w:r>
      <w:rPr>
        <w:rStyle w:val="11"/>
      </w:rPr>
      <w:t>1</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hZGMzNTkwNWJkODc0ZmRhN2FkMzZjNDM5MjgzODEifQ=="/>
  </w:docVars>
  <w:rsids>
    <w:rsidRoot w:val="01EC6E50"/>
    <w:rsid w:val="000161BB"/>
    <w:rsid w:val="0005249E"/>
    <w:rsid w:val="00070680"/>
    <w:rsid w:val="00195DCE"/>
    <w:rsid w:val="00196394"/>
    <w:rsid w:val="001F2698"/>
    <w:rsid w:val="00202143"/>
    <w:rsid w:val="00202254"/>
    <w:rsid w:val="002055F2"/>
    <w:rsid w:val="00245F82"/>
    <w:rsid w:val="002922AA"/>
    <w:rsid w:val="002B2407"/>
    <w:rsid w:val="002C2FCE"/>
    <w:rsid w:val="002E43F6"/>
    <w:rsid w:val="00471B9B"/>
    <w:rsid w:val="00495AFC"/>
    <w:rsid w:val="004A4DAF"/>
    <w:rsid w:val="00525A0D"/>
    <w:rsid w:val="005A5417"/>
    <w:rsid w:val="005C11DC"/>
    <w:rsid w:val="005E16B9"/>
    <w:rsid w:val="005F29B5"/>
    <w:rsid w:val="00617EF8"/>
    <w:rsid w:val="00626EB5"/>
    <w:rsid w:val="00631ADC"/>
    <w:rsid w:val="0063214C"/>
    <w:rsid w:val="006C1BE9"/>
    <w:rsid w:val="00763FAD"/>
    <w:rsid w:val="00785A6E"/>
    <w:rsid w:val="008257F6"/>
    <w:rsid w:val="008640C0"/>
    <w:rsid w:val="00875694"/>
    <w:rsid w:val="00891A2F"/>
    <w:rsid w:val="008A213E"/>
    <w:rsid w:val="008E2C10"/>
    <w:rsid w:val="00960D0B"/>
    <w:rsid w:val="009839F3"/>
    <w:rsid w:val="00993B5F"/>
    <w:rsid w:val="00A07471"/>
    <w:rsid w:val="00A35FB5"/>
    <w:rsid w:val="00AB6E11"/>
    <w:rsid w:val="00AF4C87"/>
    <w:rsid w:val="00B02DE7"/>
    <w:rsid w:val="00BE0D87"/>
    <w:rsid w:val="00D3059B"/>
    <w:rsid w:val="00D32F1D"/>
    <w:rsid w:val="00D965C8"/>
    <w:rsid w:val="00DA5F59"/>
    <w:rsid w:val="00DC2353"/>
    <w:rsid w:val="00DF1567"/>
    <w:rsid w:val="00E369DC"/>
    <w:rsid w:val="00E40CEB"/>
    <w:rsid w:val="00E46B9B"/>
    <w:rsid w:val="00E54693"/>
    <w:rsid w:val="00ED6F1F"/>
    <w:rsid w:val="00F21081"/>
    <w:rsid w:val="00F45C25"/>
    <w:rsid w:val="00F54A46"/>
    <w:rsid w:val="00F812F2"/>
    <w:rsid w:val="00F84046"/>
    <w:rsid w:val="00FC0130"/>
    <w:rsid w:val="00FF7DF7"/>
    <w:rsid w:val="01EC6E50"/>
    <w:rsid w:val="087E40D8"/>
    <w:rsid w:val="0F7D35D7"/>
    <w:rsid w:val="10981C91"/>
    <w:rsid w:val="11AB2910"/>
    <w:rsid w:val="11EB564F"/>
    <w:rsid w:val="1AA265EF"/>
    <w:rsid w:val="2407259B"/>
    <w:rsid w:val="24930458"/>
    <w:rsid w:val="2E7A51CD"/>
    <w:rsid w:val="50304B80"/>
    <w:rsid w:val="54B52A27"/>
    <w:rsid w:val="58195CA8"/>
    <w:rsid w:val="629255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4"/>
    <w:basedOn w:val="1"/>
    <w:next w:val="1"/>
    <w:qFormat/>
    <w:uiPriority w:val="0"/>
    <w:pPr>
      <w:keepNext/>
      <w:keepLines/>
      <w:spacing w:before="280" w:after="290" w:line="376" w:lineRule="auto"/>
      <w:outlineLvl w:val="3"/>
    </w:pPr>
    <w:rPr>
      <w:rFonts w:ascii="Cambria" w:hAnsi="Cambria"/>
      <w:b/>
      <w:bCs/>
      <w:sz w:val="28"/>
      <w:szCs w:val="28"/>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spacing w:line="500" w:lineRule="exact"/>
      <w:ind w:firstLine="420"/>
    </w:pPr>
    <w:rPr>
      <w:sz w:val="28"/>
    </w:rPr>
  </w:style>
  <w:style w:type="paragraph" w:styleId="5">
    <w:name w:val="Body Text Indent"/>
    <w:basedOn w:val="1"/>
    <w:qFormat/>
    <w:uiPriority w:val="0"/>
    <w:pPr>
      <w:autoSpaceDE w:val="0"/>
      <w:autoSpaceDN w:val="0"/>
      <w:adjustRightInd w:val="0"/>
      <w:spacing w:line="360" w:lineRule="auto"/>
      <w:ind w:firstLine="480"/>
      <w:jc w:val="left"/>
      <w:textAlignment w:val="baseline"/>
    </w:pPr>
    <w:rPr>
      <w:kern w:val="0"/>
      <w:sz w:val="24"/>
    </w:rPr>
  </w:style>
  <w:style w:type="paragraph" w:styleId="6">
    <w:name w:val="footer"/>
    <w:basedOn w:val="1"/>
    <w:qFormat/>
    <w:uiPriority w:val="0"/>
    <w:pPr>
      <w:tabs>
        <w:tab w:val="center" w:pos="4153"/>
        <w:tab w:val="right" w:pos="8306"/>
      </w:tabs>
      <w:autoSpaceDE w:val="0"/>
      <w:autoSpaceDN w:val="0"/>
      <w:adjustRightInd w:val="0"/>
      <w:jc w:val="left"/>
      <w:textAlignment w:val="baseline"/>
    </w:pPr>
    <w:rPr>
      <w:sz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rPr>
  </w:style>
  <w:style w:type="paragraph" w:styleId="8">
    <w:name w:val="toc 1"/>
    <w:basedOn w:val="1"/>
    <w:next w:val="1"/>
    <w:qFormat/>
    <w:uiPriority w:val="39"/>
    <w:pPr>
      <w:spacing w:before="120" w:after="120"/>
      <w:jc w:val="left"/>
    </w:pPr>
    <w:rPr>
      <w:b/>
      <w:bCs/>
      <w:caps/>
      <w:sz w:val="20"/>
    </w:rPr>
  </w:style>
  <w:style w:type="character" w:styleId="11">
    <w:name w:val="page number"/>
    <w:qFormat/>
    <w:uiPriority w:val="0"/>
    <w:rPr>
      <w:sz w:val="20"/>
    </w:rPr>
  </w:style>
  <w:style w:type="character" w:styleId="12">
    <w:name w:val="Hyperlink"/>
    <w:qFormat/>
    <w:uiPriority w:val="99"/>
    <w:rPr>
      <w:color w:val="0000FF"/>
      <w:u w:val="single"/>
    </w:rPr>
  </w:style>
  <w:style w:type="paragraph" w:customStyle="1" w:styleId="13">
    <w:name w:val="样式1"/>
    <w:qFormat/>
    <w:uiPriority w:val="0"/>
    <w:pPr>
      <w:spacing w:line="480" w:lineRule="auto"/>
    </w:pPr>
    <w:rPr>
      <w:rFonts w:ascii="EU-F1" w:hAnsi="Times New Roman" w:eastAsia="黑体" w:cs="Times New Roman"/>
      <w:color w:val="000000"/>
      <w:kern w:val="44"/>
      <w:sz w:val="21"/>
      <w:szCs w:val="21"/>
      <w:lang w:val="en-US" w:eastAsia="zh-CN" w:bidi="ar-SA"/>
    </w:rPr>
  </w:style>
  <w:style w:type="paragraph" w:customStyle="1" w:styleId="14">
    <w:name w:val="Char"/>
    <w:basedOn w:val="1"/>
    <w:qFormat/>
    <w:uiPriority w:val="0"/>
  </w:style>
  <w:style w:type="paragraph" w:customStyle="1" w:styleId="15">
    <w:name w:val="表头"/>
    <w:basedOn w:val="1"/>
    <w:qFormat/>
    <w:uiPriority w:val="0"/>
    <w:pPr>
      <w:spacing w:before="160" w:after="60" w:line="312" w:lineRule="exact"/>
      <w:jc w:val="center"/>
    </w:pPr>
    <w:rPr>
      <w:rFonts w:ascii="EU-F1" w:eastAsia="黑体"/>
      <w:szCs w:val="21"/>
    </w:rPr>
  </w:style>
  <w:style w:type="paragraph" w:customStyle="1" w:styleId="16">
    <w:name w:val="样式2"/>
    <w:qFormat/>
    <w:uiPriority w:val="0"/>
    <w:pPr>
      <w:widowControl w:val="0"/>
      <w:spacing w:line="312" w:lineRule="exact"/>
      <w:jc w:val="both"/>
    </w:pPr>
    <w:rPr>
      <w:rFonts w:ascii="EU-F1" w:hAnsi="Times New Roman" w:eastAsia="黑体" w:cs="Times New Roman"/>
      <w:color w:val="000000"/>
      <w:kern w:val="2"/>
      <w:sz w:val="21"/>
      <w:szCs w:val="21"/>
      <w:lang w:val="en-US" w:eastAsia="zh-CN" w:bidi="ar-SA"/>
    </w:rPr>
  </w:style>
  <w:style w:type="paragraph" w:customStyle="1" w:styleId="17">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8">
    <w:name w:val="￥正文"/>
    <w:basedOn w:val="1"/>
    <w:qFormat/>
    <w:uiPriority w:val="0"/>
    <w:pPr>
      <w:spacing w:line="360" w:lineRule="auto"/>
      <w:ind w:firstLine="200" w:firstLineChars="200"/>
    </w:pPr>
    <w:rPr>
      <w:rFonts w:ascii="Calibri" w:hAnsi="Calibri"/>
      <w:sz w:val="24"/>
      <w:szCs w:val="22"/>
    </w:rPr>
  </w:style>
  <w:style w:type="paragraph" w:customStyle="1" w:styleId="19">
    <w:name w:val="默认段落字体 Para Char Char Char Char Char"/>
    <w:basedOn w:val="1"/>
    <w:qFormat/>
    <w:uiPriority w:val="0"/>
    <w:rPr>
      <w:rFonts w:ascii="宋体" w:hAnsi="宋体"/>
      <w:b/>
      <w:color w:val="000000"/>
      <w:sz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19</Pages>
  <Words>1819</Words>
  <Characters>10373</Characters>
  <Lines>86</Lines>
  <Paragraphs>24</Paragraphs>
  <TotalTime>0</TotalTime>
  <ScaleCrop>false</ScaleCrop>
  <LinksUpToDate>false</LinksUpToDate>
  <CharactersWithSpaces>12168</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2022-05-08T02:34:00Z</dcterms:created>
  <dc:creator>荣卫方</dc:creator>
  <cp:lastModifiedBy>东方不败</cp:lastModifiedBy>
  <dcterms:modified xsi:type="dcterms:W3CDTF">2022-06-24T09:09:03Z</dcterms:modified>
  <cp:revision>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0A8D16B6101241F2995B05B5DF6F421C</vt:lpwstr>
  </property>
</Properties>
</file>